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398" w:rsidRDefault="00196398" w:rsidP="00196398">
      <w:pPr>
        <w:jc w:val="center"/>
        <w:rPr>
          <w:rFonts w:ascii="Times New Roman" w:hAnsi="Times New Roman" w:cs="Times New Roman"/>
          <w:sz w:val="24"/>
          <w:szCs w:val="24"/>
        </w:rPr>
      </w:pPr>
      <w:bookmarkStart w:id="0" w:name="_GoBack"/>
      <w:bookmarkEnd w:id="0"/>
      <w:r w:rsidRPr="00FF302C">
        <w:rPr>
          <w:rFonts w:ascii="Times New Roman" w:hAnsi="Times New Roman" w:cs="Times New Roman"/>
          <w:b/>
          <w:sz w:val="24"/>
          <w:szCs w:val="24"/>
        </w:rPr>
        <w:t xml:space="preserve">BURGUESIA AGRÁRIA E EDUCAÇÃO DO CAMPO: </w:t>
      </w:r>
      <w:r w:rsidRPr="00FF302C">
        <w:rPr>
          <w:rFonts w:ascii="Times New Roman" w:hAnsi="Times New Roman" w:cs="Times New Roman"/>
          <w:sz w:val="24"/>
          <w:szCs w:val="24"/>
        </w:rPr>
        <w:t xml:space="preserve">as consequências da hegemonia de fração </w:t>
      </w:r>
      <w:r>
        <w:rPr>
          <w:rFonts w:ascii="Times New Roman" w:hAnsi="Times New Roman" w:cs="Times New Roman"/>
          <w:sz w:val="24"/>
          <w:szCs w:val="24"/>
        </w:rPr>
        <w:t>par</w:t>
      </w:r>
      <w:r w:rsidRPr="00FF302C">
        <w:rPr>
          <w:rFonts w:ascii="Times New Roman" w:hAnsi="Times New Roman" w:cs="Times New Roman"/>
          <w:sz w:val="24"/>
          <w:szCs w:val="24"/>
        </w:rPr>
        <w:t>a política educacional em territórios rurais do Piauí</w:t>
      </w:r>
    </w:p>
    <w:p w:rsidR="00196398" w:rsidRDefault="00196398" w:rsidP="00196398">
      <w:pPr>
        <w:spacing w:line="240" w:lineRule="auto"/>
        <w:ind w:left="2835"/>
        <w:jc w:val="both"/>
        <w:rPr>
          <w:b/>
          <w:sz w:val="20"/>
          <w:szCs w:val="20"/>
        </w:rPr>
      </w:pPr>
    </w:p>
    <w:p w:rsidR="00196398" w:rsidRDefault="00196398" w:rsidP="00196398">
      <w:pPr>
        <w:spacing w:line="240" w:lineRule="auto"/>
        <w:ind w:left="2835"/>
        <w:jc w:val="right"/>
        <w:rPr>
          <w:b/>
          <w:sz w:val="20"/>
          <w:szCs w:val="20"/>
        </w:rPr>
      </w:pPr>
      <w:r w:rsidRPr="000E6D01">
        <w:rPr>
          <w:rFonts w:ascii="Times New Roman" w:hAnsi="Times New Roman" w:cs="Times New Roman"/>
        </w:rPr>
        <w:t>Sérgio Henrique Abreu Silva</w:t>
      </w:r>
      <w:r>
        <w:rPr>
          <w:rStyle w:val="Refdenotaderodap"/>
          <w:b/>
          <w:sz w:val="20"/>
          <w:szCs w:val="20"/>
        </w:rPr>
        <w:footnoteReference w:id="1"/>
      </w:r>
    </w:p>
    <w:p w:rsidR="00196398" w:rsidRDefault="00196398" w:rsidP="00196398">
      <w:pPr>
        <w:spacing w:line="240" w:lineRule="auto"/>
        <w:ind w:left="2835"/>
        <w:jc w:val="both"/>
        <w:rPr>
          <w:b/>
          <w:sz w:val="20"/>
          <w:szCs w:val="20"/>
        </w:rPr>
      </w:pPr>
    </w:p>
    <w:p w:rsidR="00196398" w:rsidRDefault="00196398" w:rsidP="00196398">
      <w:pPr>
        <w:spacing w:line="240" w:lineRule="auto"/>
        <w:ind w:left="2835"/>
        <w:jc w:val="both"/>
        <w:rPr>
          <w:b/>
          <w:sz w:val="20"/>
          <w:szCs w:val="20"/>
        </w:rPr>
      </w:pPr>
      <w:r>
        <w:rPr>
          <w:b/>
          <w:sz w:val="20"/>
          <w:szCs w:val="20"/>
        </w:rPr>
        <w:t>Resumo</w:t>
      </w:r>
    </w:p>
    <w:p w:rsidR="00196398" w:rsidRDefault="00196398" w:rsidP="00196398">
      <w:pPr>
        <w:spacing w:line="240" w:lineRule="auto"/>
        <w:ind w:left="2835"/>
        <w:jc w:val="both"/>
        <w:rPr>
          <w:rFonts w:ascii="Times New Roman" w:hAnsi="Times New Roman" w:cs="Times New Roman"/>
          <w:sz w:val="20"/>
          <w:szCs w:val="20"/>
        </w:rPr>
      </w:pPr>
      <w:r>
        <w:rPr>
          <w:rFonts w:ascii="Times New Roman" w:hAnsi="Times New Roman" w:cs="Times New Roman"/>
          <w:sz w:val="20"/>
          <w:szCs w:val="20"/>
        </w:rPr>
        <w:t>Este artigo apresenta</w:t>
      </w:r>
      <w:r w:rsidRPr="000E6D01">
        <w:rPr>
          <w:rFonts w:ascii="Times New Roman" w:hAnsi="Times New Roman" w:cs="Times New Roman"/>
          <w:sz w:val="20"/>
          <w:szCs w:val="20"/>
        </w:rPr>
        <w:t xml:space="preserve"> o argumento de que os interesses da burguesia ag</w:t>
      </w:r>
      <w:r>
        <w:rPr>
          <w:rFonts w:ascii="Times New Roman" w:hAnsi="Times New Roman" w:cs="Times New Roman"/>
          <w:sz w:val="20"/>
          <w:szCs w:val="20"/>
        </w:rPr>
        <w:t xml:space="preserve">rária, enquanto </w:t>
      </w:r>
      <w:r w:rsidRPr="00B01801">
        <w:rPr>
          <w:rFonts w:ascii="Times New Roman" w:hAnsi="Times New Roman" w:cs="Times New Roman"/>
          <w:sz w:val="20"/>
          <w:szCs w:val="20"/>
        </w:rPr>
        <w:t>fração hegemônica do Bloco no Poder local, jogam papel fundamental na tomada de decisões governamentais em âmbito estadual e nos municípios, particularmente na política educacional implementada no campo, nas comunidades ribeirinhas, quilombolas e indígenas. Além da introdução e conclusão, este artigo é dividido em duas partes, onde na primeira é feito um breve histórico de como</w:t>
      </w:r>
      <w:r>
        <w:rPr>
          <w:rFonts w:ascii="Times New Roman" w:hAnsi="Times New Roman" w:cs="Times New Roman"/>
          <w:sz w:val="20"/>
          <w:szCs w:val="20"/>
        </w:rPr>
        <w:t xml:space="preserve"> as tensões e mudanças do bloco no poder dominante no Piauí periférico, influenciam para transformações nas políticas públicas prioritárias do Estado, e na segunda parte são feitas inferências sobre as relações entre as insuficiências na Política de Educação do Campo e os interesses do Agronegócio na exploração de recursos de vários tipos.  </w:t>
      </w:r>
    </w:p>
    <w:p w:rsidR="00196398" w:rsidRPr="00696125" w:rsidRDefault="00196398" w:rsidP="00196398">
      <w:pPr>
        <w:spacing w:line="240" w:lineRule="auto"/>
        <w:ind w:left="2835"/>
        <w:jc w:val="both"/>
        <w:rPr>
          <w:rFonts w:ascii="Times New Roman" w:hAnsi="Times New Roman" w:cs="Times New Roman"/>
          <w:sz w:val="20"/>
          <w:szCs w:val="20"/>
        </w:rPr>
      </w:pPr>
      <w:r>
        <w:rPr>
          <w:b/>
          <w:sz w:val="20"/>
          <w:szCs w:val="20"/>
        </w:rPr>
        <w:t>Palavras-chave</w:t>
      </w:r>
      <w:r>
        <w:rPr>
          <w:sz w:val="20"/>
          <w:szCs w:val="20"/>
        </w:rPr>
        <w:t xml:space="preserve">: </w:t>
      </w:r>
      <w:r>
        <w:rPr>
          <w:rFonts w:ascii="Times New Roman" w:hAnsi="Times New Roman" w:cs="Times New Roman"/>
          <w:sz w:val="20"/>
          <w:szCs w:val="20"/>
        </w:rPr>
        <w:t xml:space="preserve">Burguesia agrária; educação do campo; hegemonia.    </w:t>
      </w:r>
      <w:r w:rsidRPr="000E6D01">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196398" w:rsidRPr="00324ED8" w:rsidRDefault="00196398" w:rsidP="00196398">
      <w:pPr>
        <w:spacing w:line="240" w:lineRule="auto"/>
        <w:ind w:left="2835"/>
        <w:jc w:val="both"/>
        <w:rPr>
          <w:sz w:val="20"/>
          <w:szCs w:val="20"/>
          <w:lang w:val="en-US"/>
        </w:rPr>
      </w:pPr>
    </w:p>
    <w:p w:rsidR="00196398" w:rsidRPr="005E3576" w:rsidRDefault="00196398" w:rsidP="00196398">
      <w:pPr>
        <w:spacing w:line="240" w:lineRule="auto"/>
        <w:ind w:left="2835"/>
        <w:jc w:val="both"/>
        <w:rPr>
          <w:b/>
          <w:sz w:val="20"/>
          <w:szCs w:val="20"/>
          <w:lang w:val="en-US"/>
        </w:rPr>
      </w:pPr>
      <w:r w:rsidRPr="005E3576">
        <w:rPr>
          <w:b/>
          <w:sz w:val="20"/>
          <w:szCs w:val="20"/>
          <w:lang w:val="en-US"/>
        </w:rPr>
        <w:t>Abstract</w:t>
      </w:r>
    </w:p>
    <w:p w:rsidR="00196398" w:rsidRPr="00B01801" w:rsidRDefault="00196398" w:rsidP="001963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ascii="Times New Roman" w:eastAsia="Times New Roman" w:hAnsi="Times New Roman" w:cs="Times New Roman"/>
          <w:sz w:val="20"/>
          <w:szCs w:val="20"/>
          <w:lang w:val="en"/>
        </w:rPr>
      </w:pPr>
      <w:r w:rsidRPr="00B01801">
        <w:rPr>
          <w:rFonts w:ascii="Times New Roman" w:eastAsia="Times New Roman" w:hAnsi="Times New Roman" w:cs="Times New Roman"/>
          <w:sz w:val="20"/>
          <w:szCs w:val="20"/>
          <w:lang w:val="en"/>
        </w:rPr>
        <w:t xml:space="preserve">This article presents the argument that the interests of the agrarian bourgeoisie, as the hegemonic fraction of the local Power Bloc, play a fundamental role in government decision-making at the state and municipal levels, particularly in the educational policy implemented in rural areas, riverside communities, </w:t>
      </w:r>
      <w:proofErr w:type="spellStart"/>
      <w:r w:rsidRPr="00B01801">
        <w:rPr>
          <w:rFonts w:ascii="Times New Roman" w:eastAsia="Times New Roman" w:hAnsi="Times New Roman" w:cs="Times New Roman"/>
          <w:sz w:val="20"/>
          <w:szCs w:val="20"/>
          <w:lang w:val="en"/>
        </w:rPr>
        <w:t>quilombolas</w:t>
      </w:r>
      <w:proofErr w:type="spellEnd"/>
      <w:r w:rsidRPr="00B01801">
        <w:rPr>
          <w:rFonts w:ascii="Times New Roman" w:eastAsia="Times New Roman" w:hAnsi="Times New Roman" w:cs="Times New Roman"/>
          <w:sz w:val="20"/>
          <w:szCs w:val="20"/>
          <w:lang w:val="en"/>
        </w:rPr>
        <w:t xml:space="preserve"> and indigenous communities. In addition to the introduction and conclusion, this article </w:t>
      </w:r>
      <w:proofErr w:type="gramStart"/>
      <w:r w:rsidRPr="00B01801">
        <w:rPr>
          <w:rFonts w:ascii="Times New Roman" w:eastAsia="Times New Roman" w:hAnsi="Times New Roman" w:cs="Times New Roman"/>
          <w:sz w:val="20"/>
          <w:szCs w:val="20"/>
          <w:lang w:val="en"/>
        </w:rPr>
        <w:t>is divided</w:t>
      </w:r>
      <w:proofErr w:type="gramEnd"/>
      <w:r w:rsidRPr="00B01801">
        <w:rPr>
          <w:rFonts w:ascii="Times New Roman" w:eastAsia="Times New Roman" w:hAnsi="Times New Roman" w:cs="Times New Roman"/>
          <w:sz w:val="20"/>
          <w:szCs w:val="20"/>
          <w:lang w:val="en"/>
        </w:rPr>
        <w:t xml:space="preserve"> into two parts. The first provides a brief history of how tensions and changes in the dominant power bloc in peripheral </w:t>
      </w:r>
      <w:proofErr w:type="spellStart"/>
      <w:r w:rsidRPr="00B01801">
        <w:rPr>
          <w:rFonts w:ascii="Times New Roman" w:eastAsia="Times New Roman" w:hAnsi="Times New Roman" w:cs="Times New Roman"/>
          <w:sz w:val="20"/>
          <w:szCs w:val="20"/>
          <w:lang w:val="en"/>
        </w:rPr>
        <w:t>Piauí</w:t>
      </w:r>
      <w:proofErr w:type="spellEnd"/>
      <w:r w:rsidRPr="00B01801">
        <w:rPr>
          <w:rFonts w:ascii="Times New Roman" w:eastAsia="Times New Roman" w:hAnsi="Times New Roman" w:cs="Times New Roman"/>
          <w:sz w:val="20"/>
          <w:szCs w:val="20"/>
          <w:lang w:val="en"/>
        </w:rPr>
        <w:t xml:space="preserve"> influence transformations in the state's priority public policies. The second part draws inferences about the relationship between the shortcomings in the Rural Education Policy and the interests of Agribusiness in the exploitation of various types of resources. </w:t>
      </w:r>
    </w:p>
    <w:p w:rsidR="00196398" w:rsidRPr="00533912" w:rsidRDefault="00196398" w:rsidP="001963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ascii="Times New Roman" w:eastAsia="Times New Roman" w:hAnsi="Times New Roman" w:cs="Times New Roman"/>
          <w:color w:val="1F1F1F"/>
          <w:sz w:val="20"/>
          <w:szCs w:val="20"/>
        </w:rPr>
      </w:pPr>
      <w:r w:rsidRPr="00B01801">
        <w:rPr>
          <w:rFonts w:ascii="Times New Roman" w:eastAsia="Times New Roman" w:hAnsi="Times New Roman" w:cs="Times New Roman"/>
          <w:b/>
          <w:sz w:val="20"/>
          <w:szCs w:val="20"/>
          <w:lang w:val="en"/>
        </w:rPr>
        <w:t>Keywords:</w:t>
      </w:r>
      <w:r w:rsidRPr="00B01801">
        <w:rPr>
          <w:rFonts w:ascii="Times New Roman" w:eastAsia="Times New Roman" w:hAnsi="Times New Roman" w:cs="Times New Roman"/>
          <w:sz w:val="20"/>
          <w:szCs w:val="20"/>
          <w:lang w:val="en"/>
        </w:rPr>
        <w:t xml:space="preserve"> Agrarian bourgeoisie; rural education; hegemony.</w:t>
      </w:r>
    </w:p>
    <w:p w:rsidR="00196398" w:rsidRDefault="00196398" w:rsidP="00196398">
      <w:pPr>
        <w:spacing w:line="360" w:lineRule="auto"/>
        <w:jc w:val="both"/>
        <w:rPr>
          <w:sz w:val="24"/>
          <w:szCs w:val="24"/>
        </w:rPr>
      </w:pPr>
    </w:p>
    <w:p w:rsidR="00196398" w:rsidRDefault="00196398" w:rsidP="00196398">
      <w:pPr>
        <w:spacing w:line="360" w:lineRule="auto"/>
        <w:jc w:val="both"/>
        <w:rPr>
          <w:sz w:val="24"/>
          <w:szCs w:val="24"/>
        </w:rPr>
      </w:pPr>
    </w:p>
    <w:p w:rsidR="00196398" w:rsidRDefault="00196398" w:rsidP="00196398">
      <w:pPr>
        <w:spacing w:line="360" w:lineRule="auto"/>
        <w:jc w:val="both"/>
        <w:rPr>
          <w:sz w:val="24"/>
          <w:szCs w:val="24"/>
        </w:rPr>
      </w:pPr>
    </w:p>
    <w:p w:rsidR="00196398" w:rsidRDefault="00196398" w:rsidP="00196398">
      <w:pPr>
        <w:tabs>
          <w:tab w:val="left" w:pos="720"/>
          <w:tab w:val="left" w:pos="1440"/>
          <w:tab w:val="left" w:pos="2160"/>
          <w:tab w:val="center" w:pos="4537"/>
        </w:tabs>
        <w:spacing w:line="360" w:lineRule="auto"/>
        <w:rPr>
          <w:b/>
          <w:sz w:val="24"/>
          <w:szCs w:val="24"/>
        </w:rPr>
      </w:pPr>
      <w:r>
        <w:rPr>
          <w:b/>
          <w:sz w:val="24"/>
          <w:szCs w:val="24"/>
        </w:rPr>
        <w:br w:type="page"/>
      </w:r>
      <w:r>
        <w:rPr>
          <w:b/>
          <w:sz w:val="24"/>
          <w:szCs w:val="24"/>
        </w:rPr>
        <w:lastRenderedPageBreak/>
        <w:t>1</w:t>
      </w:r>
      <w:r>
        <w:rPr>
          <w:b/>
          <w:sz w:val="24"/>
          <w:szCs w:val="24"/>
        </w:rPr>
        <w:tab/>
        <w:t>INTRODUÇÃO</w:t>
      </w:r>
      <w:r>
        <w:rPr>
          <w:b/>
          <w:sz w:val="24"/>
          <w:szCs w:val="24"/>
        </w:rPr>
        <w:tab/>
      </w:r>
    </w:p>
    <w:p w:rsidR="00196398" w:rsidRDefault="00196398" w:rsidP="00196398">
      <w:pPr>
        <w:spacing w:line="360" w:lineRule="auto"/>
        <w:jc w:val="both"/>
        <w:rPr>
          <w:sz w:val="24"/>
          <w:szCs w:val="24"/>
        </w:rPr>
      </w:pPr>
    </w:p>
    <w:p w:rsidR="00196398" w:rsidRPr="005168DF" w:rsidRDefault="00196398" w:rsidP="00196398">
      <w:pPr>
        <w:spacing w:line="360" w:lineRule="auto"/>
        <w:ind w:firstLine="708"/>
        <w:jc w:val="both"/>
        <w:rPr>
          <w:sz w:val="24"/>
          <w:szCs w:val="24"/>
        </w:rPr>
      </w:pPr>
      <w:r w:rsidRPr="005168DF">
        <w:rPr>
          <w:sz w:val="24"/>
          <w:szCs w:val="24"/>
        </w:rPr>
        <w:t xml:space="preserve">Este artigo apresenta o argumento de que os interesses da burguesia agrária, enquanto fração dominante no bloco de poder local, joga papel fundamental na tomada de decisões governamentais em âmbito estadual e nos municípios, particularmente na política educacional implementada no campo, nas comunidades ribeirinhas, quilombolas e indígenas. Essa discussão parte da contribuição dos estudos de autores que pesquisam os temas das classes sociais, das frações de classes, do bloco no poder e das políticas sociais públicas. </w:t>
      </w:r>
    </w:p>
    <w:p w:rsidR="00196398" w:rsidRPr="005168DF" w:rsidRDefault="00196398" w:rsidP="00196398">
      <w:pPr>
        <w:spacing w:line="360" w:lineRule="auto"/>
        <w:ind w:firstLine="708"/>
        <w:jc w:val="both"/>
        <w:rPr>
          <w:sz w:val="24"/>
          <w:szCs w:val="24"/>
        </w:rPr>
      </w:pPr>
      <w:r w:rsidRPr="005168DF">
        <w:rPr>
          <w:sz w:val="24"/>
          <w:szCs w:val="24"/>
        </w:rPr>
        <w:t>Além desta introdução e da conclusão, este artigo é dividido em duas partes, onde na primeira é feito um breve histórico de como as tensões e mudanças do bloco no pod</w:t>
      </w:r>
      <w:r w:rsidR="005E36BC">
        <w:rPr>
          <w:sz w:val="24"/>
          <w:szCs w:val="24"/>
        </w:rPr>
        <w:t>er dominante no Piauí</w:t>
      </w:r>
      <w:r w:rsidRPr="005168DF">
        <w:rPr>
          <w:sz w:val="24"/>
          <w:szCs w:val="24"/>
        </w:rPr>
        <w:t xml:space="preserve">, influenciam para transformações nas políticas públicas prioritárias do Estado, e consequentemente para a qualidade do desenvolvimento econômico. E na segunda parte, são feitas inferências sobre as relações entre as insuficiências na Política de Educação do Campo no Piauí e os interesses do Agronegócio na exploração de recursos de vários tipos, o que exige uma estratégia de indução de movimentos migratórios do campo para as zonas urbanas, como forma de anulação do potencial crítico nos territórios rurais.  </w:t>
      </w:r>
    </w:p>
    <w:p w:rsidR="00196398" w:rsidRDefault="00196398" w:rsidP="00196398">
      <w:pPr>
        <w:spacing w:line="360" w:lineRule="auto"/>
        <w:jc w:val="both"/>
        <w:rPr>
          <w:sz w:val="24"/>
          <w:szCs w:val="24"/>
        </w:rPr>
      </w:pPr>
    </w:p>
    <w:p w:rsidR="00196398" w:rsidRDefault="00196398" w:rsidP="00196398">
      <w:pPr>
        <w:spacing w:line="360" w:lineRule="auto"/>
        <w:jc w:val="both"/>
        <w:rPr>
          <w:b/>
          <w:sz w:val="24"/>
          <w:szCs w:val="24"/>
        </w:rPr>
      </w:pPr>
      <w:r>
        <w:rPr>
          <w:b/>
          <w:sz w:val="24"/>
          <w:szCs w:val="24"/>
        </w:rPr>
        <w:t>2</w:t>
      </w:r>
      <w:r>
        <w:rPr>
          <w:b/>
          <w:sz w:val="24"/>
          <w:szCs w:val="24"/>
        </w:rPr>
        <w:tab/>
      </w:r>
      <w:r w:rsidR="004C0302">
        <w:rPr>
          <w:b/>
          <w:sz w:val="24"/>
          <w:szCs w:val="24"/>
        </w:rPr>
        <w:t>FRAÇÃO HEGEMÕ</w:t>
      </w:r>
      <w:r w:rsidRPr="00C74793">
        <w:rPr>
          <w:b/>
          <w:sz w:val="24"/>
          <w:szCs w:val="24"/>
        </w:rPr>
        <w:t>NICA DO BLOCO NO PODER E DESENVOLVIMENTO NO PIAUÍ</w:t>
      </w:r>
    </w:p>
    <w:p w:rsidR="00196398" w:rsidRDefault="00196398" w:rsidP="00196398">
      <w:pPr>
        <w:spacing w:line="360" w:lineRule="auto"/>
        <w:jc w:val="both"/>
        <w:rPr>
          <w:sz w:val="24"/>
          <w:szCs w:val="24"/>
        </w:rPr>
      </w:pPr>
    </w:p>
    <w:p w:rsidR="00196398" w:rsidRPr="00714915" w:rsidRDefault="00196398" w:rsidP="00196398">
      <w:pPr>
        <w:spacing w:line="360" w:lineRule="auto"/>
        <w:ind w:firstLine="708"/>
        <w:jc w:val="both"/>
        <w:rPr>
          <w:sz w:val="24"/>
          <w:szCs w:val="24"/>
        </w:rPr>
      </w:pPr>
      <w:r w:rsidRPr="00714915">
        <w:rPr>
          <w:sz w:val="24"/>
          <w:szCs w:val="24"/>
        </w:rPr>
        <w:t xml:space="preserve">A formação </w:t>
      </w:r>
      <w:r w:rsidR="00C5630F">
        <w:rPr>
          <w:sz w:val="24"/>
          <w:szCs w:val="24"/>
        </w:rPr>
        <w:t>do Piauí</w:t>
      </w:r>
      <w:r w:rsidRPr="00714915">
        <w:rPr>
          <w:sz w:val="24"/>
          <w:szCs w:val="24"/>
        </w:rPr>
        <w:t xml:space="preserve"> este</w:t>
      </w:r>
      <w:r w:rsidR="00F14F25">
        <w:rPr>
          <w:sz w:val="24"/>
          <w:szCs w:val="24"/>
        </w:rPr>
        <w:t xml:space="preserve">ve articulada com o </w:t>
      </w:r>
      <w:r w:rsidRPr="00714915">
        <w:rPr>
          <w:sz w:val="24"/>
          <w:szCs w:val="24"/>
        </w:rPr>
        <w:t>capitalismo mercantilista no “subsistema central” localizado na Europa, inserido num contexto em que “o colonialismo apresenta-se como a condição de existência dos subsistemas periféricos” (Pereira, 1978, p. 35). Nesse período, no final do século XVIII e início do século seguinte, a atividade econômica p</w:t>
      </w:r>
      <w:r w:rsidR="00F14F25">
        <w:rPr>
          <w:sz w:val="24"/>
          <w:szCs w:val="24"/>
        </w:rPr>
        <w:t>iauiense era praticamente</w:t>
      </w:r>
      <w:r w:rsidRPr="00714915">
        <w:rPr>
          <w:sz w:val="24"/>
          <w:szCs w:val="24"/>
        </w:rPr>
        <w:t xml:space="preserve"> a pecuária “de gado bovino e cavalar”, vindo a “se transformar na principal área pastoril do Nordeste, </w:t>
      </w:r>
      <w:r w:rsidRPr="00714915">
        <w:rPr>
          <w:sz w:val="24"/>
          <w:szCs w:val="24"/>
        </w:rPr>
        <w:lastRenderedPageBreak/>
        <w:t xml:space="preserve">sendo considerado durante séculos como o curral e o açougue das áreas canavieiras” (Mott, 1985, p. 61).  </w:t>
      </w:r>
    </w:p>
    <w:p w:rsidR="00196398" w:rsidRPr="00714915" w:rsidRDefault="00AC623B" w:rsidP="00196398">
      <w:pPr>
        <w:spacing w:line="360" w:lineRule="auto"/>
        <w:ind w:firstLine="708"/>
        <w:jc w:val="both"/>
        <w:rPr>
          <w:color w:val="000000"/>
          <w:sz w:val="24"/>
          <w:szCs w:val="24"/>
        </w:rPr>
      </w:pPr>
      <w:r>
        <w:rPr>
          <w:sz w:val="24"/>
          <w:szCs w:val="24"/>
        </w:rPr>
        <w:t>O Piauí</w:t>
      </w:r>
      <w:r w:rsidR="00196398" w:rsidRPr="00714915">
        <w:rPr>
          <w:sz w:val="24"/>
          <w:szCs w:val="24"/>
        </w:rPr>
        <w:t xml:space="preserve"> seguiu uma constância de concentração de terras e renda sob o dom</w:t>
      </w:r>
      <w:r w:rsidR="00DE6ED1">
        <w:rPr>
          <w:sz w:val="24"/>
          <w:szCs w:val="24"/>
        </w:rPr>
        <w:t xml:space="preserve">ínio de famílias </w:t>
      </w:r>
      <w:r w:rsidR="00196398" w:rsidRPr="00714915">
        <w:rPr>
          <w:sz w:val="24"/>
          <w:szCs w:val="24"/>
        </w:rPr>
        <w:t>da classe dominante</w:t>
      </w:r>
      <w:r w:rsidR="00DE6ED1">
        <w:rPr>
          <w:sz w:val="24"/>
          <w:szCs w:val="24"/>
        </w:rPr>
        <w:t xml:space="preserve"> em cada época</w:t>
      </w:r>
      <w:r w:rsidR="00F81613">
        <w:rPr>
          <w:sz w:val="24"/>
          <w:szCs w:val="24"/>
        </w:rPr>
        <w:t>, por meio de</w:t>
      </w:r>
      <w:r w:rsidR="00196398" w:rsidRPr="00714915">
        <w:rPr>
          <w:sz w:val="24"/>
          <w:szCs w:val="24"/>
        </w:rPr>
        <w:t xml:space="preserve"> métodos por “fora da lei” para o acúmulo de terras, como aponta o estudo discutido no V Seminário de Pesquisa Agropecuária do </w:t>
      </w:r>
      <w:r w:rsidR="00ED0747">
        <w:rPr>
          <w:sz w:val="24"/>
          <w:szCs w:val="24"/>
        </w:rPr>
        <w:t xml:space="preserve">Piauí organizado pela </w:t>
      </w:r>
      <w:r w:rsidR="00196398" w:rsidRPr="00714915">
        <w:rPr>
          <w:sz w:val="24"/>
          <w:szCs w:val="24"/>
        </w:rPr>
        <w:t>Empresa Brasileira de Pesquisa Agropecuária</w:t>
      </w:r>
      <w:r w:rsidR="00ED0747">
        <w:rPr>
          <w:sz w:val="24"/>
          <w:szCs w:val="24"/>
        </w:rPr>
        <w:t xml:space="preserve"> (EMBRAPA)</w:t>
      </w:r>
      <w:r w:rsidR="00196398" w:rsidRPr="00714915">
        <w:rPr>
          <w:sz w:val="24"/>
          <w:szCs w:val="24"/>
        </w:rPr>
        <w:t>, foi afirmado que “outros processos e mecanismos contribuíram para a concentração da posse da terra no Piauí, merecendo destaque a grilagem e a alienação de grandes extensões de terras pertencentes ao Estado” (Silva, 1988, p. 41). A fração de classe à qual pertenciam os latifundiários, os grandes pecuaristas e exploradores do extrativismo vegetal, antes</w:t>
      </w:r>
      <w:r w:rsidR="00F913F9">
        <w:rPr>
          <w:sz w:val="24"/>
          <w:szCs w:val="24"/>
        </w:rPr>
        <w:t xml:space="preserve"> de ser</w:t>
      </w:r>
      <w:r w:rsidR="00196398" w:rsidRPr="00714915">
        <w:rPr>
          <w:sz w:val="24"/>
          <w:szCs w:val="24"/>
        </w:rPr>
        <w:t xml:space="preserve"> Burguesia Agrária</w:t>
      </w:r>
      <w:r w:rsidR="00F913F9">
        <w:rPr>
          <w:sz w:val="24"/>
          <w:szCs w:val="24"/>
        </w:rPr>
        <w:t>, foi a</w:t>
      </w:r>
      <w:r w:rsidR="00196398" w:rsidRPr="00714915">
        <w:rPr>
          <w:sz w:val="24"/>
          <w:szCs w:val="24"/>
        </w:rPr>
        <w:t xml:space="preserve"> “aristocracia rural”, e </w:t>
      </w:r>
      <w:r w:rsidR="00196398" w:rsidRPr="00714915">
        <w:rPr>
          <w:color w:val="000000"/>
          <w:sz w:val="24"/>
          <w:szCs w:val="24"/>
        </w:rPr>
        <w:t>esta</w:t>
      </w:r>
      <w:r w:rsidR="00F913F9">
        <w:rPr>
          <w:color w:val="000000"/>
          <w:sz w:val="24"/>
          <w:szCs w:val="24"/>
        </w:rPr>
        <w:t>va articulada com</w:t>
      </w:r>
      <w:r w:rsidR="00196398" w:rsidRPr="00714915">
        <w:rPr>
          <w:color w:val="000000"/>
          <w:sz w:val="24"/>
          <w:szCs w:val="24"/>
        </w:rPr>
        <w:t xml:space="preserve"> o capital mercantil, dentro do contexto nacional, e de forma mediata, enviando produtos primários para indústria nos subsistemas centrais. </w:t>
      </w:r>
    </w:p>
    <w:p w:rsidR="00196398" w:rsidRPr="00714915" w:rsidRDefault="00196398" w:rsidP="00196398">
      <w:pPr>
        <w:spacing w:line="360" w:lineRule="auto"/>
        <w:ind w:firstLine="708"/>
        <w:jc w:val="both"/>
        <w:rPr>
          <w:color w:val="FF0000"/>
          <w:sz w:val="24"/>
          <w:szCs w:val="24"/>
        </w:rPr>
      </w:pPr>
      <w:r w:rsidRPr="00714915">
        <w:rPr>
          <w:color w:val="000000"/>
          <w:sz w:val="24"/>
          <w:szCs w:val="24"/>
        </w:rPr>
        <w:t xml:space="preserve">No final do século XIX, a rara participação de atividades industriais na economia piauiense era de predominância do setor agroindustrial, até o ano de 1893, quando foi instalada a Fábrica de Fiações e Tecidos Piauiense em Teresina, o que, contudo, não foi suficiente, nesse período, para a formação de uma burguesia industrial com estatura comparável à do setor primário da economia piauiense, como mais adiante em algumas décadas se formaria uma fração burguesa articulada com o capital comercial, que ocupou o lugar da fração agrária como detentora do poder de hegemonia na definição dos rumos governamentais e das prioridades dos benefícios estatais.  </w:t>
      </w:r>
    </w:p>
    <w:p w:rsidR="00196398" w:rsidRPr="00714915" w:rsidRDefault="0075067F" w:rsidP="00196398">
      <w:pPr>
        <w:spacing w:line="360" w:lineRule="auto"/>
        <w:ind w:firstLine="708"/>
        <w:jc w:val="both"/>
        <w:rPr>
          <w:sz w:val="24"/>
          <w:szCs w:val="24"/>
        </w:rPr>
      </w:pPr>
      <w:r>
        <w:rPr>
          <w:sz w:val="24"/>
          <w:szCs w:val="24"/>
        </w:rPr>
        <w:t>Contudo, a</w:t>
      </w:r>
      <w:r w:rsidR="00196398" w:rsidRPr="00714915">
        <w:rPr>
          <w:sz w:val="24"/>
          <w:szCs w:val="24"/>
        </w:rPr>
        <w:t xml:space="preserve">s condições materiais que garantiam a hegemonia da fração agrária não se alteravam substancialmente, em decorrência, de um lado, da concentração dos benefícios nacionais para as frações industriais na região sudeste, o que dificultava o desenvolvimento da indústria nas regiões periféricas em razão de insuficiências tecnológicas somadas à “fraqueza política no quadro da federação nacional”, e por outro lado, na dificuldade de transportes das mercadorias da região </w:t>
      </w:r>
      <w:r w:rsidR="00196398" w:rsidRPr="00714915">
        <w:rPr>
          <w:sz w:val="24"/>
          <w:szCs w:val="24"/>
        </w:rPr>
        <w:lastRenderedPageBreak/>
        <w:t xml:space="preserve">polo para as regiões periféricas, o que dificultava a expansão econômica do capital comercial nesses locais, incluindo o Piauí. Mas, a conjuntura econômica passa a se transformar, quando as demandas do Modo de Produção Capitalista impulsionadas por investimentos nacionais e estrangeiros, alteraram a infraestrutura rodoviária do país, como podemos compreender no estudo “Estado Burguês e Classes Dominantes no Brasil (1930-1964) ”, do Professor Dr. Farias, por meio do seguinte trecho de seu livro, no terceiro capítulo: </w:t>
      </w:r>
    </w:p>
    <w:p w:rsidR="00196398" w:rsidRPr="00714915" w:rsidRDefault="00196398" w:rsidP="00196398">
      <w:pPr>
        <w:ind w:firstLine="708"/>
        <w:jc w:val="both"/>
        <w:rPr>
          <w:sz w:val="24"/>
          <w:szCs w:val="24"/>
        </w:rPr>
      </w:pPr>
    </w:p>
    <w:p w:rsidR="00196398" w:rsidRPr="00714915" w:rsidRDefault="00196398" w:rsidP="00196398">
      <w:pPr>
        <w:spacing w:line="240" w:lineRule="auto"/>
        <w:ind w:left="2268"/>
        <w:jc w:val="both"/>
        <w:rPr>
          <w:sz w:val="20"/>
          <w:szCs w:val="20"/>
        </w:rPr>
      </w:pPr>
      <w:r w:rsidRPr="00714915">
        <w:rPr>
          <w:sz w:val="20"/>
          <w:szCs w:val="20"/>
        </w:rPr>
        <w:t xml:space="preserve">O problema dos transportes, até meados da década de 50, foi um fator de freio à invasão dos mercados periféricos. Mas, a partir da instalação da indústria pesada (siderurgia, petróleo), montou-se uma indústria automobilística, que viabilizou uma alteração radical no sistema de transportes do país, ligando as regiões. Nessa fase, ocorre a consolidação do domínio do capital comercial nas áreas periféricas. (Farias, 2017, p. 92) </w:t>
      </w:r>
    </w:p>
    <w:p w:rsidR="00196398" w:rsidRPr="00714915" w:rsidRDefault="00196398" w:rsidP="00196398">
      <w:pPr>
        <w:spacing w:line="240" w:lineRule="auto"/>
        <w:ind w:left="2268"/>
        <w:jc w:val="both"/>
        <w:rPr>
          <w:sz w:val="20"/>
          <w:szCs w:val="20"/>
        </w:rPr>
      </w:pPr>
    </w:p>
    <w:p w:rsidR="00196398" w:rsidRPr="00714915" w:rsidRDefault="00196398" w:rsidP="00196398">
      <w:pPr>
        <w:spacing w:line="360" w:lineRule="auto"/>
        <w:ind w:firstLine="708"/>
        <w:jc w:val="both"/>
        <w:rPr>
          <w:sz w:val="24"/>
          <w:szCs w:val="24"/>
        </w:rPr>
      </w:pPr>
      <w:r w:rsidRPr="00714915">
        <w:rPr>
          <w:sz w:val="24"/>
          <w:szCs w:val="24"/>
        </w:rPr>
        <w:t xml:space="preserve">As mudanças no sentido da ampliação da estrutura rodoviária federal contribuíram para consolidação de um processo anterior compreensível a partir do estudo comparativo de Farias (2017), que após trabalhar com o conceito de hegemonia referenciado em </w:t>
      </w:r>
      <w:proofErr w:type="spellStart"/>
      <w:r w:rsidRPr="00714915">
        <w:rPr>
          <w:sz w:val="24"/>
          <w:szCs w:val="24"/>
        </w:rPr>
        <w:t>Poulantzas</w:t>
      </w:r>
      <w:proofErr w:type="spellEnd"/>
      <w:r w:rsidRPr="00714915">
        <w:rPr>
          <w:sz w:val="24"/>
          <w:szCs w:val="24"/>
        </w:rPr>
        <w:t xml:space="preserve">, nos auxilia na apropriação do fato de que, no contexto nacional, a Burguesia Mercantil perdeu progressivamente a influência hegemônica depois da “revolução” de 1930, enquanto que, em território piauiense, a operacionalização do capital mercantil (atacadista) exerceu hegemonia nos benefícios estatais até meados da década de 50, quando o setor de serviços, articulados com o capital comercial, passou a responder por 51,5% da renda interna em 1968. Sendo operacionalizado por uma burguesia compradora, o capital comercial, por meio de sua fração no Bloco das classes dominantes, exerceu influência sobre as decisões do Estado, no sentido da criação de dificuldades para o crescimento da indústria local e na disponibilidade da menor parte do crédito dos bancos públicos para as atividades agropecuárias. Portanto, as relações inter-regionais entre diferentes tipos de frações podem ser compreendidas com maior nitidez quando o olhar é voltado para os conflitos ou alianças de classes, para além da dicotomia perceptível na Luta de Classes, e com essa perspectiva, a condição de “burguesia compradora” posicionava </w:t>
      </w:r>
      <w:r w:rsidRPr="00714915">
        <w:rPr>
          <w:sz w:val="24"/>
          <w:szCs w:val="24"/>
        </w:rPr>
        <w:lastRenderedPageBreak/>
        <w:t xml:space="preserve">a fração comercial da burguesia piauiense como aliada da fração industrial da burguesia paulista, como pode ser inferido da afirmação seguinte: </w:t>
      </w:r>
    </w:p>
    <w:p w:rsidR="00196398" w:rsidRPr="00714915" w:rsidRDefault="00196398" w:rsidP="00196398">
      <w:pPr>
        <w:spacing w:line="360" w:lineRule="auto"/>
        <w:ind w:firstLine="708"/>
        <w:jc w:val="both"/>
        <w:rPr>
          <w:sz w:val="24"/>
          <w:szCs w:val="24"/>
        </w:rPr>
      </w:pPr>
    </w:p>
    <w:p w:rsidR="00196398" w:rsidRPr="00714915" w:rsidRDefault="00196398" w:rsidP="00196398">
      <w:pPr>
        <w:spacing w:line="240" w:lineRule="auto"/>
        <w:ind w:left="2268"/>
        <w:jc w:val="both"/>
        <w:rPr>
          <w:sz w:val="20"/>
          <w:szCs w:val="20"/>
        </w:rPr>
      </w:pPr>
      <w:r w:rsidRPr="00714915">
        <w:rPr>
          <w:sz w:val="20"/>
          <w:szCs w:val="20"/>
        </w:rPr>
        <w:t xml:space="preserve">No mercado interno, o capital mercantil (controlador da produção primária) perde espaço para o capital comercial (subordinado à produção industrial). Assim, as exportações de São Paulo – polo econômico -, relativas aos gêneros alimentícios e às matérias-primas que, em 1930 representavam 25% das exportações para o resto do país, em 1960 eram de apenas 16%, enquanto a de produtos industrializados (insumos e bens finais) passaram de 75% para 84%. (Farias, 2017, p. 107) </w:t>
      </w:r>
    </w:p>
    <w:p w:rsidR="00196398" w:rsidRPr="00714915" w:rsidRDefault="00196398" w:rsidP="00196398">
      <w:pPr>
        <w:spacing w:line="240" w:lineRule="auto"/>
        <w:jc w:val="both"/>
        <w:rPr>
          <w:sz w:val="20"/>
          <w:szCs w:val="20"/>
        </w:rPr>
      </w:pPr>
    </w:p>
    <w:p w:rsidR="00196398" w:rsidRPr="00714915" w:rsidRDefault="0075067F" w:rsidP="00196398">
      <w:pPr>
        <w:spacing w:line="360" w:lineRule="auto"/>
        <w:ind w:firstLine="708"/>
        <w:jc w:val="both"/>
        <w:rPr>
          <w:sz w:val="24"/>
          <w:szCs w:val="24"/>
        </w:rPr>
      </w:pPr>
      <w:r>
        <w:rPr>
          <w:sz w:val="24"/>
          <w:szCs w:val="24"/>
        </w:rPr>
        <w:t>E</w:t>
      </w:r>
      <w:r w:rsidR="00196398" w:rsidRPr="00714915">
        <w:rPr>
          <w:sz w:val="24"/>
          <w:szCs w:val="24"/>
        </w:rPr>
        <w:t xml:space="preserve">ssa perca de espaço no âmbito das forças que compõem o Bloco no Poder, pode ser constatada nos dados da Carteira de Crédito do Banco do Brasil de 1956, que disponibilizava Cr$ 20.000.000,00 para a “Agropecuária”, Cr$ 44.000.000,00 para a “Indústria”, e Cr$ 161.000.000,00 para o “Comércio”, o que se concretizava como a repartição dos benefícios do governo central, atendendo aos interesses da fração hegemônica periférica e da fração hegemônica na região polo. Daquele período de conjuntura de atraso em relação aos demais estados do Nordeste e do Brasil, até o fim do século, o poder econômico e político da burguesia comercial local contribuiu bastante para o fraco desenvolvimento das forças produtivas no Piauí, resultando no aprofundamento das desigualdades sociais e negação de direitos humanos. </w:t>
      </w:r>
    </w:p>
    <w:p w:rsidR="00196398" w:rsidRPr="00714915" w:rsidRDefault="00196398" w:rsidP="00196398">
      <w:pPr>
        <w:spacing w:line="360" w:lineRule="auto"/>
        <w:ind w:firstLine="708"/>
        <w:jc w:val="both"/>
        <w:rPr>
          <w:sz w:val="24"/>
          <w:szCs w:val="24"/>
        </w:rPr>
      </w:pPr>
      <w:r w:rsidRPr="00714915">
        <w:rPr>
          <w:sz w:val="24"/>
          <w:szCs w:val="24"/>
        </w:rPr>
        <w:t>Após décadas de hegemonia da Fração Comercial, as transformações demográficas, provocadas por fluxos migratórios vindos da região sul do país com destino aos territórios do cerrado piauiense, alteraram a dinâmica da produção agrícola, contribuindo para a mudança do Bloco no Poder. Desde a primeira década do século XXI, coincidindo com a primeira eleição do Partido dos Trabalhadores para o governo piauiense, a hegemonia entre as classes dominantes vem sendo exercida pela Burguesia Agrária, fortalecida principalmente pelas exportações de grãos produzidos em monoculturas financiadas pelo Agronegócio, iniciadas com forças na década anterior, como está explicado no trecho seguinte:</w:t>
      </w:r>
    </w:p>
    <w:p w:rsidR="00196398" w:rsidRPr="00714915" w:rsidRDefault="00196398" w:rsidP="00196398">
      <w:pPr>
        <w:spacing w:line="360" w:lineRule="auto"/>
        <w:ind w:firstLine="708"/>
        <w:jc w:val="both"/>
        <w:rPr>
          <w:sz w:val="24"/>
          <w:szCs w:val="24"/>
        </w:rPr>
      </w:pPr>
      <w:r w:rsidRPr="00714915">
        <w:rPr>
          <w:sz w:val="24"/>
          <w:szCs w:val="24"/>
        </w:rPr>
        <w:t xml:space="preserve"> </w:t>
      </w:r>
    </w:p>
    <w:p w:rsidR="00196398" w:rsidRPr="00714915" w:rsidRDefault="00196398" w:rsidP="00196398">
      <w:pPr>
        <w:spacing w:line="240" w:lineRule="auto"/>
        <w:ind w:left="2268"/>
        <w:jc w:val="both"/>
        <w:rPr>
          <w:sz w:val="20"/>
          <w:szCs w:val="20"/>
          <w:shd w:val="clear" w:color="auto" w:fill="FFFFFF"/>
        </w:rPr>
      </w:pPr>
      <w:r w:rsidRPr="00714915">
        <w:rPr>
          <w:sz w:val="20"/>
          <w:szCs w:val="20"/>
          <w:shd w:val="clear" w:color="auto" w:fill="FFFFFF"/>
        </w:rPr>
        <w:t xml:space="preserve">Um duplo processo caracterizou as transformações na estrutura agrária do Piauí na década de 1990. De um lado, ocorre a modernização do latifúndio </w:t>
      </w:r>
      <w:r w:rsidRPr="00714915">
        <w:rPr>
          <w:sz w:val="20"/>
          <w:szCs w:val="20"/>
          <w:shd w:val="clear" w:color="auto" w:fill="FFFFFF"/>
        </w:rPr>
        <w:lastRenderedPageBreak/>
        <w:t xml:space="preserve">tradicional, através do crescimento da agropecuária capitalizada, tendo como principal incentivo as linhas de crédito do governo federal, o que implicou a expulsão do trabalhador-morador das grandes propriedades e a adoção crescente do trabalho assalariado ou </w:t>
      </w:r>
      <w:proofErr w:type="spellStart"/>
      <w:r w:rsidRPr="00714915">
        <w:rPr>
          <w:sz w:val="20"/>
          <w:szCs w:val="20"/>
          <w:shd w:val="clear" w:color="auto" w:fill="FFFFFF"/>
        </w:rPr>
        <w:t>semi-assalariado</w:t>
      </w:r>
      <w:proofErr w:type="spellEnd"/>
      <w:r w:rsidRPr="00714915">
        <w:rPr>
          <w:sz w:val="20"/>
          <w:szCs w:val="20"/>
          <w:shd w:val="clear" w:color="auto" w:fill="FFFFFF"/>
        </w:rPr>
        <w:t xml:space="preserve"> (pequenos rendeiros moradores de ponta de rua dos núcleos urbanos). (Farias, 2023, p. 14-28) </w:t>
      </w:r>
    </w:p>
    <w:p w:rsidR="00196398" w:rsidRPr="00714915" w:rsidRDefault="00196398" w:rsidP="00196398">
      <w:pPr>
        <w:spacing w:line="240" w:lineRule="auto"/>
        <w:jc w:val="both"/>
        <w:rPr>
          <w:sz w:val="20"/>
          <w:szCs w:val="20"/>
        </w:rPr>
      </w:pPr>
    </w:p>
    <w:p w:rsidR="00196398" w:rsidRPr="00714915" w:rsidRDefault="00196398" w:rsidP="00196398">
      <w:pPr>
        <w:spacing w:line="240" w:lineRule="auto"/>
        <w:jc w:val="both"/>
        <w:rPr>
          <w:sz w:val="20"/>
          <w:szCs w:val="20"/>
        </w:rPr>
      </w:pPr>
    </w:p>
    <w:p w:rsidR="00196398" w:rsidRPr="00714915" w:rsidRDefault="00196398" w:rsidP="00196398">
      <w:pPr>
        <w:spacing w:line="360" w:lineRule="auto"/>
        <w:ind w:firstLine="708"/>
        <w:jc w:val="both"/>
        <w:rPr>
          <w:sz w:val="24"/>
          <w:szCs w:val="24"/>
        </w:rPr>
      </w:pPr>
      <w:r w:rsidRPr="00714915">
        <w:rPr>
          <w:sz w:val="24"/>
          <w:szCs w:val="24"/>
        </w:rPr>
        <w:t xml:space="preserve"> De acordo com os dados contidos acima, onde predominava a atividade econômica de uma aristocracia rural, quando ocorre o deslocamento do poder político rural da influência majoritária dos latifundiários, para a influência política do Grande Capital, são criadas as condições, inclusive, para a substituição do coronelismo pelo clientelismo, e abertura de caminho para o surgimento da versão atualizada da Burguesia Agrária. Outro dado importante é que apesar da maior participação na economia ser do setor de comércio e de serviços, responsável por 74,8% do PIB, a fração que operacionaliza esse capital, não consegue impor uma narrativa ideológica que possibilite que seus interesses sejam tomados como objetivos gerais da sociedade, o que antes fazia parte de sua tática ao utilizar o discurso da “vocação agrícola” do Piauí (Farias, 2017, p. 99).</w:t>
      </w:r>
    </w:p>
    <w:p w:rsidR="00196398" w:rsidRPr="00422A60" w:rsidRDefault="00196398" w:rsidP="00196398">
      <w:pPr>
        <w:spacing w:line="360" w:lineRule="auto"/>
        <w:ind w:firstLine="708"/>
        <w:jc w:val="both"/>
        <w:rPr>
          <w:rFonts w:ascii="Times New Roman" w:hAnsi="Times New Roman" w:cs="Times New Roman"/>
          <w:sz w:val="24"/>
          <w:szCs w:val="24"/>
        </w:rPr>
      </w:pPr>
      <w:r w:rsidRPr="00714915">
        <w:rPr>
          <w:sz w:val="24"/>
          <w:szCs w:val="24"/>
        </w:rPr>
        <w:t>Por outro lado, a hegemonia da Burguesia Agrária não é expressa ideologicamente como de interesse de toda sociedade, como o</w:t>
      </w:r>
      <w:r w:rsidR="00FE358D">
        <w:rPr>
          <w:sz w:val="24"/>
          <w:szCs w:val="24"/>
        </w:rPr>
        <w:t>utrora, poderíamos constatar em</w:t>
      </w:r>
      <w:r w:rsidRPr="00714915">
        <w:rPr>
          <w:sz w:val="24"/>
          <w:szCs w:val="24"/>
        </w:rPr>
        <w:t xml:space="preserve"> pr</w:t>
      </w:r>
      <w:r w:rsidR="00FE358D">
        <w:rPr>
          <w:sz w:val="24"/>
          <w:szCs w:val="24"/>
        </w:rPr>
        <w:t>ogramas como</w:t>
      </w:r>
      <w:r w:rsidRPr="00714915">
        <w:rPr>
          <w:sz w:val="24"/>
          <w:szCs w:val="24"/>
        </w:rPr>
        <w:t xml:space="preserve"> “Piauí que Trabalha” da TV Cidade Verde, que não por mera coincidência pertence aos grupos empresariais pertencentes à Burguesia Comercial, que em seu período de poder hegemônico, se omitia de expressar ideologicamente seu domínio como método de evitar exposições a críticas políticas referentes às suas atividades que seriam mais suscetíveis de receberem acusações de “parasitárias”. Da mesma forma, nos anos recentes, a propaganda dominante na sociedade piauiense vem sendo a de defesa dos investimentos em energias renováveis, o que provoca questionamentos se estas intenções não guardam veladas os interesses do Agronegócio no Piauí, se constituindo como mais um interesse da burguesia agrária que pode dificultar a implementação da Política de Educação do Campo.</w:t>
      </w:r>
      <w:r w:rsidRPr="00422A60">
        <w:rPr>
          <w:rFonts w:ascii="Times New Roman" w:hAnsi="Times New Roman" w:cs="Times New Roman"/>
          <w:sz w:val="24"/>
          <w:szCs w:val="24"/>
        </w:rPr>
        <w:t xml:space="preserve"> </w:t>
      </w:r>
    </w:p>
    <w:p w:rsidR="00196398" w:rsidRDefault="00196398" w:rsidP="00196398">
      <w:pPr>
        <w:spacing w:line="360" w:lineRule="auto"/>
        <w:jc w:val="both"/>
        <w:rPr>
          <w:sz w:val="24"/>
          <w:szCs w:val="24"/>
        </w:rPr>
      </w:pPr>
    </w:p>
    <w:p w:rsidR="00196398" w:rsidRPr="00C74793" w:rsidRDefault="00196398" w:rsidP="00196398">
      <w:pPr>
        <w:jc w:val="both"/>
        <w:rPr>
          <w:b/>
          <w:sz w:val="24"/>
          <w:szCs w:val="24"/>
        </w:rPr>
      </w:pPr>
      <w:r>
        <w:rPr>
          <w:b/>
          <w:sz w:val="24"/>
          <w:szCs w:val="24"/>
        </w:rPr>
        <w:lastRenderedPageBreak/>
        <w:t xml:space="preserve">3 </w:t>
      </w:r>
      <w:r>
        <w:rPr>
          <w:b/>
          <w:sz w:val="24"/>
          <w:szCs w:val="24"/>
        </w:rPr>
        <w:tab/>
      </w:r>
      <w:r w:rsidRPr="00C74793">
        <w:rPr>
          <w:b/>
          <w:sz w:val="24"/>
          <w:szCs w:val="24"/>
        </w:rPr>
        <w:t xml:space="preserve">INTERESSES DA BURGUESIA AGRÁRIA E A POLÍTICA DE EDUCAÇÃO DO CAMPO </w:t>
      </w:r>
    </w:p>
    <w:p w:rsidR="00196398" w:rsidRPr="00C74793" w:rsidRDefault="00196398" w:rsidP="00196398">
      <w:pPr>
        <w:jc w:val="both"/>
        <w:rPr>
          <w:b/>
          <w:sz w:val="24"/>
          <w:szCs w:val="24"/>
        </w:rPr>
      </w:pPr>
    </w:p>
    <w:p w:rsidR="00196398" w:rsidRPr="00C74793" w:rsidRDefault="00196398" w:rsidP="00196398">
      <w:pPr>
        <w:spacing w:line="360" w:lineRule="auto"/>
        <w:ind w:firstLine="708"/>
        <w:jc w:val="both"/>
        <w:rPr>
          <w:sz w:val="24"/>
          <w:szCs w:val="24"/>
        </w:rPr>
      </w:pPr>
      <w:r w:rsidRPr="00C74793">
        <w:rPr>
          <w:sz w:val="24"/>
          <w:szCs w:val="24"/>
        </w:rPr>
        <w:t xml:space="preserve">A Política de Educação do Campo tem origem nas lutas e reivindicações dos movimentos sociais campesinos que conquistaram do Estado, o reconhecimento de que as particularidades históricas, sociais e culturais exigem uma modalidade educacional diferenciada para os territórios rurais, quilombolas, indígenas, das florestas e das águas. Portanto, trata-se de uma política que, “além de uma construção necessária, é também um direito estabelecido nos marcos normativos do País, em consonância com acordos e orientações internacionais” (Santana; Medeiros; Gonçalves, 2020, p. 2). </w:t>
      </w:r>
    </w:p>
    <w:p w:rsidR="00196398" w:rsidRPr="00C74793" w:rsidRDefault="00196398" w:rsidP="00196398">
      <w:pPr>
        <w:spacing w:line="360" w:lineRule="auto"/>
        <w:ind w:firstLine="708"/>
        <w:jc w:val="both"/>
        <w:rPr>
          <w:sz w:val="24"/>
          <w:szCs w:val="24"/>
          <w:shd w:val="clear" w:color="auto" w:fill="FFFFFF"/>
        </w:rPr>
      </w:pPr>
      <w:r w:rsidRPr="00C74793">
        <w:rPr>
          <w:sz w:val="24"/>
          <w:szCs w:val="24"/>
        </w:rPr>
        <w:t>No entanto, a realidade da educação nos municípios piauienses se expressa por meio da precarização no atendimento escolar; e na falta de investimentos em formação continuada que possibilite os e as docentes desenvolverem metodologias contextualizadas de acordo com o Artigo 28 da LDB (2012), configurando um quadro de negação do direito social à Educação pública, acentuado com o fechamento das unidades escolares destinadas ao atendimento da população rural, como informa o estudo das pesquisadoras Santana; Barros; &amp; Gonçalves (2020), que analisaram “</w:t>
      </w:r>
      <w:r w:rsidRPr="00C74793">
        <w:rPr>
          <w:sz w:val="24"/>
          <w:szCs w:val="24"/>
          <w:shd w:val="clear" w:color="auto" w:fill="FFFFFF"/>
        </w:rPr>
        <w:t>o direito à educação a partir da situação de cobertura escolar no meio rural do Piauí” (</w:t>
      </w:r>
      <w:r w:rsidRPr="00C74793">
        <w:rPr>
          <w:i/>
          <w:sz w:val="24"/>
          <w:szCs w:val="24"/>
          <w:shd w:val="clear" w:color="auto" w:fill="FFFFFF"/>
        </w:rPr>
        <w:t>id.</w:t>
      </w:r>
      <w:r w:rsidRPr="00C74793">
        <w:rPr>
          <w:sz w:val="24"/>
          <w:szCs w:val="24"/>
          <w:shd w:val="clear" w:color="auto" w:fill="FFFFFF"/>
        </w:rPr>
        <w:t xml:space="preserve">, 2020, p. 1). </w:t>
      </w:r>
    </w:p>
    <w:p w:rsidR="00196398" w:rsidRPr="00C74793" w:rsidRDefault="00020544" w:rsidP="00196398">
      <w:pPr>
        <w:spacing w:line="360" w:lineRule="auto"/>
        <w:ind w:firstLine="708"/>
        <w:jc w:val="both"/>
        <w:rPr>
          <w:sz w:val="24"/>
          <w:szCs w:val="24"/>
        </w:rPr>
      </w:pPr>
      <w:r>
        <w:rPr>
          <w:sz w:val="24"/>
          <w:szCs w:val="24"/>
          <w:shd w:val="clear" w:color="auto" w:fill="FFFFFF"/>
        </w:rPr>
        <w:t>Como</w:t>
      </w:r>
      <w:r w:rsidR="00196398" w:rsidRPr="00C74793">
        <w:rPr>
          <w:sz w:val="24"/>
          <w:szCs w:val="24"/>
          <w:shd w:val="clear" w:color="auto" w:fill="FFFFFF"/>
        </w:rPr>
        <w:t xml:space="preserve"> a Educação do Campo é uma modalidade educacional prevista</w:t>
      </w:r>
      <w:r w:rsidR="00DF6686">
        <w:rPr>
          <w:sz w:val="24"/>
          <w:szCs w:val="24"/>
          <w:shd w:val="clear" w:color="auto" w:fill="FFFFFF"/>
        </w:rPr>
        <w:t xml:space="preserve"> na legislação brasileira</w:t>
      </w:r>
      <w:r w:rsidR="00196398" w:rsidRPr="00C74793">
        <w:rPr>
          <w:sz w:val="24"/>
          <w:szCs w:val="24"/>
          <w:shd w:val="clear" w:color="auto" w:fill="FFFFFF"/>
        </w:rPr>
        <w:t xml:space="preserve">, o presente trabalho questiona quais seriam as razões para sistemática negação do direito à Educação para a população rural. </w:t>
      </w:r>
      <w:r w:rsidR="00196398" w:rsidRPr="00C74793">
        <w:rPr>
          <w:sz w:val="24"/>
          <w:szCs w:val="24"/>
        </w:rPr>
        <w:t xml:space="preserve">Alguns determinantes institucionais são objeto de estudo como prováveis fatores para o problema de fechamento das escolas nos territórios rurais, como aponta a pesquisa que, além de ratificar cientificamente a </w:t>
      </w:r>
      <w:r w:rsidR="00196398" w:rsidRPr="00C74793">
        <w:rPr>
          <w:sz w:val="24"/>
          <w:szCs w:val="24"/>
          <w:shd w:val="clear" w:color="auto" w:fill="FFFFFF"/>
        </w:rPr>
        <w:t>Escola do Campo e Educação Básica do Campo como direito, expondo os marcos legais e a luta política</w:t>
      </w:r>
      <w:r w:rsidR="00196398" w:rsidRPr="00C74793">
        <w:rPr>
          <w:sz w:val="35"/>
          <w:szCs w:val="35"/>
          <w:shd w:val="clear" w:color="auto" w:fill="FFFFFF"/>
        </w:rPr>
        <w:t xml:space="preserve">, </w:t>
      </w:r>
      <w:r w:rsidR="00196398" w:rsidRPr="00C74793">
        <w:rPr>
          <w:sz w:val="24"/>
          <w:szCs w:val="24"/>
        </w:rPr>
        <w:t xml:space="preserve">também estudou a relação entre a política de fundos que vincula o financiamento educacional com o número de matrículas.    </w:t>
      </w:r>
    </w:p>
    <w:p w:rsidR="00196398" w:rsidRPr="00C74793" w:rsidRDefault="00196398" w:rsidP="00196398">
      <w:pPr>
        <w:spacing w:line="360" w:lineRule="auto"/>
        <w:ind w:firstLine="708"/>
        <w:jc w:val="both"/>
        <w:rPr>
          <w:sz w:val="20"/>
          <w:szCs w:val="20"/>
        </w:rPr>
      </w:pPr>
      <w:r w:rsidRPr="00C74793">
        <w:rPr>
          <w:sz w:val="24"/>
          <w:szCs w:val="24"/>
          <w:shd w:val="clear" w:color="auto" w:fill="FFFFFF"/>
        </w:rPr>
        <w:lastRenderedPageBreak/>
        <w:t xml:space="preserve">No estudo das autoras, a Constituição Federal de 1988 e a política de financiamento, são citados como elementos garantidores da universalidade da implementação da Política de Educação, mas que, no entanto, não se materializam em fatos ou elementos fortes o suficiente para disputar com o poder que influencia na ineficiência dos sistemas públicos educacionais no que tange à garantia de base material e metodologias diferentes para clientelas diferentes, como pode ser analisado, no trecho seguinte:  </w:t>
      </w:r>
    </w:p>
    <w:p w:rsidR="00196398" w:rsidRPr="00C74793" w:rsidRDefault="00196398" w:rsidP="00196398">
      <w:pPr>
        <w:spacing w:line="240" w:lineRule="auto"/>
        <w:ind w:left="2268"/>
        <w:jc w:val="both"/>
        <w:rPr>
          <w:sz w:val="20"/>
          <w:szCs w:val="20"/>
        </w:rPr>
      </w:pPr>
      <w:r w:rsidRPr="00C74793">
        <w:rPr>
          <w:sz w:val="20"/>
          <w:szCs w:val="20"/>
        </w:rPr>
        <w:t>Apesar do preceito constitucional contido nos Artigos 205 e 206 da Constituição Federal, que afirma a educação como direito de todos, em igualdade de condições e da política de financiamento assegurada no FUNDEB, há, no Piauí, o aprofundamento do processo de exclusão das populações do campo, traduzindo a violação ao direito. (Santana; Medeiros; Gonçalves, 2020, p. 3)</w:t>
      </w:r>
    </w:p>
    <w:p w:rsidR="00196398" w:rsidRPr="00C74793" w:rsidRDefault="00196398" w:rsidP="00196398">
      <w:pPr>
        <w:spacing w:line="240" w:lineRule="auto"/>
        <w:jc w:val="both"/>
        <w:rPr>
          <w:sz w:val="24"/>
          <w:szCs w:val="24"/>
        </w:rPr>
      </w:pPr>
    </w:p>
    <w:p w:rsidR="00196398" w:rsidRPr="00C74793" w:rsidRDefault="0044231D" w:rsidP="00196398">
      <w:pPr>
        <w:spacing w:before="240" w:line="360" w:lineRule="auto"/>
        <w:ind w:firstLine="708"/>
        <w:jc w:val="both"/>
        <w:rPr>
          <w:sz w:val="24"/>
          <w:szCs w:val="24"/>
        </w:rPr>
      </w:pPr>
      <w:r>
        <w:rPr>
          <w:sz w:val="24"/>
          <w:szCs w:val="24"/>
        </w:rPr>
        <w:t>A</w:t>
      </w:r>
      <w:r w:rsidR="00196398" w:rsidRPr="00C74793">
        <w:rPr>
          <w:sz w:val="24"/>
          <w:szCs w:val="24"/>
        </w:rPr>
        <w:t xml:space="preserve">s e os estudantes das escolas públicas nas periferias urbanas vivenciam a desigualdade dentro da política pública, e a população do campo está excluída da política pública universal como recomendada pela LDB (2012). Se na década de 30 do século XX a escola no meio rural, mesmo que voltada para o treinamento, “se tornou parte de uma estratégia para conter o fluxo migratório do campo para a cidade” (Santana; Medeiros; Gonçalves, 2020, p. 5), no atual contexto, a necessidade na lógica da acumulação capitalista no campo é de expansão territorial, o que exige o esvaziamento populacional nesses territórios, que é facilitado com a negação do direito à educação associado a outros tipos de opressão. </w:t>
      </w:r>
    </w:p>
    <w:p w:rsidR="00196398" w:rsidRPr="00C74793" w:rsidRDefault="00196398" w:rsidP="00196398">
      <w:pPr>
        <w:spacing w:before="240" w:line="240" w:lineRule="auto"/>
        <w:ind w:firstLine="708"/>
        <w:jc w:val="both"/>
        <w:rPr>
          <w:sz w:val="24"/>
          <w:szCs w:val="24"/>
        </w:rPr>
      </w:pPr>
    </w:p>
    <w:p w:rsidR="00196398" w:rsidRPr="00C74793" w:rsidRDefault="00196398" w:rsidP="00196398">
      <w:pPr>
        <w:spacing w:line="240" w:lineRule="auto"/>
        <w:ind w:left="2268"/>
        <w:jc w:val="both"/>
        <w:rPr>
          <w:sz w:val="20"/>
          <w:szCs w:val="20"/>
        </w:rPr>
      </w:pPr>
      <w:r w:rsidRPr="00C74793">
        <w:rPr>
          <w:sz w:val="20"/>
          <w:szCs w:val="20"/>
        </w:rPr>
        <w:t>No Piauí, somente no período de 1991 a 2000, a queda na taxa de crescimento acumulado foi de 13,25%. Esse fenômeno tem relação direta com o tipo de tratamento mencionado, em que se destaca a falta de uma política educacional adequada às suas especificidades e que assegure condições de acesso, permanência e progressão na escolarização de seus habitantes. (Santana; Medeiros; Gonçalves, 2020, p. 6)</w:t>
      </w:r>
    </w:p>
    <w:p w:rsidR="00196398" w:rsidRPr="00C74793" w:rsidRDefault="00196398" w:rsidP="00196398">
      <w:pPr>
        <w:spacing w:line="240" w:lineRule="auto"/>
        <w:jc w:val="both"/>
        <w:rPr>
          <w:sz w:val="20"/>
          <w:szCs w:val="20"/>
        </w:rPr>
      </w:pPr>
    </w:p>
    <w:p w:rsidR="00196398" w:rsidRPr="00C74793" w:rsidRDefault="00196398" w:rsidP="00196398">
      <w:pPr>
        <w:spacing w:line="240" w:lineRule="auto"/>
        <w:jc w:val="both"/>
        <w:rPr>
          <w:sz w:val="20"/>
          <w:szCs w:val="20"/>
        </w:rPr>
      </w:pPr>
    </w:p>
    <w:p w:rsidR="00196398" w:rsidRPr="00C74793" w:rsidRDefault="00196398" w:rsidP="00196398">
      <w:pPr>
        <w:spacing w:line="360" w:lineRule="auto"/>
        <w:ind w:firstLine="708"/>
        <w:jc w:val="both"/>
        <w:rPr>
          <w:sz w:val="24"/>
          <w:szCs w:val="24"/>
        </w:rPr>
      </w:pPr>
      <w:r w:rsidRPr="00C74793">
        <w:rPr>
          <w:sz w:val="24"/>
          <w:szCs w:val="24"/>
        </w:rPr>
        <w:t xml:space="preserve">O argumento principal deste trabalho aponta no sentido de que os fatores com maior peso nas dificuldades de implementação da Política Educação do Campo não </w:t>
      </w:r>
      <w:r w:rsidRPr="00C74793">
        <w:rPr>
          <w:sz w:val="24"/>
          <w:szCs w:val="24"/>
        </w:rPr>
        <w:lastRenderedPageBreak/>
        <w:t>são orçamentários, mas são os que tem raízes comum no processo histórico de opressões e exploração que essas populações sofrem, e que não foi revertido com a implementação de políticas sociais públicas que garantissem o direito de permanência e vivência plena de suas culturas no campo, pois a presente problematização dialoga com o estudo das autoras já mencionadas, dentre outros pontos, quando as mesmas destacam que “</w:t>
      </w:r>
      <w:r w:rsidRPr="00C74793">
        <w:rPr>
          <w:sz w:val="24"/>
          <w:szCs w:val="24"/>
          <w:shd w:val="clear" w:color="auto" w:fill="FFFFFF"/>
        </w:rPr>
        <w:t xml:space="preserve">esse quadro integra a dinâmica social que se move a partir de tensões e disputas  forjadas e justificadas no desenvolvimento desigual e que leva à violação do direito </w:t>
      </w:r>
      <w:r w:rsidRPr="00C74793">
        <w:rPr>
          <w:sz w:val="24"/>
          <w:szCs w:val="24"/>
        </w:rPr>
        <w:t>(</w:t>
      </w:r>
      <w:r w:rsidRPr="00C74793">
        <w:rPr>
          <w:i/>
          <w:sz w:val="24"/>
          <w:szCs w:val="24"/>
        </w:rPr>
        <w:t>idem</w:t>
      </w:r>
      <w:r w:rsidRPr="00C74793">
        <w:rPr>
          <w:sz w:val="24"/>
          <w:szCs w:val="24"/>
        </w:rPr>
        <w:t>, 2020, p. 6).</w:t>
      </w:r>
    </w:p>
    <w:p w:rsidR="00196398" w:rsidRPr="00C74793" w:rsidRDefault="00196398" w:rsidP="00196398">
      <w:pPr>
        <w:spacing w:line="360" w:lineRule="auto"/>
        <w:ind w:firstLine="708"/>
        <w:jc w:val="both"/>
        <w:rPr>
          <w:sz w:val="24"/>
          <w:szCs w:val="24"/>
        </w:rPr>
      </w:pPr>
      <w:r w:rsidRPr="00C74793">
        <w:rPr>
          <w:sz w:val="24"/>
          <w:szCs w:val="24"/>
        </w:rPr>
        <w:t xml:space="preserve">A hipótese do desenvolvimento desigual como justificativa para dinâmica social que nega às populações campesinas, quilombolas, das águas e indígenas piauienses o direito pleno à Educação, adquire mais força científica quando observamos a contribuição de Farias (2017) ao estudar os conflitos regionais na disputa por hegemonia do bloco no poder regional, quando constatamos que, em determinados contextos que existem conflitos de interesses, ou quando um interesse de uma fração burguesa não é prioridade para outra fração, ocorrem ou são permitidas políticas públicas que favorecem frações das classes dominadas. Foi o caso das políticas sociais destinadas aos setores populares, que foram implementadas mesmo sob protestos dos representantes da liderança industrial que reivindicavam que estes recursos fossem investidos em infraestrutura que favorecessem a industrialização. Também foi o caso da ampliação das vagas de ensino superior nos governos Lula I e II, em decorrência dos conflitos de interesses entre burguesia industrial e o capital privado no setor educacional. </w:t>
      </w:r>
    </w:p>
    <w:p w:rsidR="00196398" w:rsidRPr="00C74793" w:rsidRDefault="009E1274" w:rsidP="00196398">
      <w:pPr>
        <w:spacing w:line="360" w:lineRule="auto"/>
        <w:ind w:firstLine="708"/>
        <w:jc w:val="both"/>
        <w:rPr>
          <w:sz w:val="24"/>
          <w:szCs w:val="24"/>
        </w:rPr>
      </w:pPr>
      <w:r>
        <w:rPr>
          <w:sz w:val="24"/>
          <w:szCs w:val="24"/>
        </w:rPr>
        <w:t>O fato que confirma</w:t>
      </w:r>
      <w:r w:rsidR="00196398" w:rsidRPr="00C74793">
        <w:rPr>
          <w:sz w:val="24"/>
          <w:szCs w:val="24"/>
        </w:rPr>
        <w:t xml:space="preserve"> parci</w:t>
      </w:r>
      <w:r w:rsidR="002073C7">
        <w:rPr>
          <w:sz w:val="24"/>
          <w:szCs w:val="24"/>
        </w:rPr>
        <w:t>almente a hipótese</w:t>
      </w:r>
      <w:r w:rsidR="00196398" w:rsidRPr="00C74793">
        <w:rPr>
          <w:sz w:val="24"/>
          <w:szCs w:val="24"/>
        </w:rPr>
        <w:t xml:space="preserve"> </w:t>
      </w:r>
      <w:r w:rsidR="002073C7">
        <w:rPr>
          <w:sz w:val="24"/>
          <w:szCs w:val="24"/>
        </w:rPr>
        <w:t>d</w:t>
      </w:r>
      <w:r w:rsidR="00196398" w:rsidRPr="00C74793">
        <w:rPr>
          <w:sz w:val="24"/>
          <w:szCs w:val="24"/>
        </w:rPr>
        <w:t xml:space="preserve">este trabalho, é que em nível de país, o que cabe às instâncias nacionais foi encaminhado de acordo com as exigências dos movimentos sociais do campo, como: a instituição do Programa Nacional de Educação na Reforma Agrária (PRONERA); a aprovação de resoluções que instituíram as Diretrizes Operacionais para Educação Básica nas Escolas do Campo pelo Conselho Nacional de Educação (CNE) por meio de sua Câmara de Educação Básica (CEB); a implementação de programas destinados às Escolas do </w:t>
      </w:r>
      <w:r w:rsidR="00196398" w:rsidRPr="00C74793">
        <w:rPr>
          <w:sz w:val="24"/>
          <w:szCs w:val="24"/>
        </w:rPr>
        <w:lastRenderedPageBreak/>
        <w:t xml:space="preserve">Campo subordinados à Política de Educação do Campo pelo Ministério da Educação (MEC) do Governo Federal;  e a implantação dos cursos de Licenciatura em Educação do Campo nas universidades públicas federais. Apesar da estratégia de desmonte das políticas públicas iniciado com o golpe de 2016, a coincidência com aqueles fatos é que a Burguesia Agrária brasileira atualmente não está como fração hegemônica entre o Bloco no Poder do país.  </w:t>
      </w:r>
    </w:p>
    <w:p w:rsidR="00196398" w:rsidRDefault="00196398" w:rsidP="000014E0">
      <w:pPr>
        <w:spacing w:line="360" w:lineRule="auto"/>
        <w:ind w:firstLine="708"/>
        <w:jc w:val="both"/>
        <w:rPr>
          <w:sz w:val="24"/>
          <w:szCs w:val="24"/>
        </w:rPr>
      </w:pPr>
      <w:r w:rsidRPr="00C74793">
        <w:rPr>
          <w:sz w:val="24"/>
          <w:szCs w:val="24"/>
        </w:rPr>
        <w:t xml:space="preserve">Contudo, quando houve a implementação pelo Estado de políticas sociais defendidas pela Burguesia Comercial piauiense em seu período hegemônico, considerando condições materiais hipotéticas, se a hegemonia no contexto piauiense fosse da Burguesia Industrial e houvesse um interesse concreto desta fração na qualificação da força de trabalho a ser utilizada em suas atividades produtivas, além da formação de um mercado consumidor nos territórios rurais, haveria as condições políticas para aquela fração se posicionar em defesa da implementação de uma política de Educação do Campo sistematizada, numa postura de burguesia interna, nos termos de </w:t>
      </w:r>
      <w:proofErr w:type="spellStart"/>
      <w:r w:rsidRPr="00C74793">
        <w:rPr>
          <w:sz w:val="24"/>
          <w:szCs w:val="24"/>
        </w:rPr>
        <w:t>Poulantzas</w:t>
      </w:r>
      <w:proofErr w:type="spellEnd"/>
      <w:r w:rsidRPr="00C74793">
        <w:rPr>
          <w:sz w:val="24"/>
          <w:szCs w:val="24"/>
        </w:rPr>
        <w:t xml:space="preserve"> (</w:t>
      </w:r>
      <w:r w:rsidRPr="00C74793">
        <w:rPr>
          <w:i/>
          <w:sz w:val="24"/>
          <w:szCs w:val="24"/>
        </w:rPr>
        <w:t>apud</w:t>
      </w:r>
      <w:r w:rsidRPr="00C74793">
        <w:rPr>
          <w:sz w:val="24"/>
          <w:szCs w:val="24"/>
        </w:rPr>
        <w:t xml:space="preserve"> Farias, 2009).</w:t>
      </w:r>
    </w:p>
    <w:p w:rsidR="00196398" w:rsidRDefault="00196398" w:rsidP="00196398">
      <w:pPr>
        <w:spacing w:line="360" w:lineRule="auto"/>
        <w:jc w:val="both"/>
        <w:rPr>
          <w:sz w:val="24"/>
          <w:szCs w:val="24"/>
        </w:rPr>
      </w:pPr>
    </w:p>
    <w:p w:rsidR="00196398" w:rsidRDefault="00196398" w:rsidP="00196398">
      <w:pPr>
        <w:spacing w:line="360" w:lineRule="auto"/>
        <w:jc w:val="both"/>
        <w:rPr>
          <w:b/>
          <w:sz w:val="24"/>
          <w:szCs w:val="24"/>
        </w:rPr>
      </w:pPr>
      <w:r w:rsidRPr="00C74793">
        <w:rPr>
          <w:b/>
          <w:sz w:val="24"/>
          <w:szCs w:val="24"/>
        </w:rPr>
        <w:t xml:space="preserve">4 </w:t>
      </w:r>
      <w:r>
        <w:rPr>
          <w:b/>
          <w:sz w:val="24"/>
          <w:szCs w:val="24"/>
        </w:rPr>
        <w:tab/>
      </w:r>
      <w:r w:rsidRPr="00C74793">
        <w:rPr>
          <w:b/>
          <w:sz w:val="24"/>
          <w:szCs w:val="24"/>
        </w:rPr>
        <w:t>CONCLUSÃO</w:t>
      </w:r>
    </w:p>
    <w:p w:rsidR="00196398" w:rsidRDefault="00196398" w:rsidP="00196398">
      <w:pPr>
        <w:spacing w:line="360" w:lineRule="auto"/>
        <w:jc w:val="both"/>
        <w:rPr>
          <w:b/>
          <w:sz w:val="24"/>
          <w:szCs w:val="24"/>
        </w:rPr>
      </w:pPr>
    </w:p>
    <w:p w:rsidR="00196398" w:rsidRPr="00C74793" w:rsidRDefault="00196398" w:rsidP="00196398">
      <w:pPr>
        <w:spacing w:line="360" w:lineRule="auto"/>
        <w:ind w:firstLine="708"/>
        <w:jc w:val="both"/>
        <w:rPr>
          <w:sz w:val="24"/>
          <w:szCs w:val="24"/>
        </w:rPr>
      </w:pPr>
      <w:r w:rsidRPr="00C74793">
        <w:rPr>
          <w:sz w:val="24"/>
          <w:szCs w:val="24"/>
        </w:rPr>
        <w:t xml:space="preserve">Sem a pretensão de esgotar a discussão em torno de como se processa no Piauí, a relação entre as políticas educacionais à população rural e o conjunto de interesses sociais que estruturam e são estruturados pelo modo de produção capitalista, destacamos que as contribuições teóricas de </w:t>
      </w:r>
      <w:proofErr w:type="spellStart"/>
      <w:r w:rsidRPr="00C74793">
        <w:rPr>
          <w:sz w:val="24"/>
          <w:szCs w:val="24"/>
        </w:rPr>
        <w:t>Poulantzas</w:t>
      </w:r>
      <w:proofErr w:type="spellEnd"/>
      <w:r w:rsidRPr="00C74793">
        <w:rPr>
          <w:sz w:val="24"/>
          <w:szCs w:val="24"/>
        </w:rPr>
        <w:t xml:space="preserve"> (</w:t>
      </w:r>
      <w:r w:rsidRPr="00C74793">
        <w:rPr>
          <w:i/>
          <w:sz w:val="24"/>
          <w:szCs w:val="24"/>
        </w:rPr>
        <w:t>idem</w:t>
      </w:r>
      <w:r w:rsidRPr="00C74793">
        <w:rPr>
          <w:sz w:val="24"/>
          <w:szCs w:val="24"/>
        </w:rPr>
        <w:t xml:space="preserve">, 2009) e outros autores que se debruçam sobre o tema das classes sociais e frações de classe, são úteis para pesquisas e estudos mais aprofundados acerca das prováveis conexões entre a necessidade de expansão territorial do Agronegócio e a estratégia de esvaziamento demográfico e da consequente anulação do potencial crítico nesses territórios. </w:t>
      </w:r>
    </w:p>
    <w:p w:rsidR="00196398" w:rsidRPr="00C74793" w:rsidRDefault="00196398" w:rsidP="00196398">
      <w:pPr>
        <w:spacing w:line="360" w:lineRule="auto"/>
        <w:ind w:firstLine="708"/>
        <w:jc w:val="both"/>
        <w:rPr>
          <w:sz w:val="24"/>
          <w:szCs w:val="24"/>
        </w:rPr>
      </w:pPr>
      <w:r w:rsidRPr="00C74793">
        <w:rPr>
          <w:sz w:val="24"/>
          <w:szCs w:val="24"/>
        </w:rPr>
        <w:t xml:space="preserve">O estudo do professor Farias (2017), nos forneceu subsídios que permite a reflexão de que as alianças e conflitos inter-regionais no Brasil entre as frações de </w:t>
      </w:r>
      <w:r w:rsidRPr="00C74793">
        <w:rPr>
          <w:sz w:val="24"/>
          <w:szCs w:val="24"/>
        </w:rPr>
        <w:lastRenderedPageBreak/>
        <w:t xml:space="preserve">classe (das regiões centrais e das regiões periféricas), condicionados pelo desenvolvimento desigual do capitalismo, são capazes de provocar diferenciações na implementação de políticas sociais do mesmo tipo, dependendo da fração hegemônica em cada estado, como aconteceu com as políticas sociais defendidas pela Burguesia Comercial e implementadas pelo Governo do Piauí e o Serviço Social do Comércio (SESC) nas décadas de hegemonia desta fração burguesa. </w:t>
      </w:r>
    </w:p>
    <w:p w:rsidR="00196398" w:rsidRPr="00C74793" w:rsidRDefault="00196398" w:rsidP="00196398">
      <w:pPr>
        <w:spacing w:line="360" w:lineRule="auto"/>
        <w:ind w:firstLine="708"/>
        <w:jc w:val="both"/>
        <w:rPr>
          <w:sz w:val="24"/>
          <w:szCs w:val="24"/>
          <w:shd w:val="clear" w:color="auto" w:fill="FFFFFF"/>
        </w:rPr>
      </w:pPr>
      <w:r w:rsidRPr="00C74793">
        <w:rPr>
          <w:sz w:val="24"/>
          <w:szCs w:val="24"/>
        </w:rPr>
        <w:t>Da mesma forma, são úteis as contribuições que estudam o</w:t>
      </w:r>
      <w:r w:rsidRPr="00C74793">
        <w:rPr>
          <w:sz w:val="24"/>
          <w:szCs w:val="24"/>
          <w:shd w:val="clear" w:color="auto" w:fill="FFFFFF"/>
        </w:rPr>
        <w:t xml:space="preserve"> direito à Educação do Campo no estado do Piauí no contexto dos fundos de financiamento e que possibilitam o conhecimento de como é a realidade da oferta da educação básica na zona rural piauiense. Para a proposição de políticas públicas coerentes com as reais necessidades do público, é imprescindível que sejam realizadas pesquisas que considerem as movimentações sociais, culturais e políticas. </w:t>
      </w:r>
    </w:p>
    <w:p w:rsidR="00196398" w:rsidRPr="00C74793" w:rsidRDefault="00196398" w:rsidP="00196398">
      <w:pPr>
        <w:spacing w:line="360" w:lineRule="auto"/>
        <w:ind w:firstLine="708"/>
        <w:jc w:val="both"/>
        <w:rPr>
          <w:sz w:val="24"/>
          <w:szCs w:val="24"/>
          <w:shd w:val="clear" w:color="auto" w:fill="FFFFFF"/>
        </w:rPr>
      </w:pPr>
      <w:r w:rsidRPr="00C74793">
        <w:rPr>
          <w:sz w:val="24"/>
          <w:szCs w:val="24"/>
          <w:shd w:val="clear" w:color="auto" w:fill="FFFFFF"/>
        </w:rPr>
        <w:t xml:space="preserve">Por fim do presente trabalho, segundo o entendimento de que os interesses de uma </w:t>
      </w:r>
      <w:r w:rsidR="00854029">
        <w:rPr>
          <w:sz w:val="24"/>
          <w:szCs w:val="24"/>
          <w:shd w:val="clear" w:color="auto" w:fill="FFFFFF"/>
        </w:rPr>
        <w:t>fração hegemônica determinam a</w:t>
      </w:r>
      <w:r w:rsidRPr="00C74793">
        <w:rPr>
          <w:sz w:val="24"/>
          <w:szCs w:val="24"/>
          <w:shd w:val="clear" w:color="auto" w:fill="FFFFFF"/>
        </w:rPr>
        <w:t xml:space="preserve"> estratégia de desenvolvimento patrocinada pelo Estado, fica o questionamento sobre quais seriam as razões para não a negação de políticas públicas de Educação para frações campesinas da classe trabalhadora, senão os interesses do Agronegócio na exploração dos recursos naturais dos territórios rurais sem terem que lidar com as oposições críticas da população atingida pela expansão dos negócios capitalistas no campo.  </w:t>
      </w:r>
    </w:p>
    <w:p w:rsidR="00196398" w:rsidRDefault="00196398" w:rsidP="00196398">
      <w:pPr>
        <w:spacing w:line="360" w:lineRule="auto"/>
        <w:jc w:val="both"/>
        <w:rPr>
          <w:b/>
          <w:sz w:val="24"/>
          <w:szCs w:val="24"/>
        </w:rPr>
      </w:pPr>
      <w:r w:rsidRPr="00C74793">
        <w:rPr>
          <w:b/>
          <w:sz w:val="24"/>
          <w:szCs w:val="24"/>
        </w:rPr>
        <w:t xml:space="preserve"> </w:t>
      </w:r>
    </w:p>
    <w:p w:rsidR="00196398" w:rsidRPr="007F6A8E" w:rsidRDefault="00196398" w:rsidP="00196398">
      <w:pPr>
        <w:spacing w:line="360" w:lineRule="auto"/>
        <w:ind w:firstLine="708"/>
        <w:rPr>
          <w:bCs/>
          <w:sz w:val="24"/>
          <w:szCs w:val="24"/>
        </w:rPr>
      </w:pPr>
      <w:r w:rsidRPr="007F6A8E">
        <w:rPr>
          <w:b/>
          <w:sz w:val="24"/>
          <w:szCs w:val="24"/>
        </w:rPr>
        <w:t xml:space="preserve">REFERÊNCIAS </w:t>
      </w:r>
    </w:p>
    <w:p w:rsidR="00196398" w:rsidRPr="007F6A8E" w:rsidRDefault="00196398" w:rsidP="00196398">
      <w:pPr>
        <w:spacing w:line="240" w:lineRule="auto"/>
        <w:jc w:val="both"/>
        <w:rPr>
          <w:sz w:val="24"/>
          <w:szCs w:val="24"/>
        </w:rPr>
      </w:pPr>
    </w:p>
    <w:p w:rsidR="00196398" w:rsidRPr="007F6A8E" w:rsidRDefault="00196398" w:rsidP="00196398">
      <w:pPr>
        <w:rPr>
          <w:sz w:val="24"/>
          <w:szCs w:val="24"/>
        </w:rPr>
      </w:pPr>
      <w:r w:rsidRPr="007F6A8E">
        <w:rPr>
          <w:sz w:val="24"/>
          <w:szCs w:val="24"/>
        </w:rPr>
        <w:t xml:space="preserve">CARNEIRO, M. A. </w:t>
      </w:r>
      <w:r w:rsidRPr="007F6A8E">
        <w:rPr>
          <w:b/>
          <w:sz w:val="24"/>
          <w:szCs w:val="24"/>
        </w:rPr>
        <w:t>LDB fácil: leitura crítico-compreensiva, artigo a artigo.</w:t>
      </w:r>
      <w:r w:rsidRPr="007F6A8E">
        <w:rPr>
          <w:sz w:val="24"/>
          <w:szCs w:val="24"/>
        </w:rPr>
        <w:t xml:space="preserve"> 19.ed. – </w:t>
      </w:r>
      <w:proofErr w:type="spellStart"/>
      <w:r w:rsidRPr="007F6A8E">
        <w:rPr>
          <w:sz w:val="24"/>
          <w:szCs w:val="24"/>
        </w:rPr>
        <w:t>Petropólis</w:t>
      </w:r>
      <w:proofErr w:type="spellEnd"/>
      <w:r w:rsidRPr="007F6A8E">
        <w:rPr>
          <w:sz w:val="24"/>
          <w:szCs w:val="24"/>
        </w:rPr>
        <w:t>, RJ: Vozes, 2012.</w:t>
      </w:r>
    </w:p>
    <w:p w:rsidR="00196398" w:rsidRPr="007F6A8E" w:rsidRDefault="00196398" w:rsidP="00196398">
      <w:pPr>
        <w:rPr>
          <w:sz w:val="24"/>
          <w:szCs w:val="24"/>
        </w:rPr>
      </w:pPr>
      <w:r w:rsidRPr="007F6A8E">
        <w:rPr>
          <w:sz w:val="24"/>
          <w:szCs w:val="24"/>
        </w:rPr>
        <w:t xml:space="preserve"> </w:t>
      </w:r>
    </w:p>
    <w:p w:rsidR="00196398" w:rsidRPr="007F6A8E" w:rsidRDefault="00196398" w:rsidP="00196398">
      <w:pPr>
        <w:jc w:val="both"/>
        <w:rPr>
          <w:sz w:val="24"/>
          <w:szCs w:val="24"/>
        </w:rPr>
      </w:pPr>
      <w:r w:rsidRPr="007F6A8E">
        <w:rPr>
          <w:sz w:val="24"/>
          <w:szCs w:val="24"/>
        </w:rPr>
        <w:t xml:space="preserve">FARIAS, F. P. </w:t>
      </w:r>
      <w:r w:rsidRPr="007F6A8E">
        <w:rPr>
          <w:b/>
          <w:sz w:val="24"/>
          <w:szCs w:val="24"/>
        </w:rPr>
        <w:t>Estado burguês e classes dominantes no Brasil (1930-1964).</w:t>
      </w:r>
      <w:r w:rsidRPr="007F6A8E">
        <w:rPr>
          <w:sz w:val="24"/>
          <w:szCs w:val="24"/>
        </w:rPr>
        <w:t xml:space="preserve"> Curitiba: CRV, 2017. Disponível em: &lt;</w:t>
      </w:r>
      <w:hyperlink r:id="rId6" w:history="1">
        <w:r w:rsidRPr="007F6A8E">
          <w:rPr>
            <w:rStyle w:val="Hyperlink"/>
            <w:sz w:val="24"/>
            <w:szCs w:val="24"/>
          </w:rPr>
          <w:t>file:///C:/Users/WINDOWS1O/Downloads/Livro%20Dout.pdf</w:t>
        </w:r>
      </w:hyperlink>
      <w:r w:rsidRPr="007F6A8E">
        <w:rPr>
          <w:sz w:val="24"/>
          <w:szCs w:val="24"/>
        </w:rPr>
        <w:t xml:space="preserve">&gt; Acesso em: 18 jun. 2024.  </w:t>
      </w:r>
    </w:p>
    <w:p w:rsidR="00196398" w:rsidRPr="007F6A8E" w:rsidRDefault="00196398" w:rsidP="00196398">
      <w:pPr>
        <w:jc w:val="both"/>
        <w:rPr>
          <w:sz w:val="24"/>
          <w:szCs w:val="24"/>
        </w:rPr>
      </w:pPr>
      <w:r w:rsidRPr="007F6A8E">
        <w:rPr>
          <w:sz w:val="24"/>
          <w:szCs w:val="24"/>
        </w:rPr>
        <w:t xml:space="preserve"> </w:t>
      </w:r>
    </w:p>
    <w:p w:rsidR="00196398" w:rsidRPr="007F6A8E" w:rsidRDefault="00196398" w:rsidP="00196398">
      <w:pPr>
        <w:rPr>
          <w:sz w:val="24"/>
          <w:szCs w:val="24"/>
        </w:rPr>
      </w:pPr>
      <w:r w:rsidRPr="007F6A8E">
        <w:rPr>
          <w:sz w:val="24"/>
          <w:szCs w:val="24"/>
        </w:rPr>
        <w:lastRenderedPageBreak/>
        <w:t xml:space="preserve">FARIAS, F. P. </w:t>
      </w:r>
      <w:r w:rsidRPr="007F6A8E">
        <w:rPr>
          <w:b/>
          <w:sz w:val="24"/>
          <w:szCs w:val="24"/>
        </w:rPr>
        <w:t xml:space="preserve">Frações burguesas e bloco no poder: uma reflexão a partir do trabalho de </w:t>
      </w:r>
      <w:proofErr w:type="spellStart"/>
      <w:r w:rsidRPr="007F6A8E">
        <w:rPr>
          <w:b/>
          <w:sz w:val="24"/>
          <w:szCs w:val="24"/>
        </w:rPr>
        <w:t>Nicos</w:t>
      </w:r>
      <w:proofErr w:type="spellEnd"/>
      <w:r w:rsidRPr="007F6A8E">
        <w:rPr>
          <w:b/>
          <w:sz w:val="24"/>
          <w:szCs w:val="24"/>
        </w:rPr>
        <w:t xml:space="preserve"> </w:t>
      </w:r>
      <w:proofErr w:type="spellStart"/>
      <w:r w:rsidRPr="007F6A8E">
        <w:rPr>
          <w:b/>
          <w:sz w:val="24"/>
          <w:szCs w:val="24"/>
        </w:rPr>
        <w:t>Poulantzas</w:t>
      </w:r>
      <w:proofErr w:type="spellEnd"/>
      <w:r w:rsidRPr="007F6A8E">
        <w:rPr>
          <w:sz w:val="24"/>
          <w:szCs w:val="24"/>
        </w:rPr>
        <w:t>. Crítica Marxista, n.28, p.81-98, 2009. Disponível em: &lt;</w:t>
      </w:r>
      <w:hyperlink r:id="rId7" w:history="1">
        <w:r w:rsidRPr="007F6A8E">
          <w:rPr>
            <w:rStyle w:val="Hyperlink"/>
            <w:sz w:val="24"/>
            <w:szCs w:val="24"/>
          </w:rPr>
          <w:t>https://www.ifch.unicamp.br/criticamarxista/arquivos_biblioteca/artigo166artigo4.pdf</w:t>
        </w:r>
      </w:hyperlink>
      <w:r w:rsidRPr="007F6A8E">
        <w:rPr>
          <w:sz w:val="24"/>
          <w:szCs w:val="24"/>
        </w:rPr>
        <w:t xml:space="preserve"> &gt; Acesso em: 15 jun. 2024. </w:t>
      </w:r>
    </w:p>
    <w:p w:rsidR="00196398" w:rsidRPr="007F6A8E" w:rsidRDefault="00196398" w:rsidP="00196398">
      <w:pPr>
        <w:rPr>
          <w:sz w:val="24"/>
          <w:szCs w:val="24"/>
        </w:rPr>
      </w:pPr>
    </w:p>
    <w:p w:rsidR="00196398" w:rsidRPr="007F6A8E" w:rsidRDefault="00196398" w:rsidP="00196398">
      <w:pPr>
        <w:rPr>
          <w:sz w:val="24"/>
          <w:szCs w:val="24"/>
        </w:rPr>
      </w:pPr>
      <w:r w:rsidRPr="007F6A8E">
        <w:rPr>
          <w:sz w:val="24"/>
          <w:szCs w:val="24"/>
          <w:shd w:val="clear" w:color="auto" w:fill="FFFFFF"/>
        </w:rPr>
        <w:t xml:space="preserve">FARIAS, F. P. </w:t>
      </w:r>
      <w:r w:rsidRPr="007F6A8E">
        <w:rPr>
          <w:b/>
          <w:sz w:val="24"/>
          <w:szCs w:val="24"/>
          <w:shd w:val="clear" w:color="auto" w:fill="FFFFFF"/>
        </w:rPr>
        <w:t>A segmentação vertical do Estado e as frações da classe do capital.</w:t>
      </w:r>
      <w:r w:rsidRPr="007F6A8E">
        <w:rPr>
          <w:sz w:val="24"/>
          <w:szCs w:val="24"/>
          <w:shd w:val="clear" w:color="auto" w:fill="FFFFFF"/>
        </w:rPr>
        <w:t xml:space="preserve"> Revista Agenda Política, v. 11, n. 1, p. 14-28, jan.-abr. 2023. Disponível em: &lt; </w:t>
      </w:r>
      <w:hyperlink r:id="rId8" w:history="1">
        <w:r w:rsidRPr="007F6A8E">
          <w:rPr>
            <w:rStyle w:val="Hyperlink"/>
            <w:sz w:val="24"/>
            <w:szCs w:val="24"/>
            <w:shd w:val="clear" w:color="auto" w:fill="FFFFFF"/>
          </w:rPr>
          <w:t>https://www.agendapolitica.ufscar.br/index.php/agendapolitica/article/view/744/450</w:t>
        </w:r>
      </w:hyperlink>
      <w:r w:rsidRPr="007F6A8E">
        <w:rPr>
          <w:sz w:val="24"/>
          <w:szCs w:val="24"/>
          <w:shd w:val="clear" w:color="auto" w:fill="FFFFFF"/>
        </w:rPr>
        <w:t xml:space="preserve"> &gt; Acesso em: 16 jun. 2024. </w:t>
      </w:r>
    </w:p>
    <w:p w:rsidR="00196398" w:rsidRPr="007F6A8E" w:rsidRDefault="00196398" w:rsidP="00196398">
      <w:pPr>
        <w:rPr>
          <w:color w:val="000514"/>
          <w:sz w:val="24"/>
          <w:szCs w:val="24"/>
          <w:shd w:val="clear" w:color="auto" w:fill="FFFFFF"/>
        </w:rPr>
      </w:pPr>
      <w:r w:rsidRPr="007F6A8E">
        <w:rPr>
          <w:sz w:val="24"/>
          <w:szCs w:val="24"/>
        </w:rPr>
        <w:br/>
      </w:r>
      <w:r w:rsidRPr="007F6A8E">
        <w:rPr>
          <w:color w:val="000514"/>
          <w:sz w:val="24"/>
          <w:szCs w:val="24"/>
          <w:shd w:val="clear" w:color="auto" w:fill="FFFFFF"/>
        </w:rPr>
        <w:t xml:space="preserve">MOTT, L. R. B. </w:t>
      </w:r>
      <w:r w:rsidRPr="007F6A8E">
        <w:rPr>
          <w:b/>
          <w:color w:val="000514"/>
          <w:sz w:val="24"/>
          <w:szCs w:val="24"/>
          <w:shd w:val="clear" w:color="auto" w:fill="FFFFFF"/>
        </w:rPr>
        <w:t>Piauí colonial: população, economia e sociedade.</w:t>
      </w:r>
      <w:r w:rsidRPr="007F6A8E">
        <w:rPr>
          <w:color w:val="000514"/>
          <w:sz w:val="24"/>
          <w:szCs w:val="24"/>
          <w:shd w:val="clear" w:color="auto" w:fill="FFFFFF"/>
        </w:rPr>
        <w:t xml:space="preserve"> Teresina: Projeto Petrônio Portella, 1985. </w:t>
      </w:r>
      <w:proofErr w:type="spellStart"/>
      <w:r w:rsidRPr="007F6A8E">
        <w:rPr>
          <w:color w:val="000514"/>
          <w:sz w:val="24"/>
          <w:szCs w:val="24"/>
          <w:shd w:val="clear" w:color="auto" w:fill="FFFFFF"/>
        </w:rPr>
        <w:t>Disponivel</w:t>
      </w:r>
      <w:proofErr w:type="spellEnd"/>
      <w:r w:rsidRPr="007F6A8E">
        <w:rPr>
          <w:color w:val="000514"/>
          <w:sz w:val="24"/>
          <w:szCs w:val="24"/>
          <w:shd w:val="clear" w:color="auto" w:fill="FFFFFF"/>
        </w:rPr>
        <w:t xml:space="preserve"> em: </w:t>
      </w:r>
      <w:hyperlink r:id="rId9" w:history="1">
        <w:r w:rsidRPr="007F6A8E">
          <w:rPr>
            <w:rStyle w:val="Hyperlink"/>
            <w:sz w:val="24"/>
            <w:szCs w:val="24"/>
            <w:shd w:val="clear" w:color="auto" w:fill="FFFFFF"/>
          </w:rPr>
          <w:t>https://ihgb.org.br/pesquisa/biblioteca/item/17019-piau%C3%AD-colonial-popula%C3%A7%C3%A3o,-economia-e-sociedade-luiz-r-b-mott.html</w:t>
        </w:r>
      </w:hyperlink>
      <w:r w:rsidRPr="007F6A8E">
        <w:rPr>
          <w:color w:val="000514"/>
          <w:sz w:val="24"/>
          <w:szCs w:val="24"/>
          <w:shd w:val="clear" w:color="auto" w:fill="FFFFFF"/>
        </w:rPr>
        <w:t xml:space="preserve"> &gt; Acesso em: 17 jun. 2024. </w:t>
      </w:r>
    </w:p>
    <w:p w:rsidR="00196398" w:rsidRPr="007F6A8E" w:rsidRDefault="00196398" w:rsidP="00196398">
      <w:pPr>
        <w:rPr>
          <w:sz w:val="24"/>
          <w:szCs w:val="24"/>
        </w:rPr>
      </w:pPr>
    </w:p>
    <w:p w:rsidR="00196398" w:rsidRPr="007F6A8E" w:rsidRDefault="00196398" w:rsidP="00196398">
      <w:pPr>
        <w:jc w:val="both"/>
        <w:rPr>
          <w:color w:val="000000"/>
          <w:sz w:val="24"/>
          <w:szCs w:val="24"/>
          <w:shd w:val="clear" w:color="auto" w:fill="FAFAFA"/>
        </w:rPr>
      </w:pPr>
      <w:r w:rsidRPr="007F6A8E">
        <w:rPr>
          <w:color w:val="000000"/>
          <w:sz w:val="24"/>
          <w:szCs w:val="24"/>
          <w:shd w:val="clear" w:color="auto" w:fill="FAFAFA"/>
        </w:rPr>
        <w:t xml:space="preserve">PEREIRA, Luiz. </w:t>
      </w:r>
      <w:r w:rsidRPr="007F6A8E">
        <w:rPr>
          <w:b/>
          <w:color w:val="000000"/>
          <w:sz w:val="24"/>
          <w:szCs w:val="24"/>
          <w:shd w:val="clear" w:color="auto" w:fill="FAFAFA"/>
        </w:rPr>
        <w:t>Ensaios de sociologia do desenvolvimento</w:t>
      </w:r>
      <w:r w:rsidRPr="007F6A8E">
        <w:rPr>
          <w:color w:val="000000"/>
          <w:sz w:val="24"/>
          <w:szCs w:val="24"/>
          <w:shd w:val="clear" w:color="auto" w:fill="FAFAFA"/>
        </w:rPr>
        <w:t xml:space="preserve">. 3ª Ed. São Paulo: Pioneira, 1978. </w:t>
      </w:r>
      <w:proofErr w:type="spellStart"/>
      <w:r w:rsidRPr="007F6A8E">
        <w:rPr>
          <w:color w:val="000000"/>
          <w:sz w:val="24"/>
          <w:szCs w:val="24"/>
          <w:shd w:val="clear" w:color="auto" w:fill="FAFAFA"/>
        </w:rPr>
        <w:t>Cap</w:t>
      </w:r>
      <w:proofErr w:type="spellEnd"/>
      <w:r w:rsidRPr="007F6A8E">
        <w:rPr>
          <w:color w:val="000000"/>
          <w:sz w:val="24"/>
          <w:szCs w:val="24"/>
          <w:shd w:val="clear" w:color="auto" w:fill="FAFAFA"/>
        </w:rPr>
        <w:t xml:space="preserve"> 1: História e planificação, item III, p. 35-49.</w:t>
      </w:r>
    </w:p>
    <w:p w:rsidR="00196398" w:rsidRPr="007F6A8E" w:rsidRDefault="00196398" w:rsidP="00196398">
      <w:pPr>
        <w:jc w:val="both"/>
        <w:rPr>
          <w:rFonts w:eastAsia="Times New Roman"/>
          <w:sz w:val="24"/>
          <w:szCs w:val="24"/>
        </w:rPr>
      </w:pPr>
      <w:r w:rsidRPr="007F6A8E">
        <w:rPr>
          <w:rFonts w:eastAsia="Times New Roman"/>
          <w:color w:val="333333"/>
          <w:sz w:val="24"/>
          <w:szCs w:val="24"/>
        </w:rPr>
        <w:br/>
      </w:r>
      <w:r w:rsidRPr="007F6A8E">
        <w:rPr>
          <w:rFonts w:eastAsia="Times New Roman"/>
          <w:sz w:val="24"/>
          <w:szCs w:val="24"/>
        </w:rPr>
        <w:t xml:space="preserve">SILVA, </w:t>
      </w:r>
      <w:proofErr w:type="spellStart"/>
      <w:r w:rsidRPr="007F6A8E">
        <w:rPr>
          <w:rFonts w:eastAsia="Times New Roman"/>
          <w:sz w:val="24"/>
          <w:szCs w:val="24"/>
        </w:rPr>
        <w:t>Valderi</w:t>
      </w:r>
      <w:proofErr w:type="spellEnd"/>
      <w:r w:rsidRPr="007F6A8E">
        <w:rPr>
          <w:rFonts w:eastAsia="Times New Roman"/>
          <w:sz w:val="24"/>
          <w:szCs w:val="24"/>
        </w:rPr>
        <w:t xml:space="preserve"> Vieira da. </w:t>
      </w:r>
      <w:r w:rsidRPr="007F6A8E">
        <w:rPr>
          <w:rFonts w:eastAsia="Times New Roman"/>
          <w:b/>
          <w:sz w:val="24"/>
          <w:szCs w:val="24"/>
        </w:rPr>
        <w:t>Aspectos da estrutura fundiária no Piauí.</w:t>
      </w:r>
      <w:r w:rsidRPr="007F6A8E">
        <w:rPr>
          <w:rFonts w:eastAsia="Times New Roman"/>
          <w:sz w:val="24"/>
          <w:szCs w:val="24"/>
        </w:rPr>
        <w:t xml:space="preserve"> In: SEMINARIO DE PESQUISA AGROPECUARIA DO PIAUI, </w:t>
      </w:r>
      <w:proofErr w:type="gramStart"/>
      <w:r w:rsidRPr="007F6A8E">
        <w:rPr>
          <w:rFonts w:eastAsia="Times New Roman"/>
          <w:sz w:val="24"/>
          <w:szCs w:val="24"/>
        </w:rPr>
        <w:t>5.,</w:t>
      </w:r>
      <w:proofErr w:type="gramEnd"/>
      <w:r w:rsidRPr="007F6A8E">
        <w:rPr>
          <w:rFonts w:eastAsia="Times New Roman"/>
          <w:sz w:val="24"/>
          <w:szCs w:val="24"/>
        </w:rPr>
        <w:t xml:space="preserve"> 1988, Teresina. Anais... Teresina: EMBRAPA-UEPAE de Teresina, 1988. p.41-46. Disponível em: &lt;</w:t>
      </w:r>
      <w:r w:rsidRPr="007F6A8E">
        <w:t xml:space="preserve"> </w:t>
      </w:r>
      <w:hyperlink r:id="rId10" w:history="1">
        <w:r w:rsidRPr="007F6A8E">
          <w:rPr>
            <w:rStyle w:val="Hyperlink"/>
            <w:rFonts w:eastAsia="Times New Roman"/>
            <w:sz w:val="24"/>
            <w:szCs w:val="24"/>
          </w:rPr>
          <w:t>https://www.embrapa.br/busca-de-publicacoes/-/publicacao/54288/aspectos-da-estrutura-fundiaria-no-piaui</w:t>
        </w:r>
      </w:hyperlink>
      <w:r w:rsidRPr="007F6A8E">
        <w:rPr>
          <w:rFonts w:eastAsia="Times New Roman"/>
          <w:sz w:val="24"/>
          <w:szCs w:val="24"/>
        </w:rPr>
        <w:t xml:space="preserve"> &gt; Acesso em: 16 jun. 2024. </w:t>
      </w:r>
    </w:p>
    <w:p w:rsidR="00196398" w:rsidRPr="007F6A8E" w:rsidRDefault="00196398" w:rsidP="00196398">
      <w:pPr>
        <w:jc w:val="both"/>
        <w:rPr>
          <w:color w:val="000000"/>
          <w:sz w:val="24"/>
          <w:szCs w:val="24"/>
          <w:shd w:val="clear" w:color="auto" w:fill="FAFAFA"/>
        </w:rPr>
      </w:pPr>
    </w:p>
    <w:p w:rsidR="00196398" w:rsidRPr="007F6A8E" w:rsidRDefault="00196398" w:rsidP="00196398">
      <w:pPr>
        <w:spacing w:after="300"/>
        <w:jc w:val="both"/>
        <w:rPr>
          <w:rFonts w:eastAsia="Times New Roman"/>
          <w:sz w:val="24"/>
          <w:szCs w:val="24"/>
        </w:rPr>
      </w:pPr>
      <w:r w:rsidRPr="007F6A8E">
        <w:rPr>
          <w:rFonts w:eastAsia="Times New Roman"/>
          <w:sz w:val="24"/>
          <w:szCs w:val="24"/>
        </w:rPr>
        <w:t xml:space="preserve">SANTANA, J. F.; MEDEIROS, L. B.; GONÇALVES, M. C. </w:t>
      </w:r>
      <w:r w:rsidRPr="007F6A8E">
        <w:rPr>
          <w:b/>
          <w:sz w:val="24"/>
          <w:szCs w:val="24"/>
        </w:rPr>
        <w:t xml:space="preserve">O Direito à Educação do Campo no estado do Piauí no contexto do FUNDEB. </w:t>
      </w:r>
      <w:r w:rsidRPr="007F6A8E">
        <w:rPr>
          <w:sz w:val="24"/>
          <w:szCs w:val="24"/>
        </w:rPr>
        <w:t>FINEDUCA - R</w:t>
      </w:r>
      <w:r w:rsidRPr="007F6A8E">
        <w:rPr>
          <w:sz w:val="24"/>
          <w:szCs w:val="24"/>
          <w:shd w:val="clear" w:color="auto" w:fill="FFFFFF"/>
        </w:rPr>
        <w:t xml:space="preserve">evista de Financiamento da Educação, v. 10, n. 29, 2020. Disponível em: </w:t>
      </w:r>
      <w:hyperlink r:id="rId11" w:history="1">
        <w:r w:rsidRPr="007F6A8E">
          <w:rPr>
            <w:rStyle w:val="Hyperlink"/>
            <w:sz w:val="24"/>
            <w:szCs w:val="24"/>
            <w:shd w:val="clear" w:color="auto" w:fill="FFFFFF"/>
          </w:rPr>
          <w:t>https://seer.ufrgs.br/fineduca/article/view/103676</w:t>
        </w:r>
      </w:hyperlink>
      <w:r w:rsidRPr="007F6A8E">
        <w:rPr>
          <w:sz w:val="24"/>
          <w:szCs w:val="24"/>
          <w:shd w:val="clear" w:color="auto" w:fill="FFFFFF"/>
        </w:rPr>
        <w:t xml:space="preserve"> </w:t>
      </w:r>
      <w:r w:rsidRPr="007F6A8E">
        <w:rPr>
          <w:sz w:val="24"/>
          <w:szCs w:val="24"/>
        </w:rPr>
        <w:t xml:space="preserve">Acesso em: 19 jun. 2024. </w:t>
      </w:r>
    </w:p>
    <w:p w:rsidR="00196398" w:rsidRDefault="00196398" w:rsidP="00196398">
      <w:pPr>
        <w:rPr>
          <w:sz w:val="24"/>
          <w:szCs w:val="24"/>
          <w:shd w:val="clear" w:color="auto" w:fill="FFFFFF"/>
        </w:rPr>
      </w:pPr>
      <w:r w:rsidRPr="007F6A8E">
        <w:rPr>
          <w:sz w:val="24"/>
          <w:szCs w:val="24"/>
          <w:shd w:val="clear" w:color="auto" w:fill="FFFFFF"/>
        </w:rPr>
        <w:t xml:space="preserve">TEIXEIRA, M. L. G., &amp; CORREIA, T. D. B. (2018). </w:t>
      </w:r>
      <w:r w:rsidRPr="007F6A8E">
        <w:rPr>
          <w:b/>
          <w:sz w:val="24"/>
          <w:szCs w:val="24"/>
          <w:shd w:val="clear" w:color="auto" w:fill="FFFFFF"/>
        </w:rPr>
        <w:t>Teresina [PI]: a capital planejada e sua indústria (1850-1920)</w:t>
      </w:r>
      <w:r w:rsidRPr="007F6A8E">
        <w:rPr>
          <w:sz w:val="24"/>
          <w:szCs w:val="24"/>
          <w:shd w:val="clear" w:color="auto" w:fill="FFFFFF"/>
        </w:rPr>
        <w:t>. </w:t>
      </w:r>
      <w:r w:rsidRPr="007F6A8E">
        <w:rPr>
          <w:i/>
          <w:iCs/>
          <w:sz w:val="24"/>
          <w:szCs w:val="24"/>
          <w:shd w:val="clear" w:color="auto" w:fill="FFFFFF"/>
        </w:rPr>
        <w:t>Labor e Engenho, Campinas, SP</w:t>
      </w:r>
      <w:r w:rsidRPr="007F6A8E">
        <w:rPr>
          <w:sz w:val="24"/>
          <w:szCs w:val="24"/>
          <w:shd w:val="clear" w:color="auto" w:fill="FFFFFF"/>
        </w:rPr>
        <w:t>, </w:t>
      </w:r>
      <w:r w:rsidRPr="007F6A8E">
        <w:rPr>
          <w:i/>
          <w:iCs/>
          <w:sz w:val="24"/>
          <w:szCs w:val="24"/>
          <w:shd w:val="clear" w:color="auto" w:fill="FFFFFF"/>
        </w:rPr>
        <w:t>12</w:t>
      </w:r>
      <w:r w:rsidRPr="007F6A8E">
        <w:rPr>
          <w:sz w:val="24"/>
          <w:szCs w:val="24"/>
          <w:shd w:val="clear" w:color="auto" w:fill="FFFFFF"/>
        </w:rPr>
        <w:t xml:space="preserve">(3), 359-377. </w:t>
      </w:r>
    </w:p>
    <w:p w:rsidR="00196398" w:rsidRPr="007F6A8E" w:rsidRDefault="00196398" w:rsidP="00196398">
      <w:pPr>
        <w:rPr>
          <w:sz w:val="24"/>
          <w:szCs w:val="24"/>
          <w:shd w:val="clear" w:color="auto" w:fill="FFFFFF"/>
        </w:rPr>
      </w:pPr>
    </w:p>
    <w:p w:rsidR="00A84152" w:rsidRDefault="00196398">
      <w:r w:rsidRPr="007F6A8E">
        <w:rPr>
          <w:sz w:val="24"/>
          <w:szCs w:val="24"/>
        </w:rPr>
        <w:t>RODRIGUES, J</w:t>
      </w:r>
      <w:r w:rsidRPr="007F6A8E">
        <w:rPr>
          <w:b/>
          <w:sz w:val="24"/>
          <w:szCs w:val="24"/>
        </w:rPr>
        <w:t>. Frações burguesas em disputa e a educação superior no Governo Lula.</w:t>
      </w:r>
      <w:r w:rsidRPr="007F6A8E">
        <w:rPr>
          <w:sz w:val="24"/>
          <w:szCs w:val="24"/>
        </w:rPr>
        <w:t xml:space="preserve"> Revista Brasileira de Educação v. 12 n. 34 </w:t>
      </w:r>
      <w:proofErr w:type="gramStart"/>
      <w:r w:rsidRPr="007F6A8E">
        <w:rPr>
          <w:sz w:val="24"/>
          <w:szCs w:val="24"/>
        </w:rPr>
        <w:t>jan./</w:t>
      </w:r>
      <w:proofErr w:type="gramEnd"/>
      <w:r w:rsidRPr="007F6A8E">
        <w:rPr>
          <w:sz w:val="24"/>
          <w:szCs w:val="24"/>
        </w:rPr>
        <w:t>abr. 2007.</w:t>
      </w:r>
    </w:p>
    <w:sectPr w:rsidR="00A84152" w:rsidSect="00F16B6E">
      <w:headerReference w:type="default" r:id="rId12"/>
      <w:footerReference w:type="default" r:id="rId13"/>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5F0" w:rsidRDefault="000365F0" w:rsidP="00196398">
      <w:pPr>
        <w:spacing w:line="240" w:lineRule="auto"/>
      </w:pPr>
      <w:r>
        <w:separator/>
      </w:r>
    </w:p>
  </w:endnote>
  <w:endnote w:type="continuationSeparator" w:id="0">
    <w:p w:rsidR="000365F0" w:rsidRDefault="000365F0" w:rsidP="00196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6E" w:rsidRPr="00A05C64" w:rsidRDefault="00F16B6E">
    <w:pPr>
      <w:pStyle w:val="Rodap"/>
      <w:jc w:val="center"/>
      <w:rPr>
        <w:caps/>
        <w:color w:val="5B9BD5"/>
      </w:rPr>
    </w:pPr>
  </w:p>
  <w:p w:rsidR="00F16B6E" w:rsidRDefault="00F16B6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5F0" w:rsidRDefault="000365F0" w:rsidP="00196398">
      <w:pPr>
        <w:spacing w:line="240" w:lineRule="auto"/>
      </w:pPr>
      <w:r>
        <w:separator/>
      </w:r>
    </w:p>
  </w:footnote>
  <w:footnote w:type="continuationSeparator" w:id="0">
    <w:p w:rsidR="000365F0" w:rsidRDefault="000365F0" w:rsidP="00196398">
      <w:pPr>
        <w:spacing w:line="240" w:lineRule="auto"/>
      </w:pPr>
      <w:r>
        <w:continuationSeparator/>
      </w:r>
    </w:p>
  </w:footnote>
  <w:footnote w:id="1">
    <w:p w:rsidR="00F16B6E" w:rsidRDefault="00F16B6E" w:rsidP="00196398">
      <w:pPr>
        <w:pStyle w:val="Textodenotaderodap"/>
        <w:jc w:val="both"/>
      </w:pPr>
      <w:r>
        <w:rPr>
          <w:rStyle w:val="Refdenotaderodap"/>
        </w:rPr>
        <w:footnoteRef/>
      </w:r>
      <w:r>
        <w:t xml:space="preserve"> Graduado em Serviço Social na Universidade Federal do Piauí (UFPI) e Assistente Social na Secretaria Municipal de Saúde de Estreito – MA (</w:t>
      </w:r>
      <w:hyperlink r:id="rId1" w:history="1">
        <w:r w:rsidRPr="00BB4A19">
          <w:rPr>
            <w:rStyle w:val="Hyperlink"/>
          </w:rPr>
          <w:t>sergiobalaiada@gmail.com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6E" w:rsidRDefault="00F16B6E">
    <w:r>
      <w:rPr>
        <w:noProof/>
      </w:rP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398"/>
    <w:rsid w:val="000014E0"/>
    <w:rsid w:val="00020544"/>
    <w:rsid w:val="000365F0"/>
    <w:rsid w:val="00075DF1"/>
    <w:rsid w:val="00196398"/>
    <w:rsid w:val="002073C7"/>
    <w:rsid w:val="003F4763"/>
    <w:rsid w:val="0044231D"/>
    <w:rsid w:val="004C0302"/>
    <w:rsid w:val="004C7239"/>
    <w:rsid w:val="005E36BC"/>
    <w:rsid w:val="005E63A7"/>
    <w:rsid w:val="006F365D"/>
    <w:rsid w:val="0075067F"/>
    <w:rsid w:val="008032FA"/>
    <w:rsid w:val="00854029"/>
    <w:rsid w:val="009E1274"/>
    <w:rsid w:val="00A84152"/>
    <w:rsid w:val="00AC623B"/>
    <w:rsid w:val="00B56A03"/>
    <w:rsid w:val="00C5630F"/>
    <w:rsid w:val="00DE6ED1"/>
    <w:rsid w:val="00DF6686"/>
    <w:rsid w:val="00ED0747"/>
    <w:rsid w:val="00F14F25"/>
    <w:rsid w:val="00F16B6E"/>
    <w:rsid w:val="00F81613"/>
    <w:rsid w:val="00F913F9"/>
    <w:rsid w:val="00FE35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3A1803-7CF1-471F-9B85-41A931A7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398"/>
    <w:pPr>
      <w:spacing w:after="0" w:line="276" w:lineRule="auto"/>
    </w:pPr>
    <w:rPr>
      <w:rFonts w:ascii="Arial" w:eastAsia="Arial"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196398"/>
    <w:pPr>
      <w:tabs>
        <w:tab w:val="center" w:pos="4252"/>
        <w:tab w:val="right" w:pos="8504"/>
      </w:tabs>
      <w:spacing w:line="240" w:lineRule="auto"/>
    </w:pPr>
  </w:style>
  <w:style w:type="character" w:customStyle="1" w:styleId="RodapChar">
    <w:name w:val="Rodapé Char"/>
    <w:basedOn w:val="Fontepargpadro"/>
    <w:link w:val="Rodap"/>
    <w:uiPriority w:val="99"/>
    <w:rsid w:val="00196398"/>
    <w:rPr>
      <w:rFonts w:ascii="Arial" w:eastAsia="Arial" w:hAnsi="Arial" w:cs="Arial"/>
      <w:lang w:eastAsia="pt-BR"/>
    </w:rPr>
  </w:style>
  <w:style w:type="paragraph" w:styleId="Textodenotaderodap">
    <w:name w:val="footnote text"/>
    <w:basedOn w:val="Normal"/>
    <w:link w:val="TextodenotaderodapChar"/>
    <w:uiPriority w:val="99"/>
    <w:semiHidden/>
    <w:unhideWhenUsed/>
    <w:rsid w:val="00196398"/>
    <w:rPr>
      <w:sz w:val="20"/>
      <w:szCs w:val="20"/>
    </w:rPr>
  </w:style>
  <w:style w:type="character" w:customStyle="1" w:styleId="TextodenotaderodapChar">
    <w:name w:val="Texto de nota de rodapé Char"/>
    <w:basedOn w:val="Fontepargpadro"/>
    <w:link w:val="Textodenotaderodap"/>
    <w:uiPriority w:val="99"/>
    <w:semiHidden/>
    <w:rsid w:val="00196398"/>
    <w:rPr>
      <w:rFonts w:ascii="Arial" w:eastAsia="Arial" w:hAnsi="Arial" w:cs="Arial"/>
      <w:sz w:val="20"/>
      <w:szCs w:val="20"/>
      <w:lang w:eastAsia="pt-BR"/>
    </w:rPr>
  </w:style>
  <w:style w:type="character" w:styleId="Refdenotaderodap">
    <w:name w:val="footnote reference"/>
    <w:uiPriority w:val="99"/>
    <w:semiHidden/>
    <w:unhideWhenUsed/>
    <w:rsid w:val="00196398"/>
    <w:rPr>
      <w:vertAlign w:val="superscript"/>
    </w:rPr>
  </w:style>
  <w:style w:type="character" w:styleId="Hyperlink">
    <w:name w:val="Hyperlink"/>
    <w:uiPriority w:val="99"/>
    <w:unhideWhenUsed/>
    <w:rsid w:val="0019639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endapolitica.ufscar.br/index.php/agendapolitica/article/view/744/450"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ifch.unicamp.br/criticamarxista/arquivos_biblioteca/artigo166artigo4.pdf"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WINDOWS1O/Downloads/Livro%20Dout.pdf" TargetMode="External"/><Relationship Id="rId11" Type="http://schemas.openxmlformats.org/officeDocument/2006/relationships/hyperlink" Target="https://seer.ufrgs.br/fineduca/article/view/103676"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embrapa.br/busca-de-publicacoes/-/publicacao/54288/aspectos-da-estrutura-fundiaria-no-piaui" TargetMode="External"/><Relationship Id="rId4" Type="http://schemas.openxmlformats.org/officeDocument/2006/relationships/footnotes" Target="footnotes.xml"/><Relationship Id="rId9" Type="http://schemas.openxmlformats.org/officeDocument/2006/relationships/hyperlink" Target="https://ihgb.org.br/pesquisa/biblioteca/item/17019-piau%C3%AD-colonial-popula%C3%A7%C3%A3o,-economia-e-sociedade-luiz-r-b-mott.htm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sergiobalaiad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3931</Words>
  <Characters>21233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WINDOWS1O</dc:creator>
  <cp:keywords/>
  <dc:description/>
  <cp:lastModifiedBy>WINDOWS1O</cp:lastModifiedBy>
  <cp:revision>27</cp:revision>
  <dcterms:created xsi:type="dcterms:W3CDTF">2025-07-06T18:40:00Z</dcterms:created>
  <dcterms:modified xsi:type="dcterms:W3CDTF">2025-07-06T19:46:00Z</dcterms:modified>
</cp:coreProperties>
</file>