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POLÍTICAS PÚBLICAS DE EDUCAÇÃO PARA A SUSTENTABILIDADE: </w:t>
      </w:r>
      <w:r w:rsidDel="00000000" w:rsidR="00000000" w:rsidRPr="00000000">
        <w:rPr>
          <w:sz w:val="24"/>
          <w:szCs w:val="24"/>
          <w:rtl w:val="0"/>
        </w:rPr>
        <w:t xml:space="preserve">uma análise sob a perspectiva decolonial do programa selo escola sustentável no Ceará </w:t>
      </w:r>
    </w:p>
    <w:p w:rsidR="00000000" w:rsidDel="00000000" w:rsidP="00000000" w:rsidRDefault="00000000" w:rsidRPr="00000000" w14:paraId="00000002">
      <w:pPr>
        <w:spacing w:line="360" w:lineRule="auto"/>
        <w:jc w:val="center"/>
        <w:rPr>
          <w:sz w:val="24"/>
          <w:szCs w:val="24"/>
        </w:rPr>
      </w:pPr>
      <w:r w:rsidDel="00000000" w:rsidR="00000000" w:rsidRPr="00000000">
        <w:rPr>
          <w:rtl w:val="0"/>
        </w:rPr>
      </w:r>
    </w:p>
    <w:p w:rsidR="00000000" w:rsidDel="00000000" w:rsidP="00000000" w:rsidRDefault="00000000" w:rsidRPr="00000000" w14:paraId="00000003">
      <w:pPr>
        <w:spacing w:line="240" w:lineRule="auto"/>
        <w:jc w:val="right"/>
        <w:rPr>
          <w:b w:val="1"/>
          <w:sz w:val="24"/>
          <w:szCs w:val="24"/>
        </w:rPr>
      </w:pPr>
      <w:r w:rsidDel="00000000" w:rsidR="00000000" w:rsidRPr="00000000">
        <w:rPr>
          <w:b w:val="1"/>
          <w:sz w:val="24"/>
          <w:szCs w:val="24"/>
          <w:rtl w:val="0"/>
        </w:rPr>
        <w:t xml:space="preserve">Katley Ellen da Silva</w:t>
      </w:r>
      <w:r w:rsidDel="00000000" w:rsidR="00000000" w:rsidRPr="00000000">
        <w:rPr>
          <w:b w:val="1"/>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jc w:val="right"/>
        <w:rPr>
          <w:sz w:val="24"/>
          <w:szCs w:val="24"/>
        </w:rPr>
      </w:pPr>
      <w:r w:rsidDel="00000000" w:rsidR="00000000" w:rsidRPr="00000000">
        <w:rPr>
          <w:b w:val="1"/>
          <w:sz w:val="24"/>
          <w:szCs w:val="24"/>
          <w:rtl w:val="0"/>
        </w:rPr>
        <w:t xml:space="preserve">Larissa da Costa Gomes dos Santos</w:t>
      </w:r>
      <w:r w:rsidDel="00000000" w:rsidR="00000000" w:rsidRPr="00000000">
        <w:rPr>
          <w:b w:val="1"/>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360" w:lineRule="auto"/>
        <w:jc w:val="center"/>
        <w:rPr>
          <w:sz w:val="24"/>
          <w:szCs w:val="24"/>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b w:val="1"/>
          <w:sz w:val="20"/>
          <w:szCs w:val="20"/>
          <w:rtl w:val="0"/>
        </w:rPr>
        <w:t xml:space="preserve">Resumo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sz w:val="20"/>
          <w:szCs w:val="20"/>
          <w:rtl w:val="0"/>
        </w:rPr>
        <w:t xml:space="preserve">O artigo analisa o Programa Selo Escola Sustentável (Ceará) sob uma perspectiva decolonial, investigando se suas políticas educacionais reforçam ou desafiam estruturas coloniais. A Educação para a Sustentabilidade (EpS) é discutida como um campo estratégico para promover justiça socioambiental, integrando saberes tradicionais e críticas às desigualdades. O estudo, de abordagem qualitativa, examina documentos do programa, avaliando seus critérios de certificação. Os resultados indicam avanços, como a inclusão de temas étnico-raciais e de gênero, mas também lacunas, como a falta de diretrizes explícitas para participação comunitária. Conclui-se que, apesar de progressos, o programa ainda reproduz parcialmente visões universalizantes, necessitando de maior protagonismo de grupos marginalizados para uma EpS verdadeiramente descolonizadora. A pesquisa reforça a necessidade de políticas públicas que articulem sustentabilidade e decolonialidade de forma crítica e plural.</w:t>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Educação para sustentabilidade; decolonialidade; políticas públicas.</w:t>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b w:val="1"/>
          <w:sz w:val="20"/>
          <w:szCs w:val="20"/>
          <w:rtl w:val="0"/>
        </w:rPr>
        <w:t xml:space="preserve">Abstract</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sz w:val="20"/>
          <w:szCs w:val="20"/>
          <w:rtl w:val="0"/>
        </w:rPr>
        <w:t xml:space="preserve">The article examines the Sustainable School Seal Program (Ceará) from a decolonial perspective, investigating whether its educational policies reinforce or challenge colonial structures. Education for Sustainability (EfS) is discussed as a strategic field for promoting socio-environmental justice by integrating traditional knowledge and critiques of inequalities. The study, using a qualitative approach, analyzes program documents, assessing its certification criteria. The findings indicate progress, such as the inclusion of ethnic-racial and gender themes, but also gaps, such as the lack of explicit guidelines for community participation. It concludes that, despite advancements, the program still partially reproduces universalizing views and requires greater involvement of marginalized groups to achieve a truly decolonizing EfS. The research reinforces the need for public policies that critically and pluralistically link sustainability and decoloniality.</w:t>
      </w:r>
    </w:p>
    <w:p w:rsidR="00000000" w:rsidDel="00000000" w:rsidP="00000000" w:rsidRDefault="00000000" w:rsidRPr="00000000" w14:paraId="0000000C">
      <w:pPr>
        <w:spacing w:line="240" w:lineRule="auto"/>
        <w:ind w:left="2835" w:firstLine="0"/>
        <w:jc w:val="both"/>
        <w:rPr/>
      </w:pPr>
      <w:r w:rsidDel="00000000" w:rsidR="00000000" w:rsidRPr="00000000">
        <w:rPr>
          <w:b w:val="1"/>
          <w:sz w:val="20"/>
          <w:szCs w:val="20"/>
          <w:rtl w:val="0"/>
        </w:rPr>
        <w:t xml:space="preserve">Keywords</w:t>
      </w:r>
      <w:r w:rsidDel="00000000" w:rsidR="00000000" w:rsidRPr="00000000">
        <w:rPr>
          <w:sz w:val="20"/>
          <w:szCs w:val="20"/>
          <w:rtl w:val="0"/>
        </w:rPr>
        <w:t xml:space="preserve">: Education for Sustainability; decoloniality; public policies.</w:t>
      </w:r>
      <w:r w:rsidDel="00000000" w:rsidR="00000000" w:rsidRPr="00000000">
        <w:rPr>
          <w:rtl w:val="0"/>
        </w:rPr>
      </w:r>
    </w:p>
    <w:p w:rsidR="00000000" w:rsidDel="00000000" w:rsidP="00000000" w:rsidRDefault="00000000" w:rsidRPr="00000000" w14:paraId="0000000D">
      <w:pPr>
        <w:spacing w:line="240" w:lineRule="auto"/>
        <w:ind w:left="2835" w:firstLine="0"/>
        <w:jc w:val="both"/>
        <w:rPr/>
      </w:pPr>
      <w:r w:rsidDel="00000000" w:rsidR="00000000" w:rsidRPr="00000000">
        <w:rPr>
          <w:rtl w:val="0"/>
        </w:rPr>
      </w:r>
    </w:p>
    <w:p w:rsidR="00000000" w:rsidDel="00000000" w:rsidP="00000000" w:rsidRDefault="00000000" w:rsidRPr="00000000" w14:paraId="0000000E">
      <w:pPr>
        <w:spacing w:line="240" w:lineRule="auto"/>
        <w:ind w:left="2835" w:firstLine="0"/>
        <w:jc w:val="both"/>
        <w:rPr/>
      </w:pPr>
      <w:r w:rsidDel="00000000" w:rsidR="00000000" w:rsidRPr="00000000">
        <w:rPr>
          <w:rtl w:val="0"/>
        </w:rPr>
      </w:r>
    </w:p>
    <w:sdt>
      <w:sdtPr>
        <w:id w:val="927208647"/>
        <w:tag w:val="goog_rdk_0"/>
      </w:sdtPr>
      <w:sdtContent>
        <w:p w:rsidR="00000000" w:rsidDel="00000000" w:rsidP="00000000" w:rsidRDefault="00000000" w:rsidRPr="00000000" w14:paraId="0000000F">
          <w:pPr>
            <w:pStyle w:val="Heading1"/>
            <w:spacing w:after="0" w:before="0" w:line="360" w:lineRule="auto"/>
            <w:jc w:val="both"/>
            <w:rPr>
              <w:sz w:val="24"/>
              <w:szCs w:val="24"/>
            </w:rPr>
          </w:pPr>
          <w:bookmarkStart w:colFirst="0" w:colLast="0" w:name="_heading=h.i7u6udykg9px" w:id="0"/>
          <w:bookmarkEnd w:id="0"/>
          <w:r w:rsidDel="00000000" w:rsidR="00000000" w:rsidRPr="00000000">
            <w:rPr>
              <w:sz w:val="24"/>
              <w:szCs w:val="24"/>
              <w:rtl w:val="0"/>
            </w:rPr>
            <w:t xml:space="preserve">1         INTRODUÇÃO</w:t>
          </w:r>
        </w:p>
      </w:sdtContent>
    </w:sdt>
    <w:p w:rsidR="00000000" w:rsidDel="00000000" w:rsidP="00000000" w:rsidRDefault="00000000" w:rsidRPr="00000000" w14:paraId="00000010">
      <w:pPr>
        <w:spacing w:line="276" w:lineRule="auto"/>
        <w:rPr/>
      </w:pPr>
      <w:r w:rsidDel="00000000" w:rsidR="00000000" w:rsidRPr="00000000">
        <w:rPr>
          <w:rtl w:val="0"/>
        </w:rPr>
      </w:r>
    </w:p>
    <w:p w:rsidR="00000000" w:rsidDel="00000000" w:rsidP="00000000" w:rsidRDefault="00000000" w:rsidRPr="00000000" w14:paraId="00000011">
      <w:pPr>
        <w:spacing w:line="360" w:lineRule="auto"/>
        <w:ind w:left="0" w:firstLine="708.6614173228347"/>
        <w:jc w:val="both"/>
        <w:rPr>
          <w:sz w:val="24"/>
          <w:szCs w:val="24"/>
        </w:rPr>
      </w:pPr>
      <w:r w:rsidDel="00000000" w:rsidR="00000000" w:rsidRPr="00000000">
        <w:rPr>
          <w:sz w:val="24"/>
          <w:szCs w:val="24"/>
          <w:rtl w:val="0"/>
        </w:rPr>
        <w:t xml:space="preserve">A crise socioambiental contemporânea exige respostas que vão além de soluções técnicas, demandando uma transformação profunda nos modos de pensar e agir sobre a sustentabilidade. Nesse contexto, a Educação para a Sustentabilidade  (EpS) surge como um campo estratégico, não apenas para a conscientização ecológica, mas também para a desconstrução de visões hegemônicas que perpetuam desigualdades. No entanto, é preciso questionar: em que medida essas iniciativas educacionais reproduzem ou desafiam estruturas coloniais de conhecimento? Partindo dessa problemática, este artigo tem como objetivo geral compreender de que forma a Educação para a Sustentabilidade pode questionar visões coloniais e contribuir para políticas públicas mais justas e diversas.</w:t>
      </w:r>
    </w:p>
    <w:p w:rsidR="00000000" w:rsidDel="00000000" w:rsidP="00000000" w:rsidRDefault="00000000" w:rsidRPr="00000000" w14:paraId="00000012">
      <w:pPr>
        <w:spacing w:line="360" w:lineRule="auto"/>
        <w:ind w:left="0" w:firstLine="708.6614173228347"/>
        <w:jc w:val="both"/>
        <w:rPr>
          <w:sz w:val="24"/>
          <w:szCs w:val="24"/>
        </w:rPr>
      </w:pPr>
      <w:r w:rsidDel="00000000" w:rsidR="00000000" w:rsidRPr="00000000">
        <w:rPr>
          <w:sz w:val="24"/>
          <w:szCs w:val="24"/>
          <w:rtl w:val="0"/>
        </w:rPr>
        <w:t xml:space="preserve">Para isso, estabelecem-se os seguintes objetivos específicos:  a) definir os conceitos de Educação para a Sustentabilidade e Perspectiva Decolonial; b) caracterizar efeitos do pensamento decolonial nas políticas públicas; c) identificar se o Programa Selo Escola Sustentável reforça ou desafia ideias colonialistas, utilizando-o como estudo de caso. A pesquisa terá abordagem qualitativa, que “enfatiza as qualidades de entidades e de processos que não são </w:t>
      </w:r>
      <w:r w:rsidDel="00000000" w:rsidR="00000000" w:rsidRPr="00000000">
        <w:rPr>
          <w:sz w:val="24"/>
          <w:szCs w:val="24"/>
          <w:rtl w:val="0"/>
        </w:rPr>
        <w:t xml:space="preserve">apresentadas</w:t>
      </w:r>
      <w:r w:rsidDel="00000000" w:rsidR="00000000" w:rsidRPr="00000000">
        <w:rPr>
          <w:sz w:val="24"/>
          <w:szCs w:val="24"/>
          <w:rtl w:val="0"/>
        </w:rPr>
        <w:t xml:space="preserve"> em termos de quantidade, intensidade ou frequência” (Gil, 2021, p. 15). Quanto ao tipo de estudo, será realizado o descritivo e analítico, com enfoque em análise de conteúdo crítica e análise discursiva. Para o seu desenvolvimento, será realizado um estudo de caso do ‘Programa </w:t>
      </w:r>
      <w:r w:rsidDel="00000000" w:rsidR="00000000" w:rsidRPr="00000000">
        <w:rPr>
          <w:sz w:val="24"/>
          <w:szCs w:val="24"/>
          <w:rtl w:val="0"/>
        </w:rPr>
        <w:t xml:space="preserve">Selo Escola </w:t>
      </w:r>
      <w:r w:rsidDel="00000000" w:rsidR="00000000" w:rsidRPr="00000000">
        <w:rPr>
          <w:sz w:val="24"/>
          <w:szCs w:val="24"/>
          <w:rtl w:val="0"/>
        </w:rPr>
        <w:t xml:space="preserve">Sustentável</w:t>
      </w:r>
      <w:r w:rsidDel="00000000" w:rsidR="00000000" w:rsidRPr="00000000">
        <w:rPr>
          <w:sz w:val="24"/>
          <w:szCs w:val="24"/>
          <w:rtl w:val="0"/>
        </w:rPr>
        <w:t xml:space="preserve">’ (PSES),</w:t>
      </w:r>
      <w:r w:rsidDel="00000000" w:rsidR="00000000" w:rsidRPr="00000000">
        <w:rPr>
          <w:sz w:val="24"/>
          <w:szCs w:val="24"/>
          <w:rtl w:val="0"/>
        </w:rPr>
        <w:t xml:space="preserve"> promovido pelo governo estadual do Ceará. Serão coletados dados por meio de pesquisa documental a partir de textos oficiais do programa (leis, manuais, site oficial) para categorização de trechos que se relacionam com os objetivos propostos, confrontando-os com critérios e teorias decoloniais, permitindo avaliar se os critérios de certificação reproduzem ou subvertem lógicas colonialistas, oferecendo uma análise concreta de como políticas públicas operam na prática.  </w:t>
      </w:r>
    </w:p>
    <w:p w:rsidR="00000000" w:rsidDel="00000000" w:rsidP="00000000" w:rsidRDefault="00000000" w:rsidRPr="00000000" w14:paraId="00000013">
      <w:pPr>
        <w:spacing w:line="360" w:lineRule="auto"/>
        <w:ind w:left="0" w:firstLine="708.6614173228347"/>
        <w:jc w:val="both"/>
        <w:rPr>
          <w:sz w:val="24"/>
          <w:szCs w:val="24"/>
          <w:highlight w:val="yellow"/>
        </w:rPr>
      </w:pPr>
      <w:r w:rsidDel="00000000" w:rsidR="00000000" w:rsidRPr="00000000">
        <w:rPr>
          <w:sz w:val="24"/>
          <w:szCs w:val="24"/>
          <w:rtl w:val="0"/>
        </w:rPr>
        <w:t xml:space="preserve">Este trabalho foi desenvolvido no âmbito do Laboratório de Estudos Avançados em Desenvolvimento Regional Sustentável (LEADERS), da Universidade Federal do Ceará (UFC).</w:t>
      </w:r>
      <w:r w:rsidDel="00000000" w:rsidR="00000000" w:rsidRPr="00000000">
        <w:rPr>
          <w:rtl w:val="0"/>
        </w:rPr>
      </w:r>
    </w:p>
    <w:p w:rsidR="00000000" w:rsidDel="00000000" w:rsidP="00000000" w:rsidRDefault="00000000" w:rsidRPr="00000000" w14:paraId="00000014">
      <w:pPr>
        <w:spacing w:line="360" w:lineRule="auto"/>
        <w:ind w:firstLine="1133.8582677165355"/>
        <w:jc w:val="both"/>
        <w:rPr>
          <w:sz w:val="24"/>
          <w:szCs w:val="24"/>
          <w:highlight w:val="yellow"/>
        </w:rPr>
      </w:pPr>
      <w:r w:rsidDel="00000000" w:rsidR="00000000" w:rsidRPr="00000000">
        <w:rPr>
          <w:rtl w:val="0"/>
        </w:rPr>
      </w:r>
    </w:p>
    <w:sdt>
      <w:sdtPr>
        <w:id w:val="933421890"/>
        <w:tag w:val="goog_rdk_1"/>
      </w:sdtPr>
      <w:sdtContent>
        <w:p w:rsidR="00000000" w:rsidDel="00000000" w:rsidP="00000000" w:rsidRDefault="00000000" w:rsidRPr="00000000" w14:paraId="00000015">
          <w:pPr>
            <w:pStyle w:val="Heading1"/>
            <w:spacing w:after="0" w:before="0" w:line="360" w:lineRule="auto"/>
            <w:jc w:val="both"/>
            <w:rPr>
              <w:sz w:val="24"/>
              <w:szCs w:val="24"/>
            </w:rPr>
          </w:pPr>
          <w:bookmarkStart w:colFirst="0" w:colLast="0" w:name="_heading=h.6w9de0z17kvg" w:id="1"/>
          <w:bookmarkEnd w:id="1"/>
          <w:r w:rsidDel="00000000" w:rsidR="00000000" w:rsidRPr="00000000">
            <w:rPr>
              <w:sz w:val="24"/>
              <w:szCs w:val="24"/>
              <w:rtl w:val="0"/>
            </w:rPr>
            <w:t xml:space="preserve">2         POLÍTICAS PÚBLICAS</w:t>
          </w:r>
        </w:p>
      </w:sdtContent>
    </w:sdt>
    <w:p w:rsidR="00000000" w:rsidDel="00000000" w:rsidP="00000000" w:rsidRDefault="00000000" w:rsidRPr="00000000" w14:paraId="00000016">
      <w:pPr>
        <w:spacing w:line="360" w:lineRule="auto"/>
        <w:ind w:left="720" w:firstLine="0"/>
        <w:jc w:val="both"/>
        <w:rPr>
          <w:sz w:val="24"/>
          <w:szCs w:val="24"/>
          <w:shd w:fill="ead1dc" w:val="clear"/>
        </w:rPr>
      </w:pPr>
      <w:r w:rsidDel="00000000" w:rsidR="00000000" w:rsidRPr="00000000">
        <w:rPr>
          <w:rtl w:val="0"/>
        </w:rPr>
      </w:r>
    </w:p>
    <w:p w:rsidR="00000000" w:rsidDel="00000000" w:rsidP="00000000" w:rsidRDefault="00000000" w:rsidRPr="00000000" w14:paraId="00000017">
      <w:pPr>
        <w:spacing w:line="360" w:lineRule="auto"/>
        <w:ind w:left="0" w:firstLine="708.6614173228347"/>
        <w:jc w:val="both"/>
        <w:rPr>
          <w:sz w:val="24"/>
          <w:szCs w:val="24"/>
        </w:rPr>
      </w:pPr>
      <w:r w:rsidDel="00000000" w:rsidR="00000000" w:rsidRPr="00000000">
        <w:rPr>
          <w:sz w:val="24"/>
          <w:szCs w:val="24"/>
          <w:rtl w:val="0"/>
        </w:rPr>
        <w:t xml:space="preserve">Embora não exista uma única definição para o termo políticas públicas, muitos autores contribuíram para a construção de um entendimento amplo e complementar sobre o conceito. </w:t>
      </w:r>
      <w:r w:rsidDel="00000000" w:rsidR="00000000" w:rsidRPr="00000000">
        <w:rPr>
          <w:sz w:val="24"/>
          <w:szCs w:val="24"/>
          <w:rtl w:val="0"/>
        </w:rPr>
        <w:t xml:space="preserve">Souza (2006, p. 26),</w:t>
      </w:r>
      <w:r w:rsidDel="00000000" w:rsidR="00000000" w:rsidRPr="00000000">
        <w:rPr>
          <w:sz w:val="24"/>
          <w:szCs w:val="24"/>
          <w:rtl w:val="0"/>
        </w:rPr>
        <w:t xml:space="preserve"> ao fazer uma revisão de literatura sobre o tema, resume as políticas públicas como o campo do conhecimento que busca, ao mesmo tempo, “colocar o governo em ação e/ou analisar essa ação (variável independente) e, quando necessário, propor mudanças no rumo ou curso dessas ações (variável dependente)”. </w:t>
      </w:r>
      <w:r w:rsidDel="00000000" w:rsidR="00000000" w:rsidRPr="00000000">
        <w:rPr>
          <w:sz w:val="24"/>
          <w:szCs w:val="24"/>
          <w:rtl w:val="0"/>
        </w:rPr>
        <w:t xml:space="preserve">Rua (2012)</w:t>
      </w:r>
      <w:r w:rsidDel="00000000" w:rsidR="00000000" w:rsidRPr="00000000">
        <w:rPr>
          <w:sz w:val="24"/>
          <w:szCs w:val="24"/>
          <w:rtl w:val="0"/>
        </w:rPr>
        <w:t xml:space="preserve">, por sua vez, afirma que uma política pública compreende a tomada de decisões e as ações estratégicas para implementá-las. </w:t>
      </w:r>
    </w:p>
    <w:p w:rsidR="00000000" w:rsidDel="00000000" w:rsidP="00000000" w:rsidRDefault="00000000" w:rsidRPr="00000000" w14:paraId="00000018">
      <w:pPr>
        <w:spacing w:line="360" w:lineRule="auto"/>
        <w:ind w:left="0" w:firstLine="708.6614173228347"/>
        <w:jc w:val="both"/>
        <w:rPr>
          <w:sz w:val="24"/>
          <w:szCs w:val="24"/>
        </w:rPr>
      </w:pPr>
      <w:r w:rsidDel="00000000" w:rsidR="00000000" w:rsidRPr="00000000">
        <w:rPr>
          <w:sz w:val="24"/>
          <w:szCs w:val="24"/>
          <w:rtl w:val="0"/>
        </w:rPr>
        <w:t xml:space="preserve">Para este trabalho, adotaremos a definição proposta por Secchi (2022), que define políticas públicas como diretrizes elaboradas para enfrentar problemas de interesse coletivo, orientando ações ou omissões de determinados atores. O autor destaca que uma política pública é composta por dois elementos fundamentais: a intencionalidade pública e a capacidade de responder a um problema reconhecido como relevante para a sociedade.</w:t>
      </w:r>
    </w:p>
    <w:p w:rsidR="00000000" w:rsidDel="00000000" w:rsidP="00000000" w:rsidRDefault="00000000" w:rsidRPr="00000000" w14:paraId="00000019">
      <w:pPr>
        <w:spacing w:line="360" w:lineRule="auto"/>
        <w:ind w:left="0" w:firstLine="708.6614173228347"/>
        <w:jc w:val="both"/>
        <w:rPr>
          <w:sz w:val="24"/>
          <w:szCs w:val="24"/>
        </w:rPr>
      </w:pPr>
      <w:r w:rsidDel="00000000" w:rsidR="00000000" w:rsidRPr="00000000">
        <w:rPr>
          <w:sz w:val="24"/>
          <w:szCs w:val="24"/>
          <w:rtl w:val="0"/>
        </w:rPr>
        <w:t xml:space="preserve">Nesse sentido, um problema, ao ser percebido como relevante, passa a integrar a chamada 'agenda pública', tornando-se uma questão digna de ação (ou inércia) por parte do poder público. O contexto em que uma política pública é formulada desempenha um papel crucial, pois é ele que determina se haverá ação ou inação em relação ao problema, quais causas serão priorizadas, como a política será constituída, quais recursos serão investidos e quais atores estarão envolvidos no processo. </w:t>
      </w:r>
    </w:p>
    <w:p w:rsidR="00000000" w:rsidDel="00000000" w:rsidP="00000000" w:rsidRDefault="00000000" w:rsidRPr="00000000" w14:paraId="0000001A">
      <w:pPr>
        <w:spacing w:line="360" w:lineRule="auto"/>
        <w:ind w:left="0" w:firstLine="708.6614173228347"/>
        <w:jc w:val="both"/>
        <w:rPr>
          <w:sz w:val="20"/>
          <w:szCs w:val="20"/>
        </w:rPr>
      </w:pPr>
      <w:r w:rsidDel="00000000" w:rsidR="00000000" w:rsidRPr="00000000">
        <w:rPr>
          <w:sz w:val="24"/>
          <w:szCs w:val="24"/>
          <w:rtl w:val="0"/>
        </w:rPr>
        <w:t xml:space="preserve">De acordo com </w:t>
      </w:r>
      <w:r w:rsidDel="00000000" w:rsidR="00000000" w:rsidRPr="00000000">
        <w:rPr>
          <w:sz w:val="24"/>
          <w:szCs w:val="24"/>
          <w:rtl w:val="0"/>
        </w:rPr>
        <w:t xml:space="preserve">Porto (2024, p.13)</w:t>
      </w:r>
      <w:r w:rsidDel="00000000" w:rsidR="00000000" w:rsidRPr="00000000">
        <w:rPr>
          <w:sz w:val="24"/>
          <w:szCs w:val="24"/>
          <w:rtl w:val="0"/>
        </w:rPr>
        <w:t xml:space="preserve">, é no século XX que as questões ambientais passam a ocupar um lugar de destaque no debate sobre políticas públicas:</w:t>
      </w:r>
      <w:r w:rsidDel="00000000" w:rsidR="00000000" w:rsidRPr="00000000">
        <w:rPr>
          <w:rtl w:val="0"/>
        </w:rPr>
      </w:r>
    </w:p>
    <w:p w:rsidR="00000000" w:rsidDel="00000000" w:rsidP="00000000" w:rsidRDefault="00000000" w:rsidRPr="00000000" w14:paraId="0000001B">
      <w:pPr>
        <w:spacing w:line="240" w:lineRule="auto"/>
        <w:ind w:left="2834.645669291339" w:firstLine="0"/>
        <w:jc w:val="both"/>
        <w:rPr>
          <w:sz w:val="24"/>
          <w:szCs w:val="24"/>
        </w:rPr>
      </w:pPr>
      <w:r w:rsidDel="00000000" w:rsidR="00000000" w:rsidRPr="00000000">
        <w:rPr>
          <w:sz w:val="20"/>
          <w:szCs w:val="20"/>
          <w:rtl w:val="0"/>
        </w:rPr>
        <w:t xml:space="preserve">No Brasil, tem-se na Constituição de 1988 um marco decisivo para essa relevância, quando o meio ambiente se consolida institucionalmente enquanto um bem de uso comum de todos, e sua preservação passa a ser de responsabilidade não somente do Estado, mas também da sociedade civil e do setor privado. Dessa forma, aumentou-se os investimentos públicos em políticas ambientais, mesmo em um momento no qual ganhava força no país a ideologia neoliberal de ajustes estruturais, de práticas gerencialistas de diminuição de gastos públicos com políticas sociais. </w:t>
      </w:r>
      <w:r w:rsidDel="00000000" w:rsidR="00000000" w:rsidRPr="00000000">
        <w:rPr>
          <w:rtl w:val="0"/>
        </w:rPr>
      </w:r>
    </w:p>
    <w:p w:rsidR="00000000" w:rsidDel="00000000" w:rsidP="00000000" w:rsidRDefault="00000000" w:rsidRPr="00000000" w14:paraId="0000001C">
      <w:pPr>
        <w:spacing w:line="240" w:lineRule="auto"/>
        <w:ind w:left="2834.645669291339" w:firstLine="0"/>
        <w:jc w:val="both"/>
        <w:rPr>
          <w:sz w:val="24"/>
          <w:szCs w:val="24"/>
        </w:rPr>
      </w:pPr>
      <w:r w:rsidDel="00000000" w:rsidR="00000000" w:rsidRPr="00000000">
        <w:rPr>
          <w:rtl w:val="0"/>
        </w:rPr>
      </w:r>
    </w:p>
    <w:p w:rsidR="00000000" w:rsidDel="00000000" w:rsidP="00000000" w:rsidRDefault="00000000" w:rsidRPr="00000000" w14:paraId="0000001D">
      <w:pPr>
        <w:spacing w:line="360" w:lineRule="auto"/>
        <w:ind w:left="0" w:firstLine="708.6614173228347"/>
        <w:jc w:val="both"/>
        <w:rPr>
          <w:sz w:val="24"/>
          <w:szCs w:val="24"/>
          <w:shd w:fill="ead1dc" w:val="clear"/>
        </w:rPr>
      </w:pPr>
      <w:r w:rsidDel="00000000" w:rsidR="00000000" w:rsidRPr="00000000">
        <w:rPr>
          <w:sz w:val="24"/>
          <w:szCs w:val="24"/>
          <w:rtl w:val="0"/>
        </w:rPr>
        <w:t xml:space="preserve">É nesse contexto que surgem normas e programas com o intuito de fomentar o cuidado com o meio ambiente, o uso consciente de recursos e a sustentabilidade. Dentre essas iniciativas, está o Programa Selo Escola Sustentável.</w:t>
      </w:r>
      <w:r w:rsidDel="00000000" w:rsidR="00000000" w:rsidRPr="00000000">
        <w:rPr>
          <w:rtl w:val="0"/>
        </w:rPr>
      </w:r>
    </w:p>
    <w:p w:rsidR="00000000" w:rsidDel="00000000" w:rsidP="00000000" w:rsidRDefault="00000000" w:rsidRPr="00000000" w14:paraId="0000001E">
      <w:pPr>
        <w:spacing w:line="360" w:lineRule="auto"/>
        <w:ind w:left="720" w:firstLine="0"/>
        <w:jc w:val="both"/>
        <w:rPr>
          <w:sz w:val="24"/>
          <w:szCs w:val="24"/>
          <w:shd w:fill="ead1dc" w:val="clear"/>
        </w:rPr>
      </w:pPr>
      <w:r w:rsidDel="00000000" w:rsidR="00000000" w:rsidRPr="00000000">
        <w:rPr>
          <w:rtl w:val="0"/>
        </w:rPr>
      </w:r>
    </w:p>
    <w:sdt>
      <w:sdtPr>
        <w:id w:val="1521076560"/>
        <w:tag w:val="goog_rdk_2"/>
      </w:sdtPr>
      <w:sdtContent>
        <w:p w:rsidR="00000000" w:rsidDel="00000000" w:rsidP="00000000" w:rsidRDefault="00000000" w:rsidRPr="00000000" w14:paraId="0000001F">
          <w:pPr>
            <w:pStyle w:val="Heading2"/>
            <w:spacing w:after="0" w:before="0" w:line="360" w:lineRule="auto"/>
            <w:ind w:left="0" w:firstLine="0"/>
            <w:jc w:val="both"/>
            <w:rPr>
              <w:sz w:val="24"/>
              <w:szCs w:val="24"/>
            </w:rPr>
          </w:pPr>
          <w:bookmarkStart w:colFirst="0" w:colLast="0" w:name="_heading=h.dzv79w4fmxvp" w:id="2"/>
          <w:bookmarkEnd w:id="2"/>
          <w:r w:rsidDel="00000000" w:rsidR="00000000" w:rsidRPr="00000000">
            <w:rPr>
              <w:sz w:val="24"/>
              <w:szCs w:val="24"/>
              <w:rtl w:val="0"/>
            </w:rPr>
            <w:t xml:space="preserve">3</w:t>
          </w:r>
          <w:r w:rsidDel="00000000" w:rsidR="00000000" w:rsidRPr="00000000">
            <w:rPr>
              <w:sz w:val="24"/>
              <w:szCs w:val="24"/>
              <w:rtl w:val="0"/>
            </w:rPr>
            <w:t xml:space="preserve">        EDUCAÇÃO PARA A SUSTENTABILIDADE</w:t>
          </w:r>
        </w:p>
      </w:sdtContent>
    </w:sdt>
    <w:p w:rsidR="00000000" w:rsidDel="00000000" w:rsidP="00000000" w:rsidRDefault="00000000" w:rsidRPr="00000000" w14:paraId="00000020">
      <w:pPr>
        <w:pStyle w:val="Heading2"/>
        <w:spacing w:after="0" w:before="0" w:line="360" w:lineRule="auto"/>
        <w:ind w:left="720" w:firstLine="0"/>
        <w:jc w:val="both"/>
        <w:rPr>
          <w:b w:val="0"/>
          <w:sz w:val="24"/>
          <w:szCs w:val="24"/>
          <w:shd w:fill="d9d2e9" w:val="clear"/>
        </w:rPr>
      </w:pPr>
      <w:bookmarkStart w:colFirst="0" w:colLast="0" w:name="_heading=h.pz11ksl8u5as" w:id="3"/>
      <w:bookmarkEnd w:id="3"/>
      <w:r w:rsidDel="00000000" w:rsidR="00000000" w:rsidRPr="00000000">
        <w:rPr>
          <w:b w:val="0"/>
          <w:sz w:val="24"/>
          <w:szCs w:val="24"/>
          <w:shd w:fill="d9d2e9" w:val="clear"/>
          <w:rtl w:val="0"/>
        </w:rPr>
        <w:t xml:space="preserve"> </w:t>
      </w:r>
    </w:p>
    <w:p w:rsidR="00000000" w:rsidDel="00000000" w:rsidP="00000000" w:rsidRDefault="00000000" w:rsidRPr="00000000" w14:paraId="00000021">
      <w:pPr>
        <w:spacing w:line="360" w:lineRule="auto"/>
        <w:ind w:left="0" w:firstLine="708.6614173228347"/>
        <w:jc w:val="both"/>
        <w:rPr>
          <w:sz w:val="24"/>
          <w:szCs w:val="24"/>
        </w:rPr>
      </w:pPr>
      <w:r w:rsidDel="00000000" w:rsidR="00000000" w:rsidRPr="00000000">
        <w:rPr>
          <w:sz w:val="24"/>
          <w:szCs w:val="24"/>
          <w:rtl w:val="0"/>
        </w:rPr>
        <w:t xml:space="preserve">Neste trabalho, a perspectiva de sustentabilidade utilizada é a que se relaciona diretamente com o desenvolvimento sustentável. O caminho para a sustentabilidade perpassa conjuntamente por atuações nas dimensões Social, Ambiental, Econômica e Institucional-Política </w:t>
      </w:r>
      <w:r w:rsidDel="00000000" w:rsidR="00000000" w:rsidRPr="00000000">
        <w:rPr>
          <w:sz w:val="24"/>
          <w:szCs w:val="24"/>
          <w:rtl w:val="0"/>
        </w:rPr>
        <w:t xml:space="preserve">(Chacon e Nascimento, 2020)</w:t>
      </w:r>
      <w:r w:rsidDel="00000000" w:rsidR="00000000" w:rsidRPr="00000000">
        <w:rPr>
          <w:sz w:val="24"/>
          <w:szCs w:val="24"/>
          <w:rtl w:val="0"/>
        </w:rPr>
        <w:t xml:space="preserve">. É necessário que os cidadãos possam acessar espaços formativos que os preparem para que sejam atuantes nessa corrente.  Nesse sentido, dentro dos esforços da Organização das Nações Unidas (ONU) para a Década das Nações Unidas, foi proposta a Educação para a Sustentabilidade, a partir da Resolução nº 57/2002 da Assembléia Geral da ONU </w:t>
      </w:r>
      <w:r w:rsidDel="00000000" w:rsidR="00000000" w:rsidRPr="00000000">
        <w:rPr>
          <w:sz w:val="24"/>
          <w:szCs w:val="24"/>
          <w:rtl w:val="0"/>
        </w:rPr>
        <w:t xml:space="preserve">(Buczenko e Rosa, 2022)</w:t>
      </w:r>
      <w:r w:rsidDel="00000000" w:rsidR="00000000" w:rsidRPr="00000000">
        <w:rPr>
          <w:sz w:val="24"/>
          <w:szCs w:val="24"/>
          <w:rtl w:val="0"/>
        </w:rPr>
        <w:t xml:space="preserve">. </w:t>
      </w:r>
    </w:p>
    <w:p w:rsidR="00000000" w:rsidDel="00000000" w:rsidP="00000000" w:rsidRDefault="00000000" w:rsidRPr="00000000" w14:paraId="00000022">
      <w:pPr>
        <w:spacing w:line="360" w:lineRule="auto"/>
        <w:ind w:left="0" w:firstLine="708.6614173228347"/>
        <w:jc w:val="both"/>
        <w:rPr>
          <w:sz w:val="24"/>
          <w:szCs w:val="24"/>
        </w:rPr>
      </w:pPr>
      <w:r w:rsidDel="00000000" w:rsidR="00000000" w:rsidRPr="00000000">
        <w:rPr>
          <w:sz w:val="24"/>
          <w:szCs w:val="24"/>
          <w:rtl w:val="0"/>
        </w:rPr>
        <w:t xml:space="preserve">A Educação  para  a  Sustentabilidade  pode ser conceituada como “uma  via  para  a  disseminação  de  um  novo paradigma em prol da sustentabilidade e abarca dimensões múltiplas, quais sejam” </w:t>
      </w:r>
      <w:r w:rsidDel="00000000" w:rsidR="00000000" w:rsidRPr="00000000">
        <w:rPr>
          <w:sz w:val="24"/>
          <w:szCs w:val="24"/>
          <w:rtl w:val="0"/>
        </w:rPr>
        <w:t xml:space="preserve">(Araújo, Medeiros e Silva, 2024, p. 2)</w:t>
      </w:r>
      <w:r w:rsidDel="00000000" w:rsidR="00000000" w:rsidRPr="00000000">
        <w:rPr>
          <w:sz w:val="24"/>
          <w:szCs w:val="24"/>
          <w:rtl w:val="0"/>
        </w:rPr>
        <w:t xml:space="preserve">. Outro exemplo de abordagem pode ser observada no Programa Cidades Sustentáveis (PCS), do Instituto Cidades Sustentáveis, o qual traz a Educação para a Sustentabilidade e Qualidade de Vida objetivando “integrar, na educação formal e não-formal, conhecimentos, valores e habilidades para a construção de um modo de vida sustentável e saudável” </w:t>
      </w:r>
      <w:r w:rsidDel="00000000" w:rsidR="00000000" w:rsidRPr="00000000">
        <w:rPr>
          <w:sz w:val="24"/>
          <w:szCs w:val="24"/>
          <w:rtl w:val="0"/>
        </w:rPr>
        <w:t xml:space="preserve">(ICS, 2025)</w:t>
      </w:r>
      <w:r w:rsidDel="00000000" w:rsidR="00000000" w:rsidRPr="00000000">
        <w:rPr>
          <w:sz w:val="24"/>
          <w:szCs w:val="24"/>
          <w:rtl w:val="0"/>
        </w:rPr>
        <w:t xml:space="preserve">.</w:t>
      </w:r>
    </w:p>
    <w:p w:rsidR="00000000" w:rsidDel="00000000" w:rsidP="00000000" w:rsidRDefault="00000000" w:rsidRPr="00000000" w14:paraId="00000023">
      <w:pPr>
        <w:spacing w:line="360" w:lineRule="auto"/>
        <w:ind w:left="0" w:firstLine="708.6614173228347"/>
        <w:jc w:val="both"/>
        <w:rPr>
          <w:sz w:val="24"/>
          <w:szCs w:val="24"/>
        </w:rPr>
      </w:pPr>
      <w:r w:rsidDel="00000000" w:rsidR="00000000" w:rsidRPr="00000000">
        <w:rPr>
          <w:sz w:val="24"/>
          <w:szCs w:val="24"/>
          <w:rtl w:val="0"/>
        </w:rPr>
        <w:t xml:space="preserve">No Brasil, no que diz respeito ao contexto educacional, a diretriz de integração é a “criação de espaços educadores sustentáveis com intencionalidade de educar pelo exemplo e irradiar sua influência para as comunidades nas quais se situam, as chamadas escolas sustentáveis e resilientes” </w:t>
      </w:r>
      <w:r w:rsidDel="00000000" w:rsidR="00000000" w:rsidRPr="00000000">
        <w:rPr>
          <w:sz w:val="24"/>
          <w:szCs w:val="24"/>
          <w:rtl w:val="0"/>
        </w:rPr>
        <w:t xml:space="preserve">(Ferreira; Pereira e Fiore, 2024, p. 03)</w:t>
      </w:r>
      <w:r w:rsidDel="00000000" w:rsidR="00000000" w:rsidRPr="00000000">
        <w:rPr>
          <w:sz w:val="24"/>
          <w:szCs w:val="24"/>
          <w:rtl w:val="0"/>
        </w:rPr>
        <w:t xml:space="preserve">. Na América Latina, a EpS se aproxima da Educação Ambiental na promoção do pensamento crítico </w:t>
      </w:r>
      <w:r w:rsidDel="00000000" w:rsidR="00000000" w:rsidRPr="00000000">
        <w:rPr>
          <w:sz w:val="24"/>
          <w:szCs w:val="24"/>
          <w:rtl w:val="0"/>
        </w:rPr>
        <w:t xml:space="preserve">(Buczenko e Rosa, 2022)</w:t>
      </w:r>
      <w:r w:rsidDel="00000000" w:rsidR="00000000" w:rsidRPr="00000000">
        <w:rPr>
          <w:sz w:val="24"/>
          <w:szCs w:val="24"/>
          <w:rtl w:val="0"/>
        </w:rPr>
        <w:t xml:space="preserve">. Essa aproximação também é notada no intuito de diferenciar-se de práticas hegemônicas. A EpS precisa ser integradora das diversas concepções e ser construída por saberes diversos e emancipatórios, considerando todas as dimensões trabalhadas pela sustentabilidade.</w:t>
      </w:r>
    </w:p>
    <w:p w:rsidR="00000000" w:rsidDel="00000000" w:rsidP="00000000" w:rsidRDefault="00000000" w:rsidRPr="00000000" w14:paraId="00000024">
      <w:pPr>
        <w:spacing w:line="360" w:lineRule="auto"/>
        <w:ind w:firstLine="1133.8582677165355"/>
        <w:jc w:val="both"/>
        <w:rPr>
          <w:sz w:val="24"/>
          <w:szCs w:val="24"/>
        </w:rPr>
      </w:pPr>
      <w:r w:rsidDel="00000000" w:rsidR="00000000" w:rsidRPr="00000000">
        <w:rPr>
          <w:rtl w:val="0"/>
        </w:rPr>
      </w:r>
    </w:p>
    <w:sdt>
      <w:sdtPr>
        <w:id w:val="-65039219"/>
        <w:tag w:val="goog_rdk_3"/>
      </w:sdtPr>
      <w:sdtContent>
        <w:p w:rsidR="00000000" w:rsidDel="00000000" w:rsidP="00000000" w:rsidRDefault="00000000" w:rsidRPr="00000000" w14:paraId="00000025">
          <w:pPr>
            <w:pStyle w:val="Heading2"/>
            <w:spacing w:after="0" w:before="0" w:line="360" w:lineRule="auto"/>
            <w:ind w:left="0" w:firstLine="0"/>
            <w:jc w:val="both"/>
            <w:rPr>
              <w:sz w:val="24"/>
              <w:szCs w:val="24"/>
            </w:rPr>
          </w:pPr>
          <w:bookmarkStart w:colFirst="0" w:colLast="0" w:name="_heading=h.fw4s4yqr1cg3" w:id="4"/>
          <w:bookmarkEnd w:id="4"/>
          <w:r w:rsidDel="00000000" w:rsidR="00000000" w:rsidRPr="00000000">
            <w:rPr>
              <w:sz w:val="24"/>
              <w:szCs w:val="24"/>
              <w:rtl w:val="0"/>
            </w:rPr>
            <w:t xml:space="preserve">4         PERSPECTIVA DECOLONIAL</w:t>
          </w:r>
        </w:p>
      </w:sdtContent>
    </w:sdt>
    <w:p w:rsidR="00000000" w:rsidDel="00000000" w:rsidP="00000000" w:rsidRDefault="00000000" w:rsidRPr="00000000" w14:paraId="00000026">
      <w:pPr>
        <w:spacing w:line="360" w:lineRule="auto"/>
        <w:rPr/>
      </w:pPr>
      <w:r w:rsidDel="00000000" w:rsidR="00000000" w:rsidRPr="00000000">
        <w:rPr>
          <w:rtl w:val="0"/>
        </w:rPr>
      </w:r>
    </w:p>
    <w:p w:rsidR="00000000" w:rsidDel="00000000" w:rsidP="00000000" w:rsidRDefault="00000000" w:rsidRPr="00000000" w14:paraId="00000027">
      <w:pPr>
        <w:spacing w:line="360" w:lineRule="auto"/>
        <w:ind w:left="0" w:firstLine="708.6614173228347"/>
        <w:jc w:val="both"/>
        <w:rPr>
          <w:sz w:val="24"/>
          <w:szCs w:val="24"/>
        </w:rPr>
      </w:pPr>
      <w:r w:rsidDel="00000000" w:rsidR="00000000" w:rsidRPr="00000000">
        <w:rPr>
          <w:sz w:val="24"/>
          <w:szCs w:val="24"/>
          <w:rtl w:val="0"/>
        </w:rPr>
        <w:t xml:space="preserve">Para abordar a perspectiva decolonial, precisamos primeiramente conceituar a Colonialidade. Segundo </w:t>
      </w:r>
      <w:r w:rsidDel="00000000" w:rsidR="00000000" w:rsidRPr="00000000">
        <w:rPr>
          <w:sz w:val="24"/>
          <w:szCs w:val="24"/>
          <w:rtl w:val="0"/>
        </w:rPr>
        <w:t xml:space="preserve">Silveira, Nascimento e Zalembessa (2021, p. 07)</w:t>
      </w:r>
      <w:r w:rsidDel="00000000" w:rsidR="00000000" w:rsidRPr="00000000">
        <w:rPr>
          <w:sz w:val="24"/>
          <w:szCs w:val="24"/>
          <w:rtl w:val="0"/>
        </w:rPr>
        <w:t xml:space="preserve">, esta “atua nas instâncias do ser, do saber e do poder e, nessa lógica, conduz os modelos estruturadores que mantém instituições tradicionais como legitimadoras do discurso que busca se impor como único”.</w:t>
      </w:r>
    </w:p>
    <w:p w:rsidR="00000000" w:rsidDel="00000000" w:rsidP="00000000" w:rsidRDefault="00000000" w:rsidRPr="00000000" w14:paraId="00000028">
      <w:pPr>
        <w:spacing w:line="360" w:lineRule="auto"/>
        <w:ind w:left="0" w:firstLine="708.6614173228347"/>
        <w:jc w:val="both"/>
        <w:rPr>
          <w:sz w:val="24"/>
          <w:szCs w:val="24"/>
        </w:rPr>
      </w:pPr>
      <w:r w:rsidDel="00000000" w:rsidR="00000000" w:rsidRPr="00000000">
        <w:rPr>
          <w:sz w:val="24"/>
          <w:szCs w:val="24"/>
          <w:rtl w:val="0"/>
        </w:rPr>
        <w:t xml:space="preserve">A Decolonialidade é perspectiva que contrapõe a colonialidade, “seu horizonte de ação aponta para o desmonte da estrutura da colonialidade do poder, do eurocentrismo e da obediência epistêmica e política do projeto civilizador moderno” </w:t>
      </w:r>
      <w:r w:rsidDel="00000000" w:rsidR="00000000" w:rsidRPr="00000000">
        <w:rPr>
          <w:sz w:val="24"/>
          <w:szCs w:val="24"/>
          <w:rtl w:val="0"/>
        </w:rPr>
        <w:t xml:space="preserve">(Holanda, 2023, p. 46)</w:t>
      </w:r>
      <w:r w:rsidDel="00000000" w:rsidR="00000000" w:rsidRPr="00000000">
        <w:rPr>
          <w:sz w:val="24"/>
          <w:szCs w:val="24"/>
          <w:rtl w:val="0"/>
        </w:rPr>
        <w:t xml:space="preserve">. Ademais, segundo </w:t>
      </w:r>
      <w:r w:rsidDel="00000000" w:rsidR="00000000" w:rsidRPr="00000000">
        <w:rPr>
          <w:sz w:val="24"/>
          <w:szCs w:val="24"/>
          <w:rtl w:val="0"/>
        </w:rPr>
        <w:t xml:space="preserve">Mignolo (2017, p. 10)</w:t>
      </w:r>
      <w:r w:rsidDel="00000000" w:rsidR="00000000" w:rsidRPr="00000000">
        <w:rPr>
          <w:sz w:val="24"/>
          <w:szCs w:val="24"/>
          <w:rtl w:val="0"/>
        </w:rPr>
        <w:t xml:space="preserve">, o pensamento descolonial</w:t>
      </w:r>
      <w:r w:rsidDel="00000000" w:rsidR="00000000" w:rsidRPr="00000000">
        <w:rPr>
          <w:rtl w:val="0"/>
        </w:rPr>
        <w:t xml:space="preserve"> </w:t>
      </w:r>
      <w:r w:rsidDel="00000000" w:rsidR="00000000" w:rsidRPr="00000000">
        <w:rPr>
          <w:sz w:val="24"/>
          <w:szCs w:val="24"/>
          <w:rtl w:val="0"/>
        </w:rPr>
        <w:t xml:space="preserve">“consiste no trabalho inexorável de desvendar como a matriz funciona, e a opção decolonial é o projeto inexorável de tirar todos da miragem da modernidade e da armadilha da colonialidade”.</w:t>
      </w:r>
    </w:p>
    <w:p w:rsidR="00000000" w:rsidDel="00000000" w:rsidP="00000000" w:rsidRDefault="00000000" w:rsidRPr="00000000" w14:paraId="00000029">
      <w:pPr>
        <w:spacing w:line="360" w:lineRule="auto"/>
        <w:ind w:left="0" w:firstLine="708.6614173228347"/>
        <w:jc w:val="both"/>
        <w:rPr>
          <w:sz w:val="24"/>
          <w:szCs w:val="24"/>
        </w:rPr>
      </w:pPr>
      <w:r w:rsidDel="00000000" w:rsidR="00000000" w:rsidRPr="00000000">
        <w:rPr>
          <w:sz w:val="24"/>
          <w:szCs w:val="24"/>
          <w:rtl w:val="0"/>
        </w:rPr>
        <w:t xml:space="preserve">As habilidades construídas a partir da decolonialidade são importantes para que as injustiças sociais que há muito acometem a sociedade não sejam reproduzidas nas esferas do poder, do ser e do pensar.  Sua relevância é perceptível inclusive na esfera ambiental.</w:t>
      </w:r>
    </w:p>
    <w:p w:rsidR="00000000" w:rsidDel="00000000" w:rsidP="00000000" w:rsidRDefault="00000000" w:rsidRPr="00000000" w14:paraId="0000002A">
      <w:pPr>
        <w:spacing w:line="360" w:lineRule="auto"/>
        <w:ind w:firstLine="1133.8582677165355"/>
        <w:jc w:val="both"/>
        <w:rPr>
          <w:sz w:val="8"/>
          <w:szCs w:val="8"/>
        </w:rPr>
      </w:pPr>
      <w:r w:rsidDel="00000000" w:rsidR="00000000" w:rsidRPr="00000000">
        <w:rPr>
          <w:rtl w:val="0"/>
        </w:rPr>
      </w:r>
    </w:p>
    <w:p w:rsidR="00000000" w:rsidDel="00000000" w:rsidP="00000000" w:rsidRDefault="00000000" w:rsidRPr="00000000" w14:paraId="0000002B">
      <w:pPr>
        <w:spacing w:line="240" w:lineRule="auto"/>
        <w:ind w:left="2267.716535433071" w:firstLine="0"/>
        <w:jc w:val="both"/>
        <w:rPr>
          <w:sz w:val="20"/>
          <w:szCs w:val="20"/>
        </w:rPr>
      </w:pPr>
      <w:r w:rsidDel="00000000" w:rsidR="00000000" w:rsidRPr="00000000">
        <w:rPr>
          <w:sz w:val="20"/>
          <w:szCs w:val="20"/>
          <w:rtl w:val="0"/>
        </w:rPr>
        <w:t xml:space="preserve">O pensamento decolonial possibilita, por sua vez, a análise e a crítica das relações de poder, a construção de alternativas a partir dos contextos locais, para superar as armadilhas da colonialidade, que reproduz a desigualdade, especialmente étnico-racial, de gênero e de classe; a apropriação e a exploração/ destruição da natureza e do meio ambiente. (Silveira, Nascimento e Zalembessa, 2021, p. 07).</w:t>
      </w:r>
    </w:p>
    <w:p w:rsidR="00000000" w:rsidDel="00000000" w:rsidP="00000000" w:rsidRDefault="00000000" w:rsidRPr="00000000" w14:paraId="0000002C">
      <w:pPr>
        <w:spacing w:line="240" w:lineRule="auto"/>
        <w:ind w:left="2267.716535433071" w:firstLine="0"/>
        <w:jc w:val="both"/>
        <w:rPr>
          <w:sz w:val="20"/>
          <w:szCs w:val="20"/>
        </w:rPr>
      </w:pPr>
      <w:r w:rsidDel="00000000" w:rsidR="00000000" w:rsidRPr="00000000">
        <w:rPr>
          <w:rtl w:val="0"/>
        </w:rPr>
      </w:r>
    </w:p>
    <w:p w:rsidR="00000000" w:rsidDel="00000000" w:rsidP="00000000" w:rsidRDefault="00000000" w:rsidRPr="00000000" w14:paraId="0000002D">
      <w:pPr>
        <w:spacing w:line="360" w:lineRule="auto"/>
        <w:ind w:left="0" w:firstLine="708.6614173228347"/>
        <w:jc w:val="both"/>
        <w:rPr>
          <w:sz w:val="24"/>
          <w:szCs w:val="24"/>
        </w:rPr>
      </w:pPr>
      <w:r w:rsidDel="00000000" w:rsidR="00000000" w:rsidRPr="00000000">
        <w:rPr>
          <w:sz w:val="24"/>
          <w:szCs w:val="24"/>
          <w:rtl w:val="0"/>
        </w:rPr>
        <w:t xml:space="preserve">Assim, em uma política pública educacional é necessário que haja espaço para o pluriculturalismo, conceito abordado por </w:t>
      </w:r>
      <w:r w:rsidDel="00000000" w:rsidR="00000000" w:rsidRPr="00000000">
        <w:rPr>
          <w:sz w:val="24"/>
          <w:szCs w:val="24"/>
          <w:rtl w:val="0"/>
        </w:rPr>
        <w:t xml:space="preserve">Quijáno (2010)</w:t>
      </w:r>
      <w:r w:rsidDel="00000000" w:rsidR="00000000" w:rsidRPr="00000000">
        <w:rPr>
          <w:sz w:val="24"/>
          <w:szCs w:val="24"/>
          <w:rtl w:val="0"/>
        </w:rPr>
        <w:t xml:space="preserve">, onde as relações de desigualdade não são concebidas como problemática apenas para que haja representatividade de grupos marginalizados, mas para evidenciar atuação ativa de diferentes saberes e formas de conhecimento.</w:t>
      </w:r>
    </w:p>
    <w:p w:rsidR="00000000" w:rsidDel="00000000" w:rsidP="00000000" w:rsidRDefault="00000000" w:rsidRPr="00000000" w14:paraId="0000002E">
      <w:pPr>
        <w:spacing w:line="276" w:lineRule="auto"/>
        <w:rPr>
          <w:sz w:val="10"/>
          <w:szCs w:val="10"/>
        </w:rPr>
      </w:pPr>
      <w:r w:rsidDel="00000000" w:rsidR="00000000" w:rsidRPr="00000000">
        <w:rPr>
          <w:rtl w:val="0"/>
        </w:rPr>
      </w:r>
    </w:p>
    <w:p w:rsidR="00000000" w:rsidDel="00000000" w:rsidP="00000000" w:rsidRDefault="00000000" w:rsidRPr="00000000" w14:paraId="0000002F">
      <w:pPr>
        <w:spacing w:line="240" w:lineRule="auto"/>
        <w:ind w:left="2267.716535433071" w:firstLine="0"/>
        <w:jc w:val="both"/>
        <w:rPr>
          <w:sz w:val="20"/>
          <w:szCs w:val="20"/>
        </w:rPr>
      </w:pPr>
      <w:r w:rsidDel="00000000" w:rsidR="00000000" w:rsidRPr="00000000">
        <w:rPr>
          <w:sz w:val="20"/>
          <w:szCs w:val="20"/>
          <w:rtl w:val="0"/>
        </w:rPr>
        <w:t xml:space="preserve">Se um município, Estado ou país, por meio de seus gestores e suas políticas educacionais, impõem os conteúdos curriculares e metodologias de ensino sem permitir que professores e alunos incorporem adaptações, conteúdos outros e  contextualizações da realidade local não poderemos falar de interculturalidade. Por isso, a decolonialidade da educação se inicia quando os saberes outros, os saberes não oficializados pela matriz de saber moderna, passam a ter validade e reconhecimento </w:t>
      </w:r>
      <w:r w:rsidDel="00000000" w:rsidR="00000000" w:rsidRPr="00000000">
        <w:rPr>
          <w:sz w:val="20"/>
          <w:szCs w:val="20"/>
          <w:rtl w:val="0"/>
        </w:rPr>
        <w:t xml:space="preserve">(Holanda, 2023, p. 49).</w:t>
      </w:r>
    </w:p>
    <w:p w:rsidR="00000000" w:rsidDel="00000000" w:rsidP="00000000" w:rsidRDefault="00000000" w:rsidRPr="00000000" w14:paraId="00000030">
      <w:pPr>
        <w:spacing w:line="276" w:lineRule="auto"/>
        <w:ind w:left="2267.716535433071" w:firstLine="0"/>
        <w:jc w:val="both"/>
        <w:rPr>
          <w:sz w:val="20"/>
          <w:szCs w:val="20"/>
        </w:rPr>
      </w:pPr>
      <w:r w:rsidDel="00000000" w:rsidR="00000000" w:rsidRPr="00000000">
        <w:rPr>
          <w:rtl w:val="0"/>
        </w:rPr>
      </w:r>
    </w:p>
    <w:p w:rsidR="00000000" w:rsidDel="00000000" w:rsidP="00000000" w:rsidRDefault="00000000" w:rsidRPr="00000000" w14:paraId="00000031">
      <w:pPr>
        <w:spacing w:line="360" w:lineRule="auto"/>
        <w:ind w:left="0" w:firstLine="708.6614173228347"/>
        <w:jc w:val="both"/>
        <w:rPr>
          <w:sz w:val="24"/>
          <w:szCs w:val="24"/>
        </w:rPr>
      </w:pPr>
      <w:r w:rsidDel="00000000" w:rsidR="00000000" w:rsidRPr="00000000">
        <w:rPr>
          <w:sz w:val="24"/>
          <w:szCs w:val="24"/>
          <w:rtl w:val="0"/>
        </w:rPr>
        <w:t xml:space="preserve">É por esse viés que se discutirá na próxima sessão o programa Selo Escola Sustentável e sua confluência com a perspectiva decolonial.</w:t>
      </w:r>
    </w:p>
    <w:p w:rsidR="00000000" w:rsidDel="00000000" w:rsidP="00000000" w:rsidRDefault="00000000" w:rsidRPr="00000000" w14:paraId="00000032">
      <w:pPr>
        <w:pStyle w:val="Heading1"/>
        <w:spacing w:after="0" w:before="0" w:line="360" w:lineRule="auto"/>
        <w:jc w:val="both"/>
        <w:rPr>
          <w:sz w:val="24"/>
          <w:szCs w:val="24"/>
        </w:rPr>
      </w:pPr>
      <w:bookmarkStart w:colFirst="0" w:colLast="0" w:name="_heading=h.frlgdycozs22" w:id="5"/>
      <w:bookmarkEnd w:id="5"/>
      <w:r w:rsidDel="00000000" w:rsidR="00000000" w:rsidRPr="00000000">
        <w:rPr>
          <w:rtl w:val="0"/>
        </w:rPr>
      </w:r>
    </w:p>
    <w:sdt>
      <w:sdtPr>
        <w:id w:val="-1551745446"/>
        <w:tag w:val="goog_rdk_4"/>
      </w:sdtPr>
      <w:sdtContent>
        <w:p w:rsidR="00000000" w:rsidDel="00000000" w:rsidP="00000000" w:rsidRDefault="00000000" w:rsidRPr="00000000" w14:paraId="00000033">
          <w:pPr>
            <w:pStyle w:val="Heading1"/>
            <w:spacing w:after="0" w:before="0" w:line="360" w:lineRule="auto"/>
            <w:jc w:val="both"/>
            <w:rPr>
              <w:sz w:val="24"/>
              <w:szCs w:val="24"/>
            </w:rPr>
          </w:pPr>
          <w:bookmarkStart w:colFirst="0" w:colLast="0" w:name="_heading=h.itxitxf7jbbg" w:id="6"/>
          <w:bookmarkEnd w:id="6"/>
          <w:r w:rsidDel="00000000" w:rsidR="00000000" w:rsidRPr="00000000">
            <w:rPr>
              <w:sz w:val="24"/>
              <w:szCs w:val="24"/>
              <w:rtl w:val="0"/>
            </w:rPr>
            <w:t xml:space="preserve">5         PROGRAMA SELO ESCOLA SUSTENTÁVEL</w:t>
          </w:r>
        </w:p>
      </w:sdtContent>
    </w:sdt>
    <w:p w:rsidR="00000000" w:rsidDel="00000000" w:rsidP="00000000" w:rsidRDefault="00000000" w:rsidRPr="00000000" w14:paraId="00000034">
      <w:pPr>
        <w:spacing w:line="360" w:lineRule="auto"/>
        <w:rPr/>
      </w:pPr>
      <w:r w:rsidDel="00000000" w:rsidR="00000000" w:rsidRPr="00000000">
        <w:rPr>
          <w:rtl w:val="0"/>
        </w:rPr>
      </w:r>
    </w:p>
    <w:p w:rsidR="00000000" w:rsidDel="00000000" w:rsidP="00000000" w:rsidRDefault="00000000" w:rsidRPr="00000000" w14:paraId="00000035">
      <w:pPr>
        <w:spacing w:line="360" w:lineRule="auto"/>
        <w:ind w:left="0" w:firstLine="708.6614173228347"/>
        <w:jc w:val="both"/>
        <w:rPr>
          <w:sz w:val="24"/>
          <w:szCs w:val="24"/>
        </w:rPr>
      </w:pPr>
      <w:r w:rsidDel="00000000" w:rsidR="00000000" w:rsidRPr="00000000">
        <w:rPr>
          <w:sz w:val="24"/>
          <w:szCs w:val="24"/>
          <w:rtl w:val="0"/>
        </w:rPr>
        <w:t xml:space="preserve">O Programa Selo Escola Sustentável, criado pela Lei nº 16.290 em 21 de julho de 2017 no Ceará, é uma política pública que visa promover a sustentabilidade nas escolas estaduais por meio de uma abordagem integrada, envolvendo diversas instituições como a Secretaria do Meio Ambiente (SEMA), a Secretaria de Educação (SEDUC), a Assembleia Legislativa (por meio de suas comissões de Meio Ambiente e Educação) e os conselhos estaduais de Meio Ambiente e Educação. O PSES se estrutura em quatro eixos principais: Currículo, Gestão Ambiental Escolar, Espaço Físico e Educomunicação Socioambiental. De acordo com a lei supracitada, o principal objetivo é:</w:t>
      </w:r>
    </w:p>
    <w:p w:rsidR="00000000" w:rsidDel="00000000" w:rsidP="00000000" w:rsidRDefault="00000000" w:rsidRPr="00000000" w14:paraId="00000036">
      <w:pPr>
        <w:spacing w:line="360" w:lineRule="auto"/>
        <w:ind w:firstLine="1133.8582677165355"/>
        <w:jc w:val="both"/>
        <w:rPr>
          <w:sz w:val="10"/>
          <w:szCs w:val="10"/>
        </w:rPr>
      </w:pPr>
      <w:r w:rsidDel="00000000" w:rsidR="00000000" w:rsidRPr="00000000">
        <w:rPr>
          <w:rtl w:val="0"/>
        </w:rPr>
      </w:r>
    </w:p>
    <w:p w:rsidR="00000000" w:rsidDel="00000000" w:rsidP="00000000" w:rsidRDefault="00000000" w:rsidRPr="00000000" w14:paraId="00000037">
      <w:pPr>
        <w:spacing w:line="240" w:lineRule="auto"/>
        <w:ind w:left="2267.716535433071" w:firstLine="0"/>
        <w:jc w:val="both"/>
        <w:rPr>
          <w:sz w:val="20"/>
          <w:szCs w:val="20"/>
        </w:rPr>
      </w:pPr>
      <w:r w:rsidDel="00000000" w:rsidR="00000000" w:rsidRPr="00000000">
        <w:rPr>
          <w:sz w:val="20"/>
          <w:szCs w:val="20"/>
          <w:rtl w:val="0"/>
        </w:rPr>
        <w:t xml:space="preserve">Fomentar a consciência em relação ao uso racional dos recursos públicos e dos recursos naturais, engajando todos que fazem a escola às ações desenvolvidas durante o ano letivo escolar, que reduzam seus impactos ao meio ambiente e que demonstrem responsabilidade com o bem-estar das pessoas e com a melhoria da qualidade de vida na comunidade escolar (Ceará, 2017).</w:t>
      </w:r>
    </w:p>
    <w:p w:rsidR="00000000" w:rsidDel="00000000" w:rsidP="00000000" w:rsidRDefault="00000000" w:rsidRPr="00000000" w14:paraId="00000038">
      <w:pPr>
        <w:spacing w:line="240" w:lineRule="auto"/>
        <w:ind w:left="2267.716535433071" w:firstLine="0"/>
        <w:jc w:val="both"/>
        <w:rPr>
          <w:sz w:val="20"/>
          <w:szCs w:val="20"/>
        </w:rPr>
      </w:pPr>
      <w:r w:rsidDel="00000000" w:rsidR="00000000" w:rsidRPr="00000000">
        <w:rPr>
          <w:rtl w:val="0"/>
        </w:rPr>
      </w:r>
    </w:p>
    <w:p w:rsidR="00000000" w:rsidDel="00000000" w:rsidP="00000000" w:rsidRDefault="00000000" w:rsidRPr="00000000" w14:paraId="00000039">
      <w:pPr>
        <w:spacing w:line="360" w:lineRule="auto"/>
        <w:ind w:left="0" w:firstLine="708.6614173228347"/>
        <w:jc w:val="both"/>
        <w:rPr>
          <w:sz w:val="24"/>
          <w:szCs w:val="24"/>
        </w:rPr>
      </w:pPr>
      <w:r w:rsidDel="00000000" w:rsidR="00000000" w:rsidRPr="00000000">
        <w:rPr>
          <w:sz w:val="24"/>
          <w:szCs w:val="24"/>
          <w:rtl w:val="0"/>
        </w:rPr>
        <w:t xml:space="preserve">Além disso, o programa busca envolver a comunidade escolar em ações que valorizem não apenas a preservação dos recursos naturais, mas também aspectos sociais e culturais, como direitos humanos, diversidade e conhecimento do bioma local.  Outras dimensões, formas de implementação, dentre outros aspectos são estabelecidos por meio de decreto.</w:t>
      </w:r>
    </w:p>
    <w:p w:rsidR="00000000" w:rsidDel="00000000" w:rsidP="00000000" w:rsidRDefault="00000000" w:rsidRPr="00000000" w14:paraId="0000003A">
      <w:pPr>
        <w:spacing w:line="360" w:lineRule="auto"/>
        <w:ind w:left="0" w:firstLine="708.6614173228347"/>
        <w:jc w:val="both"/>
        <w:rPr>
          <w:sz w:val="24"/>
          <w:szCs w:val="24"/>
        </w:rPr>
      </w:pPr>
      <w:r w:rsidDel="00000000" w:rsidR="00000000" w:rsidRPr="00000000">
        <w:rPr>
          <w:sz w:val="24"/>
          <w:szCs w:val="24"/>
          <w:rtl w:val="0"/>
        </w:rPr>
        <w:t xml:space="preserve">Uma das estratégias para estimular a adesão das escolas é o Prêmio Escola Sustentável, que oferece incentivos financeiros às instituições que melhor cumprirem os critérios estabelecidos. </w:t>
      </w:r>
      <w:r w:rsidDel="00000000" w:rsidR="00000000" w:rsidRPr="00000000">
        <w:rPr>
          <w:sz w:val="24"/>
          <w:szCs w:val="24"/>
          <w:rtl w:val="0"/>
        </w:rPr>
        <w:t xml:space="preserve">Dentre os critérios estão práticas de estímulo à segurança alimentar e nutricional, promoção dos direitos humanos e valorização da diversidade cultural, étnico-racial e de gênero, gestão escolar compartilhada com a comunidade escolar e seu entorno, entre outros (Ceará, 2017).</w:t>
      </w:r>
    </w:p>
    <w:p w:rsidR="00000000" w:rsidDel="00000000" w:rsidP="00000000" w:rsidRDefault="00000000" w:rsidRPr="00000000" w14:paraId="0000003B">
      <w:pPr>
        <w:spacing w:line="360" w:lineRule="auto"/>
        <w:ind w:firstLine="1133.8582677165355"/>
        <w:jc w:val="both"/>
        <w:rPr>
          <w:sz w:val="24"/>
          <w:szCs w:val="24"/>
        </w:rPr>
      </w:pPr>
      <w:r w:rsidDel="00000000" w:rsidR="00000000" w:rsidRPr="00000000">
        <w:rPr>
          <w:rtl w:val="0"/>
        </w:rPr>
      </w:r>
    </w:p>
    <w:sdt>
      <w:sdtPr>
        <w:id w:val="-1951083898"/>
        <w:tag w:val="goog_rdk_5"/>
      </w:sdtPr>
      <w:sdtContent>
        <w:p w:rsidR="00000000" w:rsidDel="00000000" w:rsidP="00000000" w:rsidRDefault="00000000" w:rsidRPr="00000000" w14:paraId="0000003C">
          <w:pPr>
            <w:pStyle w:val="Heading2"/>
            <w:spacing w:after="0" w:before="0" w:line="360" w:lineRule="auto"/>
            <w:jc w:val="both"/>
            <w:rPr>
              <w:sz w:val="24"/>
              <w:szCs w:val="24"/>
            </w:rPr>
          </w:pPr>
          <w:bookmarkStart w:colFirst="0" w:colLast="0" w:name="_heading=h.yafy88mfngpe" w:id="7"/>
          <w:bookmarkEnd w:id="7"/>
          <w:r w:rsidDel="00000000" w:rsidR="00000000" w:rsidRPr="00000000">
            <w:rPr>
              <w:sz w:val="24"/>
              <w:szCs w:val="24"/>
              <w:rtl w:val="0"/>
            </w:rPr>
            <w:t xml:space="preserve">5.1      Análise do Programa</w:t>
          </w:r>
        </w:p>
      </w:sdtContent>
    </w:sdt>
    <w:p w:rsidR="00000000" w:rsidDel="00000000" w:rsidP="00000000" w:rsidRDefault="00000000" w:rsidRPr="00000000" w14:paraId="0000003D">
      <w:pPr>
        <w:pStyle w:val="Heading2"/>
        <w:spacing w:after="0" w:before="0" w:line="360" w:lineRule="auto"/>
        <w:jc w:val="both"/>
        <w:rPr>
          <w:b w:val="0"/>
          <w:sz w:val="24"/>
          <w:szCs w:val="24"/>
          <w:shd w:fill="d9d2e9" w:val="clear"/>
        </w:rPr>
      </w:pPr>
      <w:bookmarkStart w:colFirst="0" w:colLast="0" w:name="_heading=h.b6kuzll1kek0" w:id="8"/>
      <w:bookmarkEnd w:id="8"/>
      <w:r w:rsidDel="00000000" w:rsidR="00000000" w:rsidRPr="00000000">
        <w:rPr>
          <w:rtl w:val="0"/>
        </w:rPr>
      </w:r>
    </w:p>
    <w:sdt>
      <w:sdtPr>
        <w:id w:val="432732332"/>
        <w:tag w:val="goog_rdk_6"/>
      </w:sdtPr>
      <w:sdtContent>
        <w:p w:rsidR="00000000" w:rsidDel="00000000" w:rsidP="00000000" w:rsidRDefault="00000000" w:rsidRPr="00000000" w14:paraId="0000003E">
          <w:pPr>
            <w:pStyle w:val="Heading2"/>
            <w:spacing w:after="0" w:before="0" w:line="360" w:lineRule="auto"/>
            <w:ind w:left="0" w:firstLine="708.6614173228347"/>
            <w:jc w:val="both"/>
            <w:rPr>
              <w:b w:val="0"/>
              <w:sz w:val="24"/>
              <w:szCs w:val="24"/>
            </w:rPr>
          </w:pPr>
          <w:bookmarkStart w:colFirst="0" w:colLast="0" w:name="_heading=h.pju00aapeu5a" w:id="9"/>
          <w:bookmarkEnd w:id="9"/>
          <w:r w:rsidDel="00000000" w:rsidR="00000000" w:rsidRPr="00000000">
            <w:rPr>
              <w:b w:val="0"/>
              <w:sz w:val="24"/>
              <w:szCs w:val="24"/>
              <w:rtl w:val="0"/>
            </w:rPr>
            <w:t xml:space="preserve">Com base nos conceitos apresentados nas seções anteriores, foi desenvolvido o seguinte quadro com critérios decoloniais para realizar a análise do PSES, com base no “Manual das Escolas de 2025/2026”, onde consta os eixos principais e as atividades propostas pelo manual.</w:t>
          </w:r>
        </w:p>
      </w:sdtContent>
    </w:sdt>
    <w:p w:rsidR="00000000" w:rsidDel="00000000" w:rsidP="00000000" w:rsidRDefault="00000000" w:rsidRPr="00000000" w14:paraId="0000003F">
      <w:pPr>
        <w:spacing w:line="276" w:lineRule="auto"/>
        <w:rPr/>
      </w:pPr>
      <w:r w:rsidDel="00000000" w:rsidR="00000000" w:rsidRPr="00000000">
        <w:rPr>
          <w:rtl w:val="0"/>
        </w:rPr>
      </w:r>
    </w:p>
    <w:p w:rsidR="00000000" w:rsidDel="00000000" w:rsidP="00000000" w:rsidRDefault="00000000" w:rsidRPr="00000000" w14:paraId="00000040">
      <w:pPr>
        <w:spacing w:line="240" w:lineRule="auto"/>
        <w:jc w:val="center"/>
        <w:rPr/>
      </w:pPr>
      <w:r w:rsidDel="00000000" w:rsidR="00000000" w:rsidRPr="00000000">
        <w:rPr>
          <w:b w:val="1"/>
          <w:sz w:val="24"/>
          <w:szCs w:val="24"/>
          <w:rtl w:val="0"/>
        </w:rPr>
        <w:t xml:space="preserve">Quadro 1</w:t>
      </w:r>
      <w:r w:rsidDel="00000000" w:rsidR="00000000" w:rsidRPr="00000000">
        <w:rPr>
          <w:sz w:val="24"/>
          <w:szCs w:val="24"/>
          <w:rtl w:val="0"/>
        </w:rPr>
        <w:t xml:space="preserve"> – Critérios Decoloniais</w:t>
      </w:r>
      <w:r w:rsidDel="00000000" w:rsidR="00000000" w:rsidRPr="00000000">
        <w:rPr>
          <w:rtl w:val="0"/>
        </w:rPr>
      </w:r>
    </w:p>
    <w:tbl>
      <w:tblPr>
        <w:tblStyle w:val="Table1"/>
        <w:tblW w:w="90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25"/>
        <w:gridCol w:w="2460"/>
        <w:gridCol w:w="2400"/>
        <w:gridCol w:w="2445"/>
        <w:tblGridChange w:id="0">
          <w:tblGrid>
            <w:gridCol w:w="1725"/>
            <w:gridCol w:w="2460"/>
            <w:gridCol w:w="2400"/>
            <w:gridCol w:w="2445"/>
          </w:tblGrid>
        </w:tblGridChange>
      </w:tblGrid>
      <w:tr>
        <w:trPr>
          <w:cantSplit w:val="0"/>
          <w:trHeight w:val="474.960937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1">
            <w:pPr>
              <w:widowControl w:val="0"/>
              <w:spacing w:line="240" w:lineRule="auto"/>
              <w:jc w:val="center"/>
              <w:rPr>
                <w:sz w:val="20"/>
                <w:szCs w:val="20"/>
              </w:rPr>
            </w:pPr>
            <w:r w:rsidDel="00000000" w:rsidR="00000000" w:rsidRPr="00000000">
              <w:rPr>
                <w:b w:val="1"/>
                <w:sz w:val="20"/>
                <w:szCs w:val="20"/>
                <w:rtl w:val="0"/>
              </w:rPr>
              <w:t xml:space="preserve">Critério Decolonial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2">
            <w:pPr>
              <w:widowControl w:val="0"/>
              <w:spacing w:line="240" w:lineRule="auto"/>
              <w:jc w:val="center"/>
              <w:rPr>
                <w:sz w:val="20"/>
                <w:szCs w:val="20"/>
              </w:rPr>
            </w:pPr>
            <w:r w:rsidDel="00000000" w:rsidR="00000000" w:rsidRPr="00000000">
              <w:rPr>
                <w:b w:val="1"/>
                <w:sz w:val="20"/>
                <w:szCs w:val="20"/>
                <w:rtl w:val="0"/>
              </w:rPr>
              <w:t xml:space="preserve">Pergunta-Chave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3">
            <w:pPr>
              <w:widowControl w:val="0"/>
              <w:spacing w:line="240" w:lineRule="auto"/>
              <w:jc w:val="center"/>
              <w:rPr>
                <w:sz w:val="20"/>
                <w:szCs w:val="20"/>
              </w:rPr>
            </w:pPr>
            <w:r w:rsidDel="00000000" w:rsidR="00000000" w:rsidRPr="00000000">
              <w:rPr>
                <w:b w:val="1"/>
                <w:sz w:val="20"/>
                <w:szCs w:val="20"/>
                <w:rtl w:val="0"/>
              </w:rPr>
              <w:t xml:space="preserve">Indicador de Colonialidade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4">
            <w:pPr>
              <w:widowControl w:val="0"/>
              <w:spacing w:line="240" w:lineRule="auto"/>
              <w:jc w:val="center"/>
              <w:rPr>
                <w:sz w:val="20"/>
                <w:szCs w:val="20"/>
              </w:rPr>
            </w:pPr>
            <w:r w:rsidDel="00000000" w:rsidR="00000000" w:rsidRPr="00000000">
              <w:rPr>
                <w:b w:val="1"/>
                <w:sz w:val="20"/>
                <w:szCs w:val="20"/>
                <w:rtl w:val="0"/>
              </w:rPr>
              <w:t xml:space="preserve">Indicador de Decolonialidade</w:t>
            </w:r>
            <w:r w:rsidDel="00000000" w:rsidR="00000000" w:rsidRPr="00000000">
              <w:rPr>
                <w:rtl w:val="0"/>
              </w:rPr>
            </w:r>
          </w:p>
        </w:tc>
      </w:tr>
      <w:tr>
        <w:trPr>
          <w:cantSplit w:val="0"/>
          <w:trHeight w:val="52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5">
            <w:pPr>
              <w:widowControl w:val="0"/>
              <w:spacing w:line="240" w:lineRule="auto"/>
              <w:jc w:val="center"/>
              <w:rPr>
                <w:b w:val="1"/>
                <w:sz w:val="20"/>
                <w:szCs w:val="20"/>
              </w:rPr>
            </w:pPr>
            <w:r w:rsidDel="00000000" w:rsidR="00000000" w:rsidRPr="00000000">
              <w:rPr>
                <w:b w:val="1"/>
                <w:sz w:val="20"/>
                <w:szCs w:val="20"/>
                <w:rtl w:val="0"/>
              </w:rPr>
              <w:t xml:space="preserve">Desconstrução do Saber</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6">
            <w:pPr>
              <w:widowControl w:val="0"/>
              <w:spacing w:line="240" w:lineRule="auto"/>
              <w:rPr>
                <w:sz w:val="20"/>
                <w:szCs w:val="20"/>
              </w:rPr>
            </w:pPr>
            <w:r w:rsidDel="00000000" w:rsidR="00000000" w:rsidRPr="00000000">
              <w:rPr>
                <w:sz w:val="20"/>
                <w:szCs w:val="20"/>
                <w:rtl w:val="0"/>
              </w:rPr>
              <w:t xml:space="preserve">O programa reconhece saberes tradicionais/não hegemônicos?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7">
            <w:pPr>
              <w:widowControl w:val="0"/>
              <w:spacing w:line="240" w:lineRule="auto"/>
              <w:rPr>
                <w:sz w:val="20"/>
                <w:szCs w:val="20"/>
              </w:rPr>
            </w:pPr>
            <w:r w:rsidDel="00000000" w:rsidR="00000000" w:rsidRPr="00000000">
              <w:rPr>
                <w:sz w:val="20"/>
                <w:szCs w:val="20"/>
                <w:rtl w:val="0"/>
              </w:rPr>
              <w:t xml:space="preserve">Ignora ou folcloriza saberes tradicionais.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8">
            <w:pPr>
              <w:widowControl w:val="0"/>
              <w:spacing w:line="240" w:lineRule="auto"/>
              <w:rPr>
                <w:sz w:val="20"/>
                <w:szCs w:val="20"/>
              </w:rPr>
            </w:pPr>
            <w:r w:rsidDel="00000000" w:rsidR="00000000" w:rsidRPr="00000000">
              <w:rPr>
                <w:sz w:val="20"/>
                <w:szCs w:val="20"/>
                <w:rtl w:val="0"/>
              </w:rPr>
              <w:t xml:space="preserve">Inclui epistemologias não hegemônicas no currículo.</w:t>
            </w:r>
          </w:p>
        </w:tc>
      </w:tr>
      <w:tr>
        <w:trPr>
          <w:cantSplit w:val="0"/>
          <w:trHeight w:val="52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9">
            <w:pPr>
              <w:widowControl w:val="0"/>
              <w:spacing w:line="240" w:lineRule="auto"/>
              <w:jc w:val="center"/>
              <w:rPr>
                <w:b w:val="1"/>
                <w:sz w:val="20"/>
                <w:szCs w:val="20"/>
              </w:rPr>
            </w:pPr>
            <w:r w:rsidDel="00000000" w:rsidR="00000000" w:rsidRPr="00000000">
              <w:rPr>
                <w:b w:val="1"/>
                <w:sz w:val="20"/>
                <w:szCs w:val="20"/>
                <w:rtl w:val="0"/>
              </w:rPr>
              <w:t xml:space="preserve">Participação Efetiva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A">
            <w:pPr>
              <w:widowControl w:val="0"/>
              <w:spacing w:line="240" w:lineRule="auto"/>
              <w:rPr>
                <w:sz w:val="20"/>
                <w:szCs w:val="20"/>
              </w:rPr>
            </w:pPr>
            <w:r w:rsidDel="00000000" w:rsidR="00000000" w:rsidRPr="00000000">
              <w:rPr>
                <w:sz w:val="20"/>
                <w:szCs w:val="20"/>
                <w:rtl w:val="0"/>
              </w:rPr>
              <w:t xml:space="preserve">Há mecanismos reais de participação dos estudantes, comunidade e grupos vulnerabilizados?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B">
            <w:pPr>
              <w:widowControl w:val="0"/>
              <w:spacing w:line="240" w:lineRule="auto"/>
              <w:rPr>
                <w:sz w:val="20"/>
                <w:szCs w:val="20"/>
              </w:rPr>
            </w:pPr>
            <w:r w:rsidDel="00000000" w:rsidR="00000000" w:rsidRPr="00000000">
              <w:rPr>
                <w:sz w:val="20"/>
                <w:szCs w:val="20"/>
                <w:rtl w:val="0"/>
              </w:rPr>
              <w:t xml:space="preserve">Consultas simbólicas sem poder deliberativo.</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C">
            <w:pPr>
              <w:widowControl w:val="0"/>
              <w:spacing w:line="240" w:lineRule="auto"/>
              <w:rPr>
                <w:sz w:val="20"/>
                <w:szCs w:val="20"/>
              </w:rPr>
            </w:pPr>
            <w:r w:rsidDel="00000000" w:rsidR="00000000" w:rsidRPr="00000000">
              <w:rPr>
                <w:sz w:val="20"/>
                <w:szCs w:val="20"/>
                <w:rtl w:val="0"/>
              </w:rPr>
              <w:t xml:space="preserve">Participação ativa de estudantes na construção e execução de atividades.</w:t>
            </w:r>
          </w:p>
        </w:tc>
      </w:tr>
      <w:tr>
        <w:trPr>
          <w:cantSplit w:val="0"/>
          <w:trHeight w:val="75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D">
            <w:pPr>
              <w:widowControl w:val="0"/>
              <w:spacing w:line="240" w:lineRule="auto"/>
              <w:jc w:val="center"/>
              <w:rPr>
                <w:b w:val="1"/>
                <w:sz w:val="20"/>
                <w:szCs w:val="20"/>
              </w:rPr>
            </w:pPr>
            <w:r w:rsidDel="00000000" w:rsidR="00000000" w:rsidRPr="00000000">
              <w:rPr>
                <w:b w:val="1"/>
                <w:sz w:val="20"/>
                <w:szCs w:val="20"/>
                <w:rtl w:val="0"/>
              </w:rPr>
              <w:t xml:space="preserve">Pluriculturalismo</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E">
            <w:pPr>
              <w:widowControl w:val="0"/>
              <w:spacing w:line="240" w:lineRule="auto"/>
              <w:rPr>
                <w:sz w:val="20"/>
                <w:szCs w:val="20"/>
              </w:rPr>
            </w:pPr>
            <w:r w:rsidDel="00000000" w:rsidR="00000000" w:rsidRPr="00000000">
              <w:rPr>
                <w:sz w:val="20"/>
                <w:szCs w:val="20"/>
                <w:rtl w:val="0"/>
              </w:rPr>
              <w:t xml:space="preserve">A "diversidade" é tratada como representação ou transformação?</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F">
            <w:pPr>
              <w:widowControl w:val="0"/>
              <w:spacing w:line="240" w:lineRule="auto"/>
              <w:rPr>
                <w:sz w:val="20"/>
                <w:szCs w:val="20"/>
              </w:rPr>
            </w:pPr>
            <w:r w:rsidDel="00000000" w:rsidR="00000000" w:rsidRPr="00000000">
              <w:rPr>
                <w:sz w:val="20"/>
                <w:szCs w:val="20"/>
                <w:rtl w:val="0"/>
              </w:rPr>
              <w:t xml:space="preserve">Tokenização, inclusão de datas comemorativas e agendas globais sem crítica social.</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0">
            <w:pPr>
              <w:widowControl w:val="0"/>
              <w:spacing w:line="240" w:lineRule="auto"/>
              <w:rPr>
                <w:sz w:val="20"/>
                <w:szCs w:val="20"/>
              </w:rPr>
            </w:pPr>
            <w:r w:rsidDel="00000000" w:rsidR="00000000" w:rsidRPr="00000000">
              <w:rPr>
                <w:sz w:val="20"/>
                <w:szCs w:val="20"/>
                <w:rtl w:val="0"/>
              </w:rPr>
              <w:t xml:space="preserve">Revê conteúdos com base em demandas locais.</w:t>
            </w:r>
          </w:p>
        </w:tc>
      </w:tr>
      <w:tr>
        <w:trPr>
          <w:cantSplit w:val="0"/>
          <w:trHeight w:val="449.94140624999994"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1">
            <w:pPr>
              <w:widowControl w:val="0"/>
              <w:spacing w:line="240" w:lineRule="auto"/>
              <w:jc w:val="center"/>
              <w:rPr>
                <w:b w:val="1"/>
                <w:sz w:val="20"/>
                <w:szCs w:val="20"/>
              </w:rPr>
            </w:pPr>
            <w:r w:rsidDel="00000000" w:rsidR="00000000" w:rsidRPr="00000000">
              <w:rPr>
                <w:b w:val="1"/>
                <w:sz w:val="20"/>
                <w:szCs w:val="20"/>
                <w:rtl w:val="0"/>
              </w:rPr>
              <w:t xml:space="preserve">Justiça Ambiental</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2">
            <w:pPr>
              <w:widowControl w:val="0"/>
              <w:spacing w:line="240" w:lineRule="auto"/>
              <w:rPr>
                <w:sz w:val="20"/>
                <w:szCs w:val="20"/>
              </w:rPr>
            </w:pPr>
            <w:r w:rsidDel="00000000" w:rsidR="00000000" w:rsidRPr="00000000">
              <w:rPr>
                <w:sz w:val="20"/>
                <w:szCs w:val="20"/>
                <w:rtl w:val="0"/>
              </w:rPr>
              <w:t xml:space="preserve">A sustentabilidade é técnica ou política?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3">
            <w:pPr>
              <w:widowControl w:val="0"/>
              <w:spacing w:line="240" w:lineRule="auto"/>
              <w:rPr>
                <w:sz w:val="20"/>
                <w:szCs w:val="20"/>
              </w:rPr>
            </w:pPr>
            <w:r w:rsidDel="00000000" w:rsidR="00000000" w:rsidRPr="00000000">
              <w:rPr>
                <w:sz w:val="20"/>
                <w:szCs w:val="20"/>
                <w:rtl w:val="0"/>
              </w:rPr>
              <w:t xml:space="preserve">Foca em tecnologias verdes sem crítica social.</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4">
            <w:pPr>
              <w:widowControl w:val="0"/>
              <w:spacing w:line="240" w:lineRule="auto"/>
              <w:rPr>
                <w:sz w:val="20"/>
                <w:szCs w:val="20"/>
              </w:rPr>
            </w:pPr>
            <w:r w:rsidDel="00000000" w:rsidR="00000000" w:rsidRPr="00000000">
              <w:rPr>
                <w:sz w:val="20"/>
                <w:szCs w:val="20"/>
                <w:rtl w:val="0"/>
              </w:rPr>
              <w:t xml:space="preserve">Vincula ecologia a lutas por território.</w:t>
            </w:r>
          </w:p>
        </w:tc>
      </w:tr>
    </w:tbl>
    <w:p w:rsidR="00000000" w:rsidDel="00000000" w:rsidP="00000000" w:rsidRDefault="00000000" w:rsidRPr="00000000" w14:paraId="00000055">
      <w:pPr>
        <w:spacing w:line="240" w:lineRule="auto"/>
        <w:ind w:left="0" w:firstLine="0"/>
        <w:jc w:val="center"/>
        <w:rPr>
          <w:sz w:val="20"/>
          <w:szCs w:val="20"/>
        </w:rPr>
      </w:pPr>
      <w:r w:rsidDel="00000000" w:rsidR="00000000" w:rsidRPr="00000000">
        <w:rPr>
          <w:b w:val="1"/>
          <w:sz w:val="20"/>
          <w:szCs w:val="20"/>
          <w:rtl w:val="0"/>
        </w:rPr>
        <w:t xml:space="preserve">Fonte:</w:t>
      </w:r>
      <w:r w:rsidDel="00000000" w:rsidR="00000000" w:rsidRPr="00000000">
        <w:rPr>
          <w:sz w:val="20"/>
          <w:szCs w:val="20"/>
          <w:rtl w:val="0"/>
        </w:rPr>
        <w:t xml:space="preserve"> Elaborado pelas autoras (2025)</w:t>
      </w:r>
    </w:p>
    <w:p w:rsidR="00000000" w:rsidDel="00000000" w:rsidP="00000000" w:rsidRDefault="00000000" w:rsidRPr="00000000" w14:paraId="00000056">
      <w:pPr>
        <w:spacing w:line="240" w:lineRule="auto"/>
        <w:ind w:firstLine="709"/>
        <w:jc w:val="both"/>
        <w:rPr>
          <w:sz w:val="20"/>
          <w:szCs w:val="20"/>
        </w:rPr>
      </w:pPr>
      <w:r w:rsidDel="00000000" w:rsidR="00000000" w:rsidRPr="00000000">
        <w:rPr>
          <w:rtl w:val="0"/>
        </w:rPr>
      </w:r>
    </w:p>
    <w:p w:rsidR="00000000" w:rsidDel="00000000" w:rsidP="00000000" w:rsidRDefault="00000000" w:rsidRPr="00000000" w14:paraId="00000057">
      <w:pPr>
        <w:spacing w:line="360" w:lineRule="auto"/>
        <w:ind w:left="0" w:firstLine="708.6614173228347"/>
        <w:jc w:val="both"/>
        <w:rPr>
          <w:sz w:val="24"/>
          <w:szCs w:val="24"/>
        </w:rPr>
      </w:pPr>
      <w:r w:rsidDel="00000000" w:rsidR="00000000" w:rsidRPr="00000000">
        <w:rPr>
          <w:sz w:val="24"/>
          <w:szCs w:val="24"/>
          <w:rtl w:val="0"/>
        </w:rPr>
        <w:t xml:space="preserve">Devido a necessidade de uma análise extensa, neste trabalho o foco será o critério “Desconstrução do Saber”, possibilitando que os demais critérios sejam abordados em outras pesquisas, dando continuidade ao estudo iniciado aqui.</w:t>
      </w:r>
    </w:p>
    <w:p w:rsidR="00000000" w:rsidDel="00000000" w:rsidP="00000000" w:rsidRDefault="00000000" w:rsidRPr="00000000" w14:paraId="00000058">
      <w:pPr>
        <w:spacing w:line="276" w:lineRule="auto"/>
        <w:ind w:firstLine="1133.8582677165355"/>
        <w:jc w:val="both"/>
        <w:rPr>
          <w:sz w:val="24"/>
          <w:szCs w:val="24"/>
        </w:rPr>
      </w:pPr>
      <w:r w:rsidDel="00000000" w:rsidR="00000000" w:rsidRPr="00000000">
        <w:rPr>
          <w:rtl w:val="0"/>
        </w:rPr>
      </w:r>
    </w:p>
    <w:p w:rsidR="00000000" w:rsidDel="00000000" w:rsidP="00000000" w:rsidRDefault="00000000" w:rsidRPr="00000000" w14:paraId="00000059">
      <w:pPr>
        <w:keepLines w:val="1"/>
        <w:spacing w:after="0" w:before="0" w:line="276" w:lineRule="auto"/>
        <w:jc w:val="center"/>
        <w:rPr>
          <w:sz w:val="24"/>
          <w:szCs w:val="24"/>
        </w:rPr>
      </w:pPr>
      <w:r w:rsidDel="00000000" w:rsidR="00000000" w:rsidRPr="00000000">
        <w:rPr>
          <w:b w:val="1"/>
          <w:sz w:val="24"/>
          <w:szCs w:val="24"/>
          <w:rtl w:val="0"/>
        </w:rPr>
        <w:t xml:space="preserve">Quadro 2</w:t>
      </w:r>
      <w:r w:rsidDel="00000000" w:rsidR="00000000" w:rsidRPr="00000000">
        <w:rPr>
          <w:sz w:val="24"/>
          <w:szCs w:val="24"/>
          <w:rtl w:val="0"/>
        </w:rPr>
        <w:t xml:space="preserve"> – Análise a partir do critério “Desconstrução do Saber”</w:t>
      </w:r>
    </w:p>
    <w:tbl>
      <w:tblPr>
        <w:tblStyle w:val="Table2"/>
        <w:tblW w:w="90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00"/>
        <w:gridCol w:w="1680"/>
        <w:gridCol w:w="2895"/>
        <w:tblGridChange w:id="0">
          <w:tblGrid>
            <w:gridCol w:w="4500"/>
            <w:gridCol w:w="1680"/>
            <w:gridCol w:w="2895"/>
          </w:tblGrid>
        </w:tblGridChange>
      </w:tblGrid>
      <w:tr>
        <w:trPr>
          <w:cantSplit w:val="0"/>
          <w:trHeight w:val="285" w:hRule="atLeast"/>
          <w:tblHeader w:val="0"/>
        </w:trPr>
        <w:tc>
          <w:tcPr>
            <w:gridSpan w:val="3"/>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05A">
            <w:pPr>
              <w:keepLines w:val="1"/>
              <w:spacing w:after="0" w:before="0" w:line="240" w:lineRule="auto"/>
              <w:jc w:val="center"/>
              <w:rPr>
                <w:b w:val="1"/>
                <w:sz w:val="20"/>
                <w:szCs w:val="20"/>
              </w:rPr>
            </w:pPr>
            <w:r w:rsidDel="00000000" w:rsidR="00000000" w:rsidRPr="00000000">
              <w:rPr>
                <w:b w:val="1"/>
                <w:sz w:val="20"/>
                <w:szCs w:val="20"/>
                <w:rtl w:val="0"/>
              </w:rPr>
              <w:t xml:space="preserve">Critério Decolonial: Desconstrução do Saber</w:t>
            </w:r>
          </w:p>
        </w:tc>
      </w:tr>
      <w:tr>
        <w:trPr>
          <w:cantSplit w:val="0"/>
          <w:trHeight w:val="33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5D">
            <w:pPr>
              <w:keepLines w:val="1"/>
              <w:spacing w:after="0" w:before="0" w:line="240" w:lineRule="auto"/>
              <w:jc w:val="center"/>
              <w:rPr>
                <w:b w:val="1"/>
                <w:sz w:val="20"/>
                <w:szCs w:val="20"/>
              </w:rPr>
            </w:pPr>
            <w:r w:rsidDel="00000000" w:rsidR="00000000" w:rsidRPr="00000000">
              <w:rPr>
                <w:b w:val="1"/>
                <w:sz w:val="20"/>
                <w:szCs w:val="20"/>
                <w:rtl w:val="0"/>
              </w:rPr>
              <w:t xml:space="preserve">Atividades</w:t>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5E">
            <w:pPr>
              <w:keepLines w:val="1"/>
              <w:spacing w:after="0" w:before="0" w:line="240" w:lineRule="auto"/>
              <w:jc w:val="center"/>
              <w:rPr>
                <w:b w:val="1"/>
                <w:sz w:val="20"/>
                <w:szCs w:val="20"/>
              </w:rPr>
            </w:pPr>
            <w:r w:rsidDel="00000000" w:rsidR="00000000" w:rsidRPr="00000000">
              <w:rPr>
                <w:b w:val="1"/>
                <w:sz w:val="20"/>
                <w:szCs w:val="20"/>
                <w:rtl w:val="0"/>
              </w:rPr>
              <w:t xml:space="preserve">Eixo</w:t>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5F">
            <w:pPr>
              <w:keepLines w:val="1"/>
              <w:spacing w:after="0" w:before="0" w:line="240" w:lineRule="auto"/>
              <w:jc w:val="center"/>
              <w:rPr>
                <w:b w:val="1"/>
                <w:sz w:val="20"/>
                <w:szCs w:val="20"/>
              </w:rPr>
            </w:pPr>
            <w:r w:rsidDel="00000000" w:rsidR="00000000" w:rsidRPr="00000000">
              <w:rPr>
                <w:b w:val="1"/>
                <w:sz w:val="20"/>
                <w:szCs w:val="20"/>
                <w:rtl w:val="0"/>
              </w:rPr>
              <w:t xml:space="preserve">Análise</w:t>
            </w:r>
          </w:p>
        </w:tc>
      </w:tr>
      <w:tr>
        <w:trPr>
          <w:cantSplit w:val="0"/>
          <w:trHeight w:val="14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60">
            <w:pPr>
              <w:keepLines w:val="1"/>
              <w:spacing w:after="0" w:before="0" w:line="240" w:lineRule="auto"/>
              <w:jc w:val="both"/>
              <w:rPr>
                <w:sz w:val="20"/>
                <w:szCs w:val="20"/>
              </w:rPr>
            </w:pPr>
            <w:r w:rsidDel="00000000" w:rsidR="00000000" w:rsidRPr="00000000">
              <w:rPr>
                <w:sz w:val="20"/>
                <w:szCs w:val="20"/>
                <w:rtl w:val="0"/>
              </w:rPr>
              <w:t xml:space="preserve">1.1 Educação Ambiental (EA), Educação para as Relações Étnico Raciais (ERER) e Educação em Direitos Humanos, Gênero e Sexualidade (EDHGS) como temas transversais registrados no Projeto Político Pedagógico.</w:t>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61">
            <w:pPr>
              <w:keepLines w:val="1"/>
              <w:spacing w:after="0" w:before="0" w:line="240" w:lineRule="auto"/>
              <w:jc w:val="both"/>
              <w:rPr>
                <w:sz w:val="20"/>
                <w:szCs w:val="20"/>
              </w:rPr>
            </w:pPr>
            <w:r w:rsidDel="00000000" w:rsidR="00000000" w:rsidRPr="00000000">
              <w:rPr>
                <w:sz w:val="20"/>
                <w:szCs w:val="20"/>
                <w:rtl w:val="0"/>
              </w:rPr>
              <w:t xml:space="preserve">I - Currículo</w:t>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62">
            <w:pPr>
              <w:keepLines w:val="1"/>
              <w:spacing w:after="0" w:before="0" w:line="240" w:lineRule="auto"/>
              <w:jc w:val="both"/>
              <w:rPr>
                <w:sz w:val="20"/>
                <w:szCs w:val="20"/>
              </w:rPr>
            </w:pPr>
            <w:r w:rsidDel="00000000" w:rsidR="00000000" w:rsidRPr="00000000">
              <w:rPr>
                <w:sz w:val="20"/>
                <w:szCs w:val="20"/>
                <w:rtl w:val="0"/>
              </w:rPr>
              <w:t xml:space="preserve">Há inclusão de saberes não hegemônicos. Entretanto, não mencionam a inclusão de saberes tradicionais, nem direcionamento para utilização de referências negras, mulheres e LGBTQIA+.</w:t>
            </w:r>
          </w:p>
        </w:tc>
      </w:tr>
      <w:tr>
        <w:trPr>
          <w:cantSplit w:val="0"/>
          <w:trHeight w:val="24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63">
            <w:pPr>
              <w:keepLines w:val="1"/>
              <w:spacing w:after="0" w:before="0" w:line="240" w:lineRule="auto"/>
              <w:jc w:val="both"/>
              <w:rPr>
                <w:sz w:val="20"/>
                <w:szCs w:val="20"/>
              </w:rPr>
            </w:pPr>
            <w:r w:rsidDel="00000000" w:rsidR="00000000" w:rsidRPr="00000000">
              <w:rPr>
                <w:sz w:val="20"/>
                <w:szCs w:val="20"/>
                <w:rtl w:val="0"/>
              </w:rPr>
              <w:t xml:space="preserve">1.2 Realização de Palestras sobre as temáticas socioambiental, étnico racial e direitos humanos, gênero e sexualidade (temas sugeridos: emergência climática, (...) diversidade étnico-racial, história e cultura africana e afro-brasileira, história e cultura indígena, combate ao racismo; direitos humanos, diversidade de gênero e sexual, lei Maria da Penha, nome social, combate à violência contra a mulher, lgbtfobia e outros crimes)</w:t>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64">
            <w:pPr>
              <w:keepLines w:val="1"/>
              <w:spacing w:after="0" w:before="0" w:line="240" w:lineRule="auto"/>
              <w:jc w:val="both"/>
              <w:rPr>
                <w:sz w:val="20"/>
                <w:szCs w:val="20"/>
              </w:rPr>
            </w:pPr>
            <w:r w:rsidDel="00000000" w:rsidR="00000000" w:rsidRPr="00000000">
              <w:rPr>
                <w:sz w:val="20"/>
                <w:szCs w:val="20"/>
                <w:rtl w:val="0"/>
              </w:rPr>
              <w:t xml:space="preserve">I - Currículo</w:t>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65">
            <w:pPr>
              <w:keepLines w:val="1"/>
              <w:spacing w:after="0" w:before="0" w:line="240" w:lineRule="auto"/>
              <w:jc w:val="both"/>
              <w:rPr>
                <w:sz w:val="20"/>
                <w:szCs w:val="20"/>
              </w:rPr>
            </w:pPr>
            <w:r w:rsidDel="00000000" w:rsidR="00000000" w:rsidRPr="00000000">
              <w:rPr>
                <w:sz w:val="20"/>
                <w:szCs w:val="20"/>
                <w:rtl w:val="0"/>
              </w:rPr>
              <w:t xml:space="preserve">Há inclusão de saberes não hegemônicos. Diretrizes assertivas, sugestão de temas que correspondem a desconstrução do saber.</w:t>
            </w:r>
          </w:p>
        </w:tc>
      </w:tr>
      <w:tr>
        <w:trPr>
          <w:cantSplit w:val="0"/>
          <w:trHeight w:val="121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66">
            <w:pPr>
              <w:keepLines w:val="1"/>
              <w:spacing w:after="0" w:before="0" w:line="240" w:lineRule="auto"/>
              <w:jc w:val="both"/>
              <w:rPr>
                <w:sz w:val="20"/>
                <w:szCs w:val="20"/>
              </w:rPr>
            </w:pPr>
            <w:r w:rsidDel="00000000" w:rsidR="00000000" w:rsidRPr="00000000">
              <w:rPr>
                <w:sz w:val="20"/>
                <w:szCs w:val="20"/>
                <w:rtl w:val="0"/>
              </w:rPr>
              <w:t xml:space="preserve">1.5 Desenvolvimento de projetos interdisciplinares em Educação Ambiental (EA), Educação para as Relações Étnico-Raciais (ERER) e/ou Educação em Direitos Humanos, Gênero e Sexualidade (EDHGS).</w:t>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67">
            <w:pPr>
              <w:keepLines w:val="1"/>
              <w:spacing w:after="0" w:before="0" w:line="240" w:lineRule="auto"/>
              <w:jc w:val="both"/>
              <w:rPr>
                <w:sz w:val="20"/>
                <w:szCs w:val="20"/>
              </w:rPr>
            </w:pPr>
            <w:r w:rsidDel="00000000" w:rsidR="00000000" w:rsidRPr="00000000">
              <w:rPr>
                <w:sz w:val="20"/>
                <w:szCs w:val="20"/>
                <w:rtl w:val="0"/>
              </w:rPr>
              <w:t xml:space="preserve">I - Currículo</w:t>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68">
            <w:pPr>
              <w:keepLines w:val="1"/>
              <w:spacing w:after="0" w:before="0" w:line="240" w:lineRule="auto"/>
              <w:jc w:val="both"/>
              <w:rPr>
                <w:sz w:val="20"/>
                <w:szCs w:val="20"/>
              </w:rPr>
            </w:pPr>
            <w:r w:rsidDel="00000000" w:rsidR="00000000" w:rsidRPr="00000000">
              <w:rPr>
                <w:sz w:val="20"/>
                <w:szCs w:val="20"/>
                <w:rtl w:val="0"/>
              </w:rPr>
              <w:t xml:space="preserve">Inclui epistemologias não hegemônicas no currículo e articula questões ambientais, étnico-raciais e de gênero.</w:t>
            </w:r>
          </w:p>
        </w:tc>
      </w:tr>
      <w:tr>
        <w:trPr>
          <w:cantSplit w:val="0"/>
          <w:trHeight w:val="105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69">
            <w:pPr>
              <w:keepLines w:val="1"/>
              <w:spacing w:after="0" w:before="0" w:line="240" w:lineRule="auto"/>
              <w:jc w:val="both"/>
              <w:rPr>
                <w:sz w:val="20"/>
                <w:szCs w:val="20"/>
              </w:rPr>
            </w:pPr>
            <w:r w:rsidDel="00000000" w:rsidR="00000000" w:rsidRPr="00000000">
              <w:rPr>
                <w:sz w:val="20"/>
                <w:szCs w:val="20"/>
                <w:rtl w:val="0"/>
              </w:rPr>
              <w:t xml:space="preserve">1.10 Realização de aulas de campo que envolvam as temáticas ambiental, étnico-racial e/ou direitos humanos, gênero e sexualidade</w:t>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6A">
            <w:pPr>
              <w:keepLines w:val="1"/>
              <w:spacing w:after="0" w:before="0" w:line="240" w:lineRule="auto"/>
              <w:jc w:val="both"/>
              <w:rPr>
                <w:sz w:val="20"/>
                <w:szCs w:val="20"/>
              </w:rPr>
            </w:pPr>
            <w:r w:rsidDel="00000000" w:rsidR="00000000" w:rsidRPr="00000000">
              <w:rPr>
                <w:sz w:val="20"/>
                <w:szCs w:val="20"/>
                <w:rtl w:val="0"/>
              </w:rPr>
              <w:t xml:space="preserve">I - Currículo</w:t>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6B">
            <w:pPr>
              <w:keepLines w:val="1"/>
              <w:spacing w:after="0" w:before="0" w:line="240" w:lineRule="auto"/>
              <w:jc w:val="both"/>
              <w:rPr>
                <w:sz w:val="20"/>
                <w:szCs w:val="20"/>
              </w:rPr>
            </w:pPr>
            <w:r w:rsidDel="00000000" w:rsidR="00000000" w:rsidRPr="00000000">
              <w:rPr>
                <w:sz w:val="20"/>
                <w:szCs w:val="20"/>
                <w:rtl w:val="0"/>
              </w:rPr>
              <w:t xml:space="preserve">O programa prevê aulas de campos que podem possibilitar conexão com comunidades tradicionais, valorizando saberes espaciais não-hegemônicos. </w:t>
            </w:r>
          </w:p>
        </w:tc>
      </w:tr>
      <w:tr>
        <w:trPr>
          <w:cantSplit w:val="0"/>
          <w:trHeight w:val="129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6C">
            <w:pPr>
              <w:keepLines w:val="1"/>
              <w:spacing w:after="0" w:before="0" w:line="240" w:lineRule="auto"/>
              <w:jc w:val="both"/>
              <w:rPr>
                <w:sz w:val="20"/>
                <w:szCs w:val="20"/>
              </w:rPr>
            </w:pPr>
            <w:r w:rsidDel="00000000" w:rsidR="00000000" w:rsidRPr="00000000">
              <w:rPr>
                <w:sz w:val="20"/>
                <w:szCs w:val="20"/>
                <w:rtl w:val="0"/>
              </w:rPr>
              <w:t xml:space="preserve">1.11 Realização de aulas de campo que envolvam, no mínimo, três disciplinas sobre as temáticas ambiental, étnico-racial e/ou educação em direitos humanos (transdisciplinar), com participação mínima de três professores.</w:t>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6D">
            <w:pPr>
              <w:keepLines w:val="1"/>
              <w:spacing w:after="0" w:before="0" w:line="240" w:lineRule="auto"/>
              <w:jc w:val="both"/>
              <w:rPr>
                <w:sz w:val="20"/>
                <w:szCs w:val="20"/>
              </w:rPr>
            </w:pPr>
            <w:r w:rsidDel="00000000" w:rsidR="00000000" w:rsidRPr="00000000">
              <w:rPr>
                <w:sz w:val="20"/>
                <w:szCs w:val="20"/>
                <w:rtl w:val="0"/>
              </w:rPr>
              <w:t xml:space="preserve">I - Currículo</w:t>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6E">
            <w:pPr>
              <w:keepLines w:val="1"/>
              <w:spacing w:after="0" w:before="0" w:line="240" w:lineRule="auto"/>
              <w:jc w:val="both"/>
              <w:rPr>
                <w:sz w:val="20"/>
                <w:szCs w:val="20"/>
              </w:rPr>
            </w:pPr>
            <w:r w:rsidDel="00000000" w:rsidR="00000000" w:rsidRPr="00000000">
              <w:rPr>
                <w:sz w:val="20"/>
                <w:szCs w:val="20"/>
                <w:rtl w:val="0"/>
              </w:rPr>
              <w:t xml:space="preserve">A integração interdisciplinar e visitas aos territórios indígenas, assentamentos ou comunidades tradicionais subvertem a colonialidade.</w:t>
            </w:r>
          </w:p>
        </w:tc>
      </w:tr>
      <w:tr>
        <w:trPr>
          <w:cantSplit w:val="0"/>
          <w:trHeight w:val="193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6F">
            <w:pPr>
              <w:keepLines w:val="1"/>
              <w:spacing w:after="0" w:before="0" w:line="240" w:lineRule="auto"/>
              <w:jc w:val="both"/>
              <w:rPr>
                <w:sz w:val="20"/>
                <w:szCs w:val="20"/>
              </w:rPr>
            </w:pPr>
            <w:r w:rsidDel="00000000" w:rsidR="00000000" w:rsidRPr="00000000">
              <w:rPr>
                <w:sz w:val="20"/>
                <w:szCs w:val="20"/>
                <w:rtl w:val="0"/>
              </w:rPr>
              <w:t xml:space="preserve">1.13 Projetos específicos em Educação para as Relações Étnico-Raciais e Educação em Direitos Humanos (núcleo de estudos afro-brasileiros e indígenas - Neabi, núcleo de gênero, núcleo de direitos humanos, fóruns de discussão sobre as temáticas).</w:t>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70">
            <w:pPr>
              <w:keepLines w:val="1"/>
              <w:spacing w:after="0" w:before="0" w:line="240" w:lineRule="auto"/>
              <w:jc w:val="both"/>
              <w:rPr>
                <w:sz w:val="20"/>
                <w:szCs w:val="20"/>
              </w:rPr>
            </w:pPr>
            <w:r w:rsidDel="00000000" w:rsidR="00000000" w:rsidRPr="00000000">
              <w:rPr>
                <w:sz w:val="20"/>
                <w:szCs w:val="20"/>
                <w:rtl w:val="0"/>
              </w:rPr>
              <w:t xml:space="preserve">I - Currículo</w:t>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71">
            <w:pPr>
              <w:keepLines w:val="1"/>
              <w:spacing w:after="0" w:before="0" w:line="240" w:lineRule="auto"/>
              <w:jc w:val="both"/>
              <w:rPr>
                <w:sz w:val="20"/>
                <w:szCs w:val="20"/>
              </w:rPr>
            </w:pPr>
            <w:r w:rsidDel="00000000" w:rsidR="00000000" w:rsidRPr="00000000">
              <w:rPr>
                <w:sz w:val="20"/>
                <w:szCs w:val="20"/>
                <w:rtl w:val="0"/>
              </w:rPr>
              <w:t xml:space="preserve">A desconstrução do saber é promovida por meio dos projetos específicos, potencial para articular temas étnico-raciais e de gênero transversalmente no currículo (ex.: história africana em geografia, literatura indígena em português).</w:t>
            </w:r>
          </w:p>
        </w:tc>
      </w:tr>
      <w:tr>
        <w:trPr>
          <w:cantSplit w:val="0"/>
          <w:trHeight w:val="213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72">
            <w:pPr>
              <w:keepLines w:val="1"/>
              <w:spacing w:after="0" w:before="0" w:line="240" w:lineRule="auto"/>
              <w:jc w:val="both"/>
              <w:rPr>
                <w:sz w:val="20"/>
                <w:szCs w:val="20"/>
              </w:rPr>
            </w:pPr>
            <w:r w:rsidDel="00000000" w:rsidR="00000000" w:rsidRPr="00000000">
              <w:rPr>
                <w:sz w:val="20"/>
                <w:szCs w:val="20"/>
                <w:rtl w:val="0"/>
              </w:rPr>
              <w:t xml:space="preserve">4.1 Sinalização ambiental: orientações para a Coleta Seletiva; identificação de árvores/plantas (nome popular e científico); (...) painéis com a campanha do Ceará Sem Racismo; sobre diversidade; Disk Denúncias; caracterizações étnicas e culturais de plantas ornamentais e alimentícias; uso do nome social; uso do banheiro de acordo com o gênero; combate à violência doméstica e de gênero.</w:t>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73">
            <w:pPr>
              <w:keepLines w:val="1"/>
              <w:spacing w:after="0" w:before="0" w:line="240" w:lineRule="auto"/>
              <w:jc w:val="both"/>
              <w:rPr>
                <w:sz w:val="20"/>
                <w:szCs w:val="20"/>
              </w:rPr>
            </w:pPr>
            <w:r w:rsidDel="00000000" w:rsidR="00000000" w:rsidRPr="00000000">
              <w:rPr>
                <w:sz w:val="20"/>
                <w:szCs w:val="20"/>
                <w:rtl w:val="0"/>
              </w:rPr>
              <w:t xml:space="preserve">IV - Educomunicação Socioambiental</w:t>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74">
            <w:pPr>
              <w:keepLines w:val="1"/>
              <w:spacing w:after="0" w:before="0" w:line="240" w:lineRule="auto"/>
              <w:jc w:val="both"/>
              <w:rPr>
                <w:sz w:val="20"/>
                <w:szCs w:val="20"/>
              </w:rPr>
            </w:pPr>
            <w:r w:rsidDel="00000000" w:rsidR="00000000" w:rsidRPr="00000000">
              <w:rPr>
                <w:sz w:val="20"/>
                <w:szCs w:val="20"/>
                <w:rtl w:val="0"/>
              </w:rPr>
              <w:t xml:space="preserve">Incluir nomes populares de plantas e suas caracterizações étnico-culturais reconhece conhecimentos tradicionais. A combinação de questões ecológicas com temas sociais subverte o pensamento colonial.</w:t>
            </w:r>
          </w:p>
        </w:tc>
      </w:tr>
      <w:tr>
        <w:trPr>
          <w:cantSplit w:val="0"/>
          <w:trHeight w:val="117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75">
            <w:pPr>
              <w:keepLines w:val="1"/>
              <w:spacing w:after="0" w:before="0" w:line="240" w:lineRule="auto"/>
              <w:jc w:val="both"/>
              <w:rPr>
                <w:sz w:val="20"/>
                <w:szCs w:val="20"/>
              </w:rPr>
            </w:pPr>
            <w:r w:rsidDel="00000000" w:rsidR="00000000" w:rsidRPr="00000000">
              <w:rPr>
                <w:sz w:val="20"/>
                <w:szCs w:val="20"/>
                <w:rtl w:val="0"/>
              </w:rPr>
              <w:t xml:space="preserve">4.2 Produção de revista, jornal, mural, documentário, vídeo, fanzine, cordel, quadrinhos, cartilha ou folder sobre as temáticas socioambiental, étnico-racial e/ou direitos humanos, gênero e sexualidade.</w:t>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76">
            <w:pPr>
              <w:keepLines w:val="1"/>
              <w:spacing w:after="0" w:before="0" w:line="240" w:lineRule="auto"/>
              <w:jc w:val="both"/>
              <w:rPr>
                <w:sz w:val="20"/>
                <w:szCs w:val="20"/>
              </w:rPr>
            </w:pPr>
            <w:r w:rsidDel="00000000" w:rsidR="00000000" w:rsidRPr="00000000">
              <w:rPr>
                <w:sz w:val="20"/>
                <w:szCs w:val="20"/>
                <w:rtl w:val="0"/>
              </w:rPr>
              <w:t xml:space="preserve">IV - Educomunicação Socioambiental</w:t>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077">
            <w:pPr>
              <w:keepLines w:val="1"/>
              <w:spacing w:after="0" w:before="0" w:line="240" w:lineRule="auto"/>
              <w:jc w:val="both"/>
              <w:rPr>
                <w:sz w:val="20"/>
                <w:szCs w:val="20"/>
              </w:rPr>
            </w:pPr>
            <w:r w:rsidDel="00000000" w:rsidR="00000000" w:rsidRPr="00000000">
              <w:rPr>
                <w:sz w:val="20"/>
                <w:szCs w:val="20"/>
                <w:rtl w:val="0"/>
              </w:rPr>
              <w:t xml:space="preserve">Reconhece a cultura tradicional como o cordel. Requer acompanhamento para evitar abordagens superficiais ou descontextualizadas.</w:t>
            </w:r>
          </w:p>
        </w:tc>
      </w:tr>
    </w:tbl>
    <w:p w:rsidR="00000000" w:rsidDel="00000000" w:rsidP="00000000" w:rsidRDefault="00000000" w:rsidRPr="00000000" w14:paraId="00000078">
      <w:pPr>
        <w:spacing w:line="240" w:lineRule="auto"/>
        <w:ind w:left="0" w:firstLine="0"/>
        <w:jc w:val="center"/>
        <w:rPr>
          <w:b w:val="1"/>
          <w:sz w:val="24"/>
          <w:szCs w:val="24"/>
        </w:rPr>
      </w:pPr>
      <w:r w:rsidDel="00000000" w:rsidR="00000000" w:rsidRPr="00000000">
        <w:rPr>
          <w:b w:val="1"/>
          <w:sz w:val="20"/>
          <w:szCs w:val="20"/>
          <w:rtl w:val="0"/>
        </w:rPr>
        <w:t xml:space="preserve">Fonte:</w:t>
      </w:r>
      <w:r w:rsidDel="00000000" w:rsidR="00000000" w:rsidRPr="00000000">
        <w:rPr>
          <w:sz w:val="20"/>
          <w:szCs w:val="20"/>
          <w:rtl w:val="0"/>
        </w:rPr>
        <w:t xml:space="preserve"> Elaborado pelas autoras (2025)</w:t>
      </w:r>
      <w:r w:rsidDel="00000000" w:rsidR="00000000" w:rsidRPr="00000000">
        <w:rPr>
          <w:rtl w:val="0"/>
        </w:rPr>
      </w:r>
    </w:p>
    <w:p w:rsidR="00000000" w:rsidDel="00000000" w:rsidP="00000000" w:rsidRDefault="00000000" w:rsidRPr="00000000" w14:paraId="00000079">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7A">
      <w:pPr>
        <w:spacing w:line="360" w:lineRule="auto"/>
        <w:ind w:left="0" w:firstLine="708.6614173228347"/>
        <w:jc w:val="both"/>
        <w:rPr>
          <w:sz w:val="20"/>
          <w:szCs w:val="20"/>
        </w:rPr>
      </w:pPr>
      <w:r w:rsidDel="00000000" w:rsidR="00000000" w:rsidRPr="00000000">
        <w:rPr>
          <w:sz w:val="24"/>
          <w:szCs w:val="24"/>
          <w:rtl w:val="0"/>
        </w:rPr>
        <w:t xml:space="preserve">A análise do programa sob a perspectiva decolonial revela avanços significativos na incorporação de temas como justiça ambiental, diversidade étnico-racial e direitos humanos, mas também evidencia lacunas que podem perpetuar estruturas colonialistas. Por um lado, o PSES demonstra esforços em desconstruir saberes hegemônicos ao incluir epistemologias não ocidentais no currículo, promover atividades interdisciplinares e valorizar práticas educomunicativas que integram cultura e meio ambiente. A ênfase em aulas de campo, núcleos de estudos afro-brasileiros e indígenas, e a sinalização ambiental que reconhece saberes tradicionais são exemplos de iniciativas que desafiam a colonialidade do conhecimento. Por outro lado, a ausência de diretrizes mais explícitas para a participação ativa de comunidades locais e grupos marginalizados na construção das atividades educacionais indica a continuidade de um entendimento universalizante, mais especificamente pelo prisma da colonialidade.</w:t>
      </w:r>
      <w:r w:rsidDel="00000000" w:rsidR="00000000" w:rsidRPr="00000000">
        <w:rPr>
          <w:rtl w:val="0"/>
        </w:rPr>
      </w:r>
    </w:p>
    <w:p w:rsidR="00000000" w:rsidDel="00000000" w:rsidP="00000000" w:rsidRDefault="00000000" w:rsidRPr="00000000" w14:paraId="0000007B">
      <w:pPr>
        <w:spacing w:line="360" w:lineRule="auto"/>
        <w:ind w:firstLine="709"/>
        <w:jc w:val="both"/>
        <w:rPr>
          <w:sz w:val="20"/>
          <w:szCs w:val="20"/>
        </w:rPr>
      </w:pPr>
      <w:r w:rsidDel="00000000" w:rsidR="00000000" w:rsidRPr="00000000">
        <w:rPr>
          <w:rtl w:val="0"/>
        </w:rPr>
      </w:r>
    </w:p>
    <w:sdt>
      <w:sdtPr>
        <w:id w:val="1417982320"/>
        <w:tag w:val="goog_rdk_7"/>
      </w:sdtPr>
      <w:sdtContent>
        <w:p w:rsidR="00000000" w:rsidDel="00000000" w:rsidP="00000000" w:rsidRDefault="00000000" w:rsidRPr="00000000" w14:paraId="0000007C">
          <w:pPr>
            <w:pStyle w:val="Heading1"/>
            <w:spacing w:after="0" w:before="0" w:line="360" w:lineRule="auto"/>
            <w:jc w:val="both"/>
            <w:rPr>
              <w:b w:val="0"/>
              <w:sz w:val="24"/>
              <w:szCs w:val="24"/>
            </w:rPr>
          </w:pPr>
          <w:bookmarkStart w:colFirst="0" w:colLast="0" w:name="_heading=h.iu5lpk7tqto2" w:id="10"/>
          <w:bookmarkEnd w:id="10"/>
          <w:r w:rsidDel="00000000" w:rsidR="00000000" w:rsidRPr="00000000">
            <w:rPr>
              <w:sz w:val="24"/>
              <w:szCs w:val="24"/>
              <w:rtl w:val="0"/>
            </w:rPr>
            <w:t xml:space="preserve">6        CONCLUSÃO</w:t>
          </w:r>
          <w:r w:rsidDel="00000000" w:rsidR="00000000" w:rsidRPr="00000000">
            <w:rPr>
              <w:rtl w:val="0"/>
            </w:rPr>
          </w:r>
        </w:p>
      </w:sdtContent>
    </w:sdt>
    <w:p w:rsidR="00000000" w:rsidDel="00000000" w:rsidP="00000000" w:rsidRDefault="00000000" w:rsidRPr="00000000" w14:paraId="0000007D">
      <w:pPr>
        <w:spacing w:line="360" w:lineRule="auto"/>
        <w:rPr/>
      </w:pPr>
      <w:r w:rsidDel="00000000" w:rsidR="00000000" w:rsidRPr="00000000">
        <w:rPr>
          <w:rtl w:val="0"/>
        </w:rPr>
      </w:r>
    </w:p>
    <w:p w:rsidR="00000000" w:rsidDel="00000000" w:rsidP="00000000" w:rsidRDefault="00000000" w:rsidRPr="00000000" w14:paraId="0000007E">
      <w:pPr>
        <w:spacing w:line="360" w:lineRule="auto"/>
        <w:ind w:left="0" w:firstLine="708.6614173228347"/>
        <w:jc w:val="both"/>
        <w:rPr>
          <w:sz w:val="24"/>
          <w:szCs w:val="24"/>
        </w:rPr>
      </w:pPr>
      <w:r w:rsidDel="00000000" w:rsidR="00000000" w:rsidRPr="00000000">
        <w:rPr>
          <w:sz w:val="24"/>
          <w:szCs w:val="24"/>
          <w:rtl w:val="0"/>
        </w:rPr>
        <w:t xml:space="preserve">A Educação para a Sustentabilidade, em muitos aspectos, é tratada como uma questão técnica e comportamental, sem uma abordagem política que questione as raízes estruturais das desigualdades socioambientais. O Programa Selo Escola Sustentável vai além de uma simples certificação ambiental, representa um passo importante na direção de uma educação ambiental mais inclusiva e crítica, com espaço para ampliar sua abordagem decolonial. Isso implica não apenas incluir saberes diversos no currículo, mas também garantir que esses conhecimentos sejam construídos de forma participativa, com protagonismo de comunidades tradicionais e grupos historicamente marginalizados. Somente assim a EpS poderá efetivamente contribuir para políticas públicas verdadeiramente transformadoras, capazes de enfrentar as crises socioambientais a partir de uma perspectiva justa, plural e decolonial.  </w:t>
      </w:r>
    </w:p>
    <w:p w:rsidR="00000000" w:rsidDel="00000000" w:rsidP="00000000" w:rsidRDefault="00000000" w:rsidRPr="00000000" w14:paraId="0000007F">
      <w:pPr>
        <w:spacing w:line="360" w:lineRule="auto"/>
        <w:ind w:left="0" w:firstLine="708.6614173228347"/>
        <w:jc w:val="both"/>
        <w:rPr>
          <w:sz w:val="24"/>
          <w:szCs w:val="24"/>
        </w:rPr>
      </w:pPr>
      <w:r w:rsidDel="00000000" w:rsidR="00000000" w:rsidRPr="00000000">
        <w:rPr>
          <w:sz w:val="24"/>
          <w:szCs w:val="24"/>
          <w:rtl w:val="0"/>
        </w:rPr>
        <w:t xml:space="preserve">Este estudo reforça a importância de continuar investigando como as políticas públicas educacionais podem ser ressignificadas para além de modelos eurocêntricos, abrindo espaço para epistemologias outras que promovam a sustentabilidade como um projeto coletivo e emancipatório. Futuras pesquisas poderão explorar os demais critérios decoloniais aqui propostos, aprofundando a análise sobre participação efetiva, pluriculturalismo e justiça ambiental.</w:t>
      </w:r>
    </w:p>
    <w:p w:rsidR="00000000" w:rsidDel="00000000" w:rsidP="00000000" w:rsidRDefault="00000000" w:rsidRPr="00000000" w14:paraId="00000080">
      <w:pPr>
        <w:spacing w:line="360" w:lineRule="auto"/>
        <w:ind w:firstLine="1133.8582677165355"/>
        <w:jc w:val="both"/>
        <w:rPr>
          <w:sz w:val="24"/>
          <w:szCs w:val="24"/>
        </w:rPr>
      </w:pPr>
      <w:r w:rsidDel="00000000" w:rsidR="00000000" w:rsidRPr="00000000">
        <w:rPr>
          <w:rtl w:val="0"/>
        </w:rPr>
      </w:r>
    </w:p>
    <w:sdt>
      <w:sdtPr>
        <w:id w:val="983636146"/>
        <w:tag w:val="goog_rdk_8"/>
      </w:sdtPr>
      <w:sdtContent>
        <w:p w:rsidR="00000000" w:rsidDel="00000000" w:rsidP="00000000" w:rsidRDefault="00000000" w:rsidRPr="00000000" w14:paraId="00000081">
          <w:pPr>
            <w:pStyle w:val="Heading3"/>
            <w:spacing w:line="360" w:lineRule="auto"/>
            <w:jc w:val="center"/>
            <w:rPr/>
          </w:pPr>
          <w:bookmarkStart w:colFirst="0" w:colLast="0" w:name="_heading=h.xmv5sp5kccx0" w:id="11"/>
          <w:bookmarkEnd w:id="11"/>
          <w:r w:rsidDel="00000000" w:rsidR="00000000" w:rsidRPr="00000000">
            <w:rPr>
              <w:rtl w:val="0"/>
            </w:rPr>
            <w:t xml:space="preserve">REFERÊNCIAS</w:t>
          </w:r>
        </w:p>
      </w:sdtContent>
    </w:sdt>
    <w:p w:rsidR="00000000" w:rsidDel="00000000" w:rsidP="00000000" w:rsidRDefault="00000000" w:rsidRPr="00000000" w14:paraId="00000082">
      <w:pPr>
        <w:spacing w:after="0" w:line="180" w:lineRule="auto"/>
        <w:rPr/>
      </w:pPr>
      <w:r w:rsidDel="00000000" w:rsidR="00000000" w:rsidRPr="00000000">
        <w:rPr>
          <w:rtl w:val="0"/>
        </w:rPr>
      </w:r>
    </w:p>
    <w:p w:rsidR="00000000" w:rsidDel="00000000" w:rsidP="00000000" w:rsidRDefault="00000000" w:rsidRPr="00000000" w14:paraId="00000083">
      <w:pPr>
        <w:spacing w:after="0" w:line="204" w:lineRule="auto"/>
        <w:ind w:firstLine="0"/>
        <w:jc w:val="both"/>
        <w:rPr>
          <w:sz w:val="24"/>
          <w:szCs w:val="24"/>
        </w:rPr>
      </w:pPr>
      <w:r w:rsidDel="00000000" w:rsidR="00000000" w:rsidRPr="00000000">
        <w:rPr>
          <w:sz w:val="24"/>
          <w:szCs w:val="24"/>
          <w:rtl w:val="0"/>
        </w:rPr>
        <w:t xml:space="preserve">GIL, Antonio C. </w:t>
      </w:r>
      <w:r w:rsidDel="00000000" w:rsidR="00000000" w:rsidRPr="00000000">
        <w:rPr>
          <w:b w:val="1"/>
          <w:sz w:val="24"/>
          <w:szCs w:val="24"/>
          <w:rtl w:val="0"/>
        </w:rPr>
        <w:t xml:space="preserve">Como Fazer Pesquisa Qualitativa</w:t>
      </w:r>
      <w:r w:rsidDel="00000000" w:rsidR="00000000" w:rsidRPr="00000000">
        <w:rPr>
          <w:sz w:val="24"/>
          <w:szCs w:val="24"/>
          <w:rtl w:val="0"/>
        </w:rPr>
        <w:t xml:space="preserve">. Rio de Janeiro: Atlas, 2021.</w:t>
      </w:r>
    </w:p>
    <w:p w:rsidR="00000000" w:rsidDel="00000000" w:rsidP="00000000" w:rsidRDefault="00000000" w:rsidRPr="00000000" w14:paraId="00000084">
      <w:pPr>
        <w:spacing w:after="0" w:line="204" w:lineRule="auto"/>
        <w:ind w:firstLine="0"/>
        <w:jc w:val="both"/>
        <w:rPr>
          <w:sz w:val="24"/>
          <w:szCs w:val="24"/>
        </w:rPr>
      </w:pPr>
      <w:r w:rsidDel="00000000" w:rsidR="00000000" w:rsidRPr="00000000">
        <w:rPr>
          <w:rtl w:val="0"/>
        </w:rPr>
      </w:r>
    </w:p>
    <w:p w:rsidR="00000000" w:rsidDel="00000000" w:rsidP="00000000" w:rsidRDefault="00000000" w:rsidRPr="00000000" w14:paraId="00000085">
      <w:pPr>
        <w:spacing w:after="0" w:line="204" w:lineRule="auto"/>
        <w:ind w:firstLine="0"/>
        <w:jc w:val="both"/>
        <w:rPr>
          <w:sz w:val="24"/>
          <w:szCs w:val="24"/>
        </w:rPr>
      </w:pPr>
      <w:r w:rsidDel="00000000" w:rsidR="00000000" w:rsidRPr="00000000">
        <w:rPr>
          <w:sz w:val="24"/>
          <w:szCs w:val="24"/>
          <w:rtl w:val="0"/>
        </w:rPr>
        <w:t xml:space="preserve">SOUZA, C. </w:t>
      </w:r>
      <w:r w:rsidDel="00000000" w:rsidR="00000000" w:rsidRPr="00000000">
        <w:rPr>
          <w:b w:val="1"/>
          <w:sz w:val="24"/>
          <w:szCs w:val="24"/>
          <w:rtl w:val="0"/>
        </w:rPr>
        <w:t xml:space="preserve">Políticas públicas: uma revisão da literatura</w:t>
      </w:r>
      <w:r w:rsidDel="00000000" w:rsidR="00000000" w:rsidRPr="00000000">
        <w:rPr>
          <w:sz w:val="24"/>
          <w:szCs w:val="24"/>
          <w:rtl w:val="0"/>
        </w:rPr>
        <w:t xml:space="preserve">. Sociologias, n. 16, p. 20–45, jul. 2006. Disponível em: </w:t>
      </w:r>
      <w:hyperlink r:id="rId8">
        <w:r w:rsidDel="00000000" w:rsidR="00000000" w:rsidRPr="00000000">
          <w:rPr>
            <w:sz w:val="24"/>
            <w:szCs w:val="24"/>
            <w:u w:val="single"/>
            <w:rtl w:val="0"/>
          </w:rPr>
          <w:t xml:space="preserve">https://doi.org/10.1590/S1517-45222006000200003</w:t>
        </w:r>
      </w:hyperlink>
      <w:r w:rsidDel="00000000" w:rsidR="00000000" w:rsidRPr="00000000">
        <w:rPr>
          <w:sz w:val="24"/>
          <w:szCs w:val="24"/>
          <w:rtl w:val="0"/>
        </w:rPr>
        <w:t xml:space="preserve">. Acesso em: 10 mai. 2025.</w:t>
      </w:r>
    </w:p>
    <w:p w:rsidR="00000000" w:rsidDel="00000000" w:rsidP="00000000" w:rsidRDefault="00000000" w:rsidRPr="00000000" w14:paraId="00000086">
      <w:pPr>
        <w:spacing w:after="0" w:line="204" w:lineRule="auto"/>
        <w:ind w:firstLine="0"/>
        <w:jc w:val="both"/>
        <w:rPr>
          <w:sz w:val="24"/>
          <w:szCs w:val="24"/>
        </w:rPr>
      </w:pPr>
      <w:r w:rsidDel="00000000" w:rsidR="00000000" w:rsidRPr="00000000">
        <w:rPr>
          <w:rtl w:val="0"/>
        </w:rPr>
      </w:r>
    </w:p>
    <w:p w:rsidR="00000000" w:rsidDel="00000000" w:rsidP="00000000" w:rsidRDefault="00000000" w:rsidRPr="00000000" w14:paraId="00000087">
      <w:pPr>
        <w:spacing w:after="0" w:line="204" w:lineRule="auto"/>
        <w:ind w:firstLine="0"/>
        <w:jc w:val="both"/>
        <w:rPr>
          <w:sz w:val="24"/>
          <w:szCs w:val="24"/>
        </w:rPr>
      </w:pPr>
      <w:r w:rsidDel="00000000" w:rsidR="00000000" w:rsidRPr="00000000">
        <w:rPr>
          <w:sz w:val="24"/>
          <w:szCs w:val="24"/>
          <w:rtl w:val="0"/>
        </w:rPr>
        <w:t xml:space="preserve">RUA, Maria das Graças. </w:t>
      </w:r>
      <w:r w:rsidDel="00000000" w:rsidR="00000000" w:rsidRPr="00000000">
        <w:rPr>
          <w:b w:val="1"/>
          <w:sz w:val="24"/>
          <w:szCs w:val="24"/>
          <w:rtl w:val="0"/>
        </w:rPr>
        <w:t xml:space="preserve">Políticas públicas</w:t>
      </w:r>
      <w:r w:rsidDel="00000000" w:rsidR="00000000" w:rsidRPr="00000000">
        <w:rPr>
          <w:sz w:val="24"/>
          <w:szCs w:val="24"/>
          <w:rtl w:val="0"/>
        </w:rPr>
        <w:t xml:space="preserve">. 2. ed. reimp. Florianópolis: Departamento de Ciências da Administração/UFSC, 2012. ISBN 978-85-61608-60-6.</w:t>
      </w:r>
    </w:p>
    <w:p w:rsidR="00000000" w:rsidDel="00000000" w:rsidP="00000000" w:rsidRDefault="00000000" w:rsidRPr="00000000" w14:paraId="00000088">
      <w:pPr>
        <w:spacing w:after="0" w:line="204" w:lineRule="auto"/>
        <w:jc w:val="both"/>
        <w:rPr>
          <w:sz w:val="24"/>
          <w:szCs w:val="24"/>
        </w:rPr>
      </w:pPr>
      <w:r w:rsidDel="00000000" w:rsidR="00000000" w:rsidRPr="00000000">
        <w:rPr>
          <w:rtl w:val="0"/>
        </w:rPr>
      </w:r>
    </w:p>
    <w:p w:rsidR="00000000" w:rsidDel="00000000" w:rsidP="00000000" w:rsidRDefault="00000000" w:rsidRPr="00000000" w14:paraId="00000089">
      <w:pPr>
        <w:tabs>
          <w:tab w:val="left" w:leader="none" w:pos="709"/>
        </w:tabs>
        <w:spacing w:after="0" w:line="204" w:lineRule="auto"/>
        <w:ind w:left="-40" w:right="-40" w:firstLine="0"/>
        <w:jc w:val="both"/>
        <w:rPr>
          <w:sz w:val="24"/>
          <w:szCs w:val="24"/>
        </w:rPr>
      </w:pPr>
      <w:r w:rsidDel="00000000" w:rsidR="00000000" w:rsidRPr="00000000">
        <w:rPr>
          <w:sz w:val="24"/>
          <w:szCs w:val="24"/>
          <w:rtl w:val="0"/>
        </w:rPr>
        <w:t xml:space="preserve">SECCHI, Leonardo. Políticas Públicas: Conceitos, Casos Práticos, Questões de Concursos. 3. ed. São Paulo: Cengage, 2022.</w:t>
      </w:r>
    </w:p>
    <w:p w:rsidR="00000000" w:rsidDel="00000000" w:rsidP="00000000" w:rsidRDefault="00000000" w:rsidRPr="00000000" w14:paraId="0000008A">
      <w:pPr>
        <w:tabs>
          <w:tab w:val="left" w:leader="none" w:pos="709"/>
        </w:tabs>
        <w:spacing w:after="0" w:line="204" w:lineRule="auto"/>
        <w:ind w:left="-40" w:right="-40" w:firstLine="0"/>
        <w:jc w:val="both"/>
        <w:rPr>
          <w:sz w:val="24"/>
          <w:szCs w:val="24"/>
        </w:rPr>
      </w:pPr>
      <w:r w:rsidDel="00000000" w:rsidR="00000000" w:rsidRPr="00000000">
        <w:rPr>
          <w:rtl w:val="0"/>
        </w:rPr>
      </w:r>
    </w:p>
    <w:p w:rsidR="00000000" w:rsidDel="00000000" w:rsidP="00000000" w:rsidRDefault="00000000" w:rsidRPr="00000000" w14:paraId="0000008B">
      <w:pPr>
        <w:tabs>
          <w:tab w:val="left" w:leader="none" w:pos="709"/>
        </w:tabs>
        <w:spacing w:after="0" w:line="204" w:lineRule="auto"/>
        <w:ind w:left="-40" w:right="-40" w:firstLine="0"/>
        <w:jc w:val="both"/>
        <w:rPr>
          <w:sz w:val="24"/>
          <w:szCs w:val="24"/>
        </w:rPr>
      </w:pPr>
      <w:r w:rsidDel="00000000" w:rsidR="00000000" w:rsidRPr="00000000">
        <w:rPr>
          <w:sz w:val="24"/>
          <w:szCs w:val="24"/>
          <w:rtl w:val="0"/>
        </w:rPr>
        <w:t xml:space="preserve">PORTO, Filipe Cavalcante. </w:t>
      </w:r>
      <w:r w:rsidDel="00000000" w:rsidR="00000000" w:rsidRPr="00000000">
        <w:rPr>
          <w:b w:val="1"/>
          <w:sz w:val="24"/>
          <w:szCs w:val="24"/>
          <w:rtl w:val="0"/>
        </w:rPr>
        <w:t xml:space="preserve">Avaliação em profundidade e ecologia política: o caso do Programa Fortaleza Cidade Sustentável (FCS).</w:t>
      </w:r>
      <w:r w:rsidDel="00000000" w:rsidR="00000000" w:rsidRPr="00000000">
        <w:rPr>
          <w:sz w:val="24"/>
          <w:szCs w:val="24"/>
          <w:rtl w:val="0"/>
        </w:rPr>
        <w:t xml:space="preserve"> 2024. 149 f. Dissertação (Mestrado em Avaliação de Políticas Públicas) - Universidade Federal do Ceará, Fortaleza, 2024. Disponível em: </w:t>
      </w:r>
      <w:hyperlink r:id="rId9">
        <w:r w:rsidDel="00000000" w:rsidR="00000000" w:rsidRPr="00000000">
          <w:rPr>
            <w:sz w:val="24"/>
            <w:szCs w:val="24"/>
            <w:rtl w:val="0"/>
          </w:rPr>
          <w:t xml:space="preserve">http://repositorio.ufc.br/handle/riufc/77775</w:t>
        </w:r>
      </w:hyperlink>
      <w:r w:rsidDel="00000000" w:rsidR="00000000" w:rsidRPr="00000000">
        <w:rPr>
          <w:sz w:val="24"/>
          <w:szCs w:val="24"/>
          <w:rtl w:val="0"/>
        </w:rPr>
        <w:t xml:space="preserve">. Acesso em: 1 fev. 2025.</w:t>
      </w:r>
    </w:p>
    <w:p w:rsidR="00000000" w:rsidDel="00000000" w:rsidP="00000000" w:rsidRDefault="00000000" w:rsidRPr="00000000" w14:paraId="0000008C">
      <w:pPr>
        <w:tabs>
          <w:tab w:val="left" w:leader="none" w:pos="709"/>
        </w:tabs>
        <w:spacing w:after="0" w:line="204" w:lineRule="auto"/>
        <w:ind w:left="-40" w:right="-40" w:firstLine="0"/>
        <w:jc w:val="both"/>
        <w:rPr>
          <w:sz w:val="24"/>
          <w:szCs w:val="24"/>
        </w:rPr>
      </w:pPr>
      <w:r w:rsidDel="00000000" w:rsidR="00000000" w:rsidRPr="00000000">
        <w:rPr>
          <w:rtl w:val="0"/>
        </w:rPr>
      </w:r>
    </w:p>
    <w:p w:rsidR="00000000" w:rsidDel="00000000" w:rsidP="00000000" w:rsidRDefault="00000000" w:rsidRPr="00000000" w14:paraId="0000008D">
      <w:pPr>
        <w:tabs>
          <w:tab w:val="left" w:leader="none" w:pos="709"/>
        </w:tabs>
        <w:spacing w:after="0" w:line="204" w:lineRule="auto"/>
        <w:ind w:left="-40" w:right="-40" w:firstLine="0"/>
        <w:jc w:val="both"/>
        <w:rPr>
          <w:sz w:val="24"/>
          <w:szCs w:val="24"/>
        </w:rPr>
      </w:pPr>
      <w:r w:rsidDel="00000000" w:rsidR="00000000" w:rsidRPr="00000000">
        <w:rPr>
          <w:sz w:val="24"/>
          <w:szCs w:val="24"/>
          <w:rtl w:val="0"/>
        </w:rPr>
        <w:t xml:space="preserve">CHACON, S. S.; NASCIMENTO, V. S. do. Para além do (pré)conceito e do discurso –</w:t>
      </w:r>
    </w:p>
    <w:p w:rsidR="00000000" w:rsidDel="00000000" w:rsidP="00000000" w:rsidRDefault="00000000" w:rsidRPr="00000000" w14:paraId="0000008E">
      <w:pPr>
        <w:tabs>
          <w:tab w:val="left" w:leader="none" w:pos="709"/>
        </w:tabs>
        <w:spacing w:after="0" w:line="204" w:lineRule="auto"/>
        <w:ind w:left="-40" w:right="-40" w:firstLine="0"/>
        <w:jc w:val="both"/>
        <w:rPr>
          <w:sz w:val="24"/>
          <w:szCs w:val="24"/>
        </w:rPr>
      </w:pPr>
      <w:r w:rsidDel="00000000" w:rsidR="00000000" w:rsidRPr="00000000">
        <w:rPr>
          <w:sz w:val="24"/>
          <w:szCs w:val="24"/>
          <w:rtl w:val="0"/>
        </w:rPr>
        <w:t xml:space="preserve">Proposta de avaliação de políticas públicas com base na sustentabilidade. </w:t>
      </w:r>
      <w:r w:rsidDel="00000000" w:rsidR="00000000" w:rsidRPr="00000000">
        <w:rPr>
          <w:b w:val="1"/>
          <w:sz w:val="24"/>
          <w:szCs w:val="24"/>
          <w:rtl w:val="0"/>
        </w:rPr>
        <w:t xml:space="preserve">Revista AVAL</w:t>
      </w:r>
      <w:r w:rsidDel="00000000" w:rsidR="00000000" w:rsidRPr="00000000">
        <w:rPr>
          <w:sz w:val="24"/>
          <w:szCs w:val="24"/>
          <w:rtl w:val="0"/>
        </w:rPr>
        <w:t xml:space="preserve">, Fortaleza, v. 4, n. 18, p. 62-87. Julho/Dezembro, 2020. Disponível em:</w:t>
      </w:r>
    </w:p>
    <w:p w:rsidR="00000000" w:rsidDel="00000000" w:rsidP="00000000" w:rsidRDefault="00000000" w:rsidRPr="00000000" w14:paraId="0000008F">
      <w:pPr>
        <w:tabs>
          <w:tab w:val="left" w:leader="none" w:pos="709"/>
        </w:tabs>
        <w:spacing w:after="0" w:line="204" w:lineRule="auto"/>
        <w:ind w:left="-40" w:right="-40" w:firstLine="0"/>
        <w:jc w:val="both"/>
        <w:rPr>
          <w:sz w:val="24"/>
          <w:szCs w:val="24"/>
        </w:rPr>
      </w:pPr>
      <w:r w:rsidDel="00000000" w:rsidR="00000000" w:rsidRPr="00000000">
        <w:rPr>
          <w:sz w:val="24"/>
          <w:szCs w:val="24"/>
          <w:rtl w:val="0"/>
        </w:rPr>
        <w:t xml:space="preserve">http://periodicos.ufc.br/aval/article/view/61650/162644. Acesso em: 12 mai. 2025.</w:t>
      </w:r>
    </w:p>
    <w:p w:rsidR="00000000" w:rsidDel="00000000" w:rsidP="00000000" w:rsidRDefault="00000000" w:rsidRPr="00000000" w14:paraId="00000090">
      <w:pPr>
        <w:tabs>
          <w:tab w:val="left" w:leader="none" w:pos="709"/>
        </w:tabs>
        <w:spacing w:after="0" w:line="204" w:lineRule="auto"/>
        <w:ind w:left="-40" w:right="-40" w:firstLine="0"/>
        <w:jc w:val="both"/>
        <w:rPr>
          <w:sz w:val="24"/>
          <w:szCs w:val="24"/>
        </w:rPr>
      </w:pPr>
      <w:r w:rsidDel="00000000" w:rsidR="00000000" w:rsidRPr="00000000">
        <w:rPr>
          <w:rtl w:val="0"/>
        </w:rPr>
      </w:r>
    </w:p>
    <w:p w:rsidR="00000000" w:rsidDel="00000000" w:rsidP="00000000" w:rsidRDefault="00000000" w:rsidRPr="00000000" w14:paraId="00000091">
      <w:pPr>
        <w:spacing w:after="0" w:line="204" w:lineRule="auto"/>
        <w:jc w:val="both"/>
        <w:rPr>
          <w:sz w:val="24"/>
          <w:szCs w:val="24"/>
        </w:rPr>
      </w:pPr>
      <w:r w:rsidDel="00000000" w:rsidR="00000000" w:rsidRPr="00000000">
        <w:rPr>
          <w:sz w:val="24"/>
          <w:szCs w:val="24"/>
          <w:rtl w:val="0"/>
        </w:rPr>
        <w:t xml:space="preserve">BUCZENKO, G. L.; ROSA, M. A. </w:t>
      </w:r>
      <w:r w:rsidDel="00000000" w:rsidR="00000000" w:rsidRPr="00000000">
        <w:rPr>
          <w:b w:val="1"/>
          <w:sz w:val="24"/>
          <w:szCs w:val="24"/>
          <w:rtl w:val="0"/>
        </w:rPr>
        <w:t xml:space="preserve">Educação Ambiental Crítica E A Educação Para O Desenvolvimento Sustentável (Eds): Encontros E Desencontros</w:t>
      </w:r>
      <w:r w:rsidDel="00000000" w:rsidR="00000000" w:rsidRPr="00000000">
        <w:rPr>
          <w:sz w:val="24"/>
          <w:szCs w:val="24"/>
          <w:rtl w:val="0"/>
        </w:rPr>
        <w:t xml:space="preserve"> / Critical Environmental Education and Education for Sustainable Development (Eds): Encounters and Mismatches. </w:t>
      </w:r>
      <w:r w:rsidDel="00000000" w:rsidR="00000000" w:rsidRPr="00000000">
        <w:rPr>
          <w:b w:val="1"/>
          <w:sz w:val="24"/>
          <w:szCs w:val="24"/>
          <w:rtl w:val="0"/>
        </w:rPr>
        <w:t xml:space="preserve">Brazilian Journal of Development</w:t>
      </w:r>
      <w:r w:rsidDel="00000000" w:rsidR="00000000" w:rsidRPr="00000000">
        <w:rPr>
          <w:sz w:val="24"/>
          <w:szCs w:val="24"/>
          <w:rtl w:val="0"/>
        </w:rPr>
        <w:t xml:space="preserve">, [S. l.], v. 8, n. 1, p. 3882–3892, 2022. DOI: 10.34117/bjdv8n1-255. Disponível em: https://ojs.brazilianjournals.com.br/ojs/index.php/BRJD/article/view/42718. Acesso em: 6 jun. 2025.</w:t>
      </w:r>
    </w:p>
    <w:p w:rsidR="00000000" w:rsidDel="00000000" w:rsidP="00000000" w:rsidRDefault="00000000" w:rsidRPr="00000000" w14:paraId="00000092">
      <w:pPr>
        <w:spacing w:after="0" w:line="204" w:lineRule="auto"/>
        <w:jc w:val="both"/>
        <w:rPr>
          <w:sz w:val="24"/>
          <w:szCs w:val="24"/>
        </w:rPr>
      </w:pPr>
      <w:r w:rsidDel="00000000" w:rsidR="00000000" w:rsidRPr="00000000">
        <w:rPr>
          <w:rtl w:val="0"/>
        </w:rPr>
      </w:r>
    </w:p>
    <w:p w:rsidR="00000000" w:rsidDel="00000000" w:rsidP="00000000" w:rsidRDefault="00000000" w:rsidRPr="00000000" w14:paraId="00000093">
      <w:pPr>
        <w:spacing w:after="0" w:line="204" w:lineRule="auto"/>
        <w:jc w:val="both"/>
        <w:rPr>
          <w:sz w:val="24"/>
          <w:szCs w:val="24"/>
        </w:rPr>
      </w:pPr>
      <w:r w:rsidDel="00000000" w:rsidR="00000000" w:rsidRPr="00000000">
        <w:rPr>
          <w:sz w:val="24"/>
          <w:szCs w:val="24"/>
          <w:rtl w:val="0"/>
        </w:rPr>
        <w:t xml:space="preserve">ARAÚJO, Magnólia Fernandes Florêncio de; MEDEIROS, Maria Luisa Quinino de; SILVA, Natanael Charles da. Educação para a Sustentabilidade e Agendas Ambientais nas Escolas: Por uma formação ampla e convergente com as necessidades socioambientais atuais. </w:t>
      </w:r>
      <w:r w:rsidDel="00000000" w:rsidR="00000000" w:rsidRPr="00000000">
        <w:rPr>
          <w:b w:val="1"/>
          <w:sz w:val="24"/>
          <w:szCs w:val="24"/>
          <w:rtl w:val="0"/>
        </w:rPr>
        <w:t xml:space="preserve">REAMEC - Rede Amazônica de Educação em Ciências e Matemática</w:t>
      </w:r>
      <w:r w:rsidDel="00000000" w:rsidR="00000000" w:rsidRPr="00000000">
        <w:rPr>
          <w:sz w:val="24"/>
          <w:szCs w:val="24"/>
          <w:rtl w:val="0"/>
        </w:rPr>
        <w:t xml:space="preserve">, Cuiabá, v. 12, p. e24071, 2024. DOI: 10.26571/reamec.v12.17586. Disponível em: https://periodicoscientificos.ufmt.br/ojs/index.php/reamec/article/view/17586. Acesso em: 6 jun. 2025.</w:t>
      </w:r>
    </w:p>
    <w:p w:rsidR="00000000" w:rsidDel="00000000" w:rsidP="00000000" w:rsidRDefault="00000000" w:rsidRPr="00000000" w14:paraId="00000094">
      <w:pPr>
        <w:spacing w:after="0" w:line="204" w:lineRule="auto"/>
        <w:jc w:val="both"/>
        <w:rPr>
          <w:sz w:val="24"/>
          <w:szCs w:val="24"/>
        </w:rPr>
      </w:pPr>
      <w:r w:rsidDel="00000000" w:rsidR="00000000" w:rsidRPr="00000000">
        <w:rPr>
          <w:rtl w:val="0"/>
        </w:rPr>
      </w:r>
    </w:p>
    <w:p w:rsidR="00000000" w:rsidDel="00000000" w:rsidP="00000000" w:rsidRDefault="00000000" w:rsidRPr="00000000" w14:paraId="00000095">
      <w:pPr>
        <w:spacing w:after="0" w:line="204" w:lineRule="auto"/>
        <w:jc w:val="both"/>
        <w:rPr>
          <w:sz w:val="24"/>
          <w:szCs w:val="24"/>
        </w:rPr>
      </w:pPr>
      <w:r w:rsidDel="00000000" w:rsidR="00000000" w:rsidRPr="00000000">
        <w:rPr>
          <w:sz w:val="24"/>
          <w:szCs w:val="24"/>
          <w:rtl w:val="0"/>
        </w:rPr>
        <w:t xml:space="preserve">PROGRAMA CIDADES SUSTENTÁVEIS. </w:t>
      </w:r>
      <w:r w:rsidDel="00000000" w:rsidR="00000000" w:rsidRPr="00000000">
        <w:rPr>
          <w:b w:val="1"/>
          <w:sz w:val="24"/>
          <w:szCs w:val="24"/>
          <w:rtl w:val="0"/>
        </w:rPr>
        <w:t xml:space="preserve">Educação para a sustentabilidade e qualidade de vida</w:t>
      </w:r>
      <w:r w:rsidDel="00000000" w:rsidR="00000000" w:rsidRPr="00000000">
        <w:rPr>
          <w:sz w:val="24"/>
          <w:szCs w:val="24"/>
          <w:rtl w:val="0"/>
        </w:rPr>
        <w:t xml:space="preserve">. Disponível em: https://www.cidadessustentaveis.org.br/institucional/pagina/educacao-para-a-sustentabilidade-e-qualidade-de-vida?eixos=true. Acesso em: 6 jun. 2025.</w:t>
      </w:r>
    </w:p>
    <w:p w:rsidR="00000000" w:rsidDel="00000000" w:rsidP="00000000" w:rsidRDefault="00000000" w:rsidRPr="00000000" w14:paraId="00000096">
      <w:pPr>
        <w:spacing w:after="0" w:line="204" w:lineRule="auto"/>
        <w:jc w:val="both"/>
        <w:rPr>
          <w:sz w:val="24"/>
          <w:szCs w:val="24"/>
        </w:rPr>
      </w:pPr>
      <w:r w:rsidDel="00000000" w:rsidR="00000000" w:rsidRPr="00000000">
        <w:rPr>
          <w:rtl w:val="0"/>
        </w:rPr>
      </w:r>
    </w:p>
    <w:p w:rsidR="00000000" w:rsidDel="00000000" w:rsidP="00000000" w:rsidRDefault="00000000" w:rsidRPr="00000000" w14:paraId="00000097">
      <w:pPr>
        <w:spacing w:after="0" w:line="204" w:lineRule="auto"/>
        <w:jc w:val="both"/>
        <w:rPr>
          <w:sz w:val="24"/>
          <w:szCs w:val="24"/>
        </w:rPr>
      </w:pPr>
      <w:r w:rsidDel="00000000" w:rsidR="00000000" w:rsidRPr="00000000">
        <w:rPr>
          <w:sz w:val="24"/>
          <w:szCs w:val="24"/>
          <w:rtl w:val="0"/>
        </w:rPr>
        <w:t xml:space="preserve">FERREIRA, A. B.; PEREIRA, V. R.; FIORE, F. A. Princípios e Barreiras de Educação para Sustentabilidade Identificados nas Atividades do Projeto Escola Sustentável. </w:t>
      </w:r>
      <w:r w:rsidDel="00000000" w:rsidR="00000000" w:rsidRPr="00000000">
        <w:rPr>
          <w:b w:val="1"/>
          <w:sz w:val="24"/>
          <w:szCs w:val="24"/>
          <w:rtl w:val="0"/>
        </w:rPr>
        <w:t xml:space="preserve">Ambiente &amp; sociedade</w:t>
      </w:r>
      <w:r w:rsidDel="00000000" w:rsidR="00000000" w:rsidRPr="00000000">
        <w:rPr>
          <w:sz w:val="24"/>
          <w:szCs w:val="24"/>
          <w:rtl w:val="0"/>
        </w:rPr>
        <w:t xml:space="preserve">, v. 27, 1 jan. 2024.</w:t>
      </w:r>
    </w:p>
    <w:p w:rsidR="00000000" w:rsidDel="00000000" w:rsidP="00000000" w:rsidRDefault="00000000" w:rsidRPr="00000000" w14:paraId="00000098">
      <w:pPr>
        <w:spacing w:after="0" w:line="204" w:lineRule="auto"/>
        <w:jc w:val="both"/>
        <w:rPr>
          <w:sz w:val="24"/>
          <w:szCs w:val="24"/>
        </w:rPr>
      </w:pPr>
      <w:r w:rsidDel="00000000" w:rsidR="00000000" w:rsidRPr="00000000">
        <w:rPr>
          <w:rtl w:val="0"/>
        </w:rPr>
      </w:r>
    </w:p>
    <w:p w:rsidR="00000000" w:rsidDel="00000000" w:rsidP="00000000" w:rsidRDefault="00000000" w:rsidRPr="00000000" w14:paraId="00000099">
      <w:pPr>
        <w:spacing w:after="0" w:line="204" w:lineRule="auto"/>
        <w:jc w:val="both"/>
        <w:rPr>
          <w:sz w:val="24"/>
          <w:szCs w:val="24"/>
        </w:rPr>
      </w:pPr>
      <w:r w:rsidDel="00000000" w:rsidR="00000000" w:rsidRPr="00000000">
        <w:rPr>
          <w:sz w:val="24"/>
          <w:szCs w:val="24"/>
          <w:rtl w:val="0"/>
        </w:rPr>
        <w:t xml:space="preserve">SILVEIRA, J. I. NASCIMENTO, S. L.; ZALEMBESSA, S. Colonialidade e decolonialidade na crítica ao racismo e às violações: para refletir sobre os desafios educação em direitos humanos. </w:t>
      </w:r>
      <w:r w:rsidDel="00000000" w:rsidR="00000000" w:rsidRPr="00000000">
        <w:rPr>
          <w:b w:val="1"/>
          <w:sz w:val="24"/>
          <w:szCs w:val="24"/>
          <w:rtl w:val="0"/>
        </w:rPr>
        <w:t xml:space="preserve">Educar em Revista</w:t>
      </w:r>
      <w:r w:rsidDel="00000000" w:rsidR="00000000" w:rsidRPr="00000000">
        <w:rPr>
          <w:sz w:val="24"/>
          <w:szCs w:val="24"/>
          <w:rtl w:val="0"/>
        </w:rPr>
        <w:t xml:space="preserve">, v. 37, 2021.</w:t>
      </w:r>
    </w:p>
    <w:p w:rsidR="00000000" w:rsidDel="00000000" w:rsidP="00000000" w:rsidRDefault="00000000" w:rsidRPr="00000000" w14:paraId="0000009A">
      <w:pPr>
        <w:spacing w:after="0" w:line="204" w:lineRule="auto"/>
        <w:jc w:val="both"/>
        <w:rPr>
          <w:sz w:val="24"/>
          <w:szCs w:val="24"/>
        </w:rPr>
      </w:pPr>
      <w:r w:rsidDel="00000000" w:rsidR="00000000" w:rsidRPr="00000000">
        <w:rPr>
          <w:rtl w:val="0"/>
        </w:rPr>
      </w:r>
    </w:p>
    <w:p w:rsidR="00000000" w:rsidDel="00000000" w:rsidP="00000000" w:rsidRDefault="00000000" w:rsidRPr="00000000" w14:paraId="0000009B">
      <w:pPr>
        <w:spacing w:after="0" w:line="204" w:lineRule="auto"/>
        <w:jc w:val="both"/>
        <w:rPr>
          <w:sz w:val="24"/>
          <w:szCs w:val="24"/>
        </w:rPr>
      </w:pPr>
      <w:r w:rsidDel="00000000" w:rsidR="00000000" w:rsidRPr="00000000">
        <w:rPr>
          <w:sz w:val="24"/>
          <w:szCs w:val="24"/>
          <w:rtl w:val="0"/>
        </w:rPr>
        <w:t xml:space="preserve">HOLANDA, Francisco Uribam Xavier de. </w:t>
      </w:r>
      <w:r w:rsidDel="00000000" w:rsidR="00000000" w:rsidRPr="00000000">
        <w:rPr>
          <w:b w:val="1"/>
          <w:sz w:val="24"/>
          <w:szCs w:val="24"/>
          <w:rtl w:val="0"/>
        </w:rPr>
        <w:t xml:space="preserve">Uma Educação Outra: A Decolonização de Escolas e Universidades</w:t>
      </w:r>
      <w:r w:rsidDel="00000000" w:rsidR="00000000" w:rsidRPr="00000000">
        <w:rPr>
          <w:sz w:val="24"/>
          <w:szCs w:val="24"/>
          <w:rtl w:val="0"/>
        </w:rPr>
        <w:t xml:space="preserve">. In: SÁ, Rubens Lacerda de; CHAVES, Pedro Jônatas da Silva (Org.). </w:t>
      </w:r>
      <w:r w:rsidDel="00000000" w:rsidR="00000000" w:rsidRPr="00000000">
        <w:rPr>
          <w:b w:val="1"/>
          <w:sz w:val="24"/>
          <w:szCs w:val="24"/>
          <w:rtl w:val="0"/>
        </w:rPr>
        <w:t xml:space="preserve">Decolonialidade &amp; educação: </w:t>
      </w:r>
      <w:r w:rsidDel="00000000" w:rsidR="00000000" w:rsidRPr="00000000">
        <w:rPr>
          <w:b w:val="1"/>
          <w:sz w:val="24"/>
          <w:szCs w:val="24"/>
          <w:rtl w:val="0"/>
        </w:rPr>
        <w:t xml:space="preserve">esperançar</w:t>
      </w:r>
      <w:r w:rsidDel="00000000" w:rsidR="00000000" w:rsidRPr="00000000">
        <w:rPr>
          <w:b w:val="1"/>
          <w:sz w:val="24"/>
          <w:szCs w:val="24"/>
          <w:rtl w:val="0"/>
        </w:rPr>
        <w:t xml:space="preserve"> em tempos de perplexidade</w:t>
      </w:r>
      <w:r w:rsidDel="00000000" w:rsidR="00000000" w:rsidRPr="00000000">
        <w:rPr>
          <w:sz w:val="24"/>
          <w:szCs w:val="24"/>
          <w:rtl w:val="0"/>
        </w:rPr>
        <w:t xml:space="preserve">. 1. ed. São Paulo: Universidade Federal de São Paulo, 2023. p. 45-54. (Coleção educação e saúde ; v. 9). E-book. ISBN 978-65-85919-09-8.</w:t>
      </w:r>
    </w:p>
    <w:p w:rsidR="00000000" w:rsidDel="00000000" w:rsidP="00000000" w:rsidRDefault="00000000" w:rsidRPr="00000000" w14:paraId="0000009C">
      <w:pPr>
        <w:spacing w:after="0" w:line="204" w:lineRule="auto"/>
        <w:jc w:val="both"/>
        <w:rPr>
          <w:sz w:val="24"/>
          <w:szCs w:val="24"/>
        </w:rPr>
      </w:pPr>
      <w:r w:rsidDel="00000000" w:rsidR="00000000" w:rsidRPr="00000000">
        <w:rPr>
          <w:rtl w:val="0"/>
        </w:rPr>
      </w:r>
    </w:p>
    <w:p w:rsidR="00000000" w:rsidDel="00000000" w:rsidP="00000000" w:rsidRDefault="00000000" w:rsidRPr="00000000" w14:paraId="0000009D">
      <w:pPr>
        <w:spacing w:after="0" w:line="204" w:lineRule="auto"/>
        <w:jc w:val="both"/>
        <w:rPr>
          <w:sz w:val="24"/>
          <w:szCs w:val="24"/>
        </w:rPr>
      </w:pPr>
      <w:r w:rsidDel="00000000" w:rsidR="00000000" w:rsidRPr="00000000">
        <w:rPr>
          <w:sz w:val="24"/>
          <w:szCs w:val="24"/>
          <w:rtl w:val="0"/>
        </w:rPr>
        <w:t xml:space="preserve">MIGNOLO, Walter D. </w:t>
      </w:r>
      <w:r w:rsidDel="00000000" w:rsidR="00000000" w:rsidRPr="00000000">
        <w:rPr>
          <w:b w:val="1"/>
          <w:sz w:val="24"/>
          <w:szCs w:val="24"/>
          <w:rtl w:val="0"/>
        </w:rPr>
        <w:t xml:space="preserve">Colonialidade: o lado mais escuro da modernidade</w:t>
      </w:r>
      <w:r w:rsidDel="00000000" w:rsidR="00000000" w:rsidRPr="00000000">
        <w:rPr>
          <w:sz w:val="24"/>
          <w:szCs w:val="24"/>
          <w:rtl w:val="0"/>
        </w:rPr>
        <w:t xml:space="preserve">. Tradução de Marco Oliveira.</w:t>
      </w:r>
      <w:r w:rsidDel="00000000" w:rsidR="00000000" w:rsidRPr="00000000">
        <w:rPr>
          <w:b w:val="1"/>
          <w:sz w:val="24"/>
          <w:szCs w:val="24"/>
          <w:rtl w:val="0"/>
        </w:rPr>
        <w:t xml:space="preserve"> Revista Brasileira de Ciências Sociais</w:t>
      </w:r>
      <w:r w:rsidDel="00000000" w:rsidR="00000000" w:rsidRPr="00000000">
        <w:rPr>
          <w:sz w:val="24"/>
          <w:szCs w:val="24"/>
          <w:rtl w:val="0"/>
        </w:rPr>
        <w:t xml:space="preserve">, São Paulo, v. 32, n. 94, e329402, jun. 2017. DOI: 10.17666/329402/2017. Disponível em: https://doi.org/10.17666/329402/2017. Acesso em: 15 jun. 2025.</w:t>
      </w:r>
    </w:p>
    <w:p w:rsidR="00000000" w:rsidDel="00000000" w:rsidP="00000000" w:rsidRDefault="00000000" w:rsidRPr="00000000" w14:paraId="0000009E">
      <w:pPr>
        <w:spacing w:after="0" w:line="204" w:lineRule="auto"/>
        <w:jc w:val="both"/>
        <w:rPr>
          <w:sz w:val="24"/>
          <w:szCs w:val="24"/>
        </w:rPr>
      </w:pPr>
      <w:r w:rsidDel="00000000" w:rsidR="00000000" w:rsidRPr="00000000">
        <w:rPr>
          <w:rtl w:val="0"/>
        </w:rPr>
      </w:r>
    </w:p>
    <w:p w:rsidR="00000000" w:rsidDel="00000000" w:rsidP="00000000" w:rsidRDefault="00000000" w:rsidRPr="00000000" w14:paraId="0000009F">
      <w:pPr>
        <w:spacing w:after="0" w:line="204" w:lineRule="auto"/>
        <w:jc w:val="both"/>
        <w:rPr>
          <w:sz w:val="24"/>
          <w:szCs w:val="24"/>
        </w:rPr>
      </w:pPr>
      <w:r w:rsidDel="00000000" w:rsidR="00000000" w:rsidRPr="00000000">
        <w:rPr>
          <w:sz w:val="24"/>
          <w:szCs w:val="24"/>
          <w:rtl w:val="0"/>
        </w:rPr>
        <w:t xml:space="preserve">QUIJANO, Aníbal. </w:t>
      </w:r>
      <w:r w:rsidDel="00000000" w:rsidR="00000000" w:rsidRPr="00000000">
        <w:rPr>
          <w:b w:val="1"/>
          <w:sz w:val="24"/>
          <w:szCs w:val="24"/>
          <w:rtl w:val="0"/>
        </w:rPr>
        <w:t xml:space="preserve">Colonialidade do poder e classificação social</w:t>
      </w:r>
      <w:r w:rsidDel="00000000" w:rsidR="00000000" w:rsidRPr="00000000">
        <w:rPr>
          <w:sz w:val="24"/>
          <w:szCs w:val="24"/>
          <w:rtl w:val="0"/>
        </w:rPr>
        <w:t xml:space="preserve">. In: SANTOS, Boaventura de Sousa; MENESES, Maria Paula (Org.). </w:t>
      </w:r>
      <w:r w:rsidDel="00000000" w:rsidR="00000000" w:rsidRPr="00000000">
        <w:rPr>
          <w:b w:val="1"/>
          <w:sz w:val="24"/>
          <w:szCs w:val="24"/>
          <w:rtl w:val="0"/>
        </w:rPr>
        <w:t xml:space="preserve">Epistemologias do Sul</w:t>
      </w:r>
      <w:r w:rsidDel="00000000" w:rsidR="00000000" w:rsidRPr="00000000">
        <w:rPr>
          <w:sz w:val="24"/>
          <w:szCs w:val="24"/>
          <w:rtl w:val="0"/>
        </w:rPr>
        <w:t xml:space="preserve">. Coimbra: CES, 2010. p. 73-118. ISBN 978-972-40-3738-7.</w:t>
      </w:r>
    </w:p>
    <w:p w:rsidR="00000000" w:rsidDel="00000000" w:rsidP="00000000" w:rsidRDefault="00000000" w:rsidRPr="00000000" w14:paraId="000000A0">
      <w:pPr>
        <w:spacing w:after="0" w:line="204" w:lineRule="auto"/>
        <w:jc w:val="both"/>
        <w:rPr>
          <w:sz w:val="24"/>
          <w:szCs w:val="24"/>
        </w:rPr>
      </w:pPr>
      <w:r w:rsidDel="00000000" w:rsidR="00000000" w:rsidRPr="00000000">
        <w:rPr>
          <w:rtl w:val="0"/>
        </w:rPr>
      </w:r>
    </w:p>
    <w:p w:rsidR="00000000" w:rsidDel="00000000" w:rsidP="00000000" w:rsidRDefault="00000000" w:rsidRPr="00000000" w14:paraId="000000A1">
      <w:pPr>
        <w:spacing w:after="0" w:line="204" w:lineRule="auto"/>
        <w:jc w:val="both"/>
        <w:rPr>
          <w:sz w:val="24"/>
          <w:szCs w:val="24"/>
        </w:rPr>
      </w:pPr>
      <w:r w:rsidDel="00000000" w:rsidR="00000000" w:rsidRPr="00000000">
        <w:rPr>
          <w:sz w:val="24"/>
          <w:szCs w:val="24"/>
          <w:rtl w:val="0"/>
        </w:rPr>
        <w:t xml:space="preserve">CEARÁ. </w:t>
      </w:r>
      <w:r w:rsidDel="00000000" w:rsidR="00000000" w:rsidRPr="00000000">
        <w:rPr>
          <w:b w:val="1"/>
          <w:sz w:val="24"/>
          <w:szCs w:val="24"/>
          <w:rtl w:val="0"/>
        </w:rPr>
        <w:t xml:space="preserve">Lei nº 16.290, de 21 de julho de 2017</w:t>
      </w:r>
      <w:r w:rsidDel="00000000" w:rsidR="00000000" w:rsidRPr="00000000">
        <w:rPr>
          <w:sz w:val="24"/>
          <w:szCs w:val="24"/>
          <w:rtl w:val="0"/>
        </w:rPr>
        <w:t xml:space="preserve">. Institui o Programa Selo Escola Sustentável no âmbito do Estado do Ceará. Diário Oficial do Estado do Ceará, Poder Executivo, Fortaleza, 21 jul. 2017. Disponível em: https://belt.al.ce.gov.br/index.php/legislacao-do-ceara/organizacao-tematica/educacao/item/5880-lei-n-16-290-de-21-07-17-d-o-24-07-17. Acesso em: 15 jun. 2025</w:t>
      </w:r>
    </w:p>
    <w:p w:rsidR="00000000" w:rsidDel="00000000" w:rsidP="00000000" w:rsidRDefault="00000000" w:rsidRPr="00000000" w14:paraId="000000A2">
      <w:pPr>
        <w:spacing w:after="0" w:line="204" w:lineRule="auto"/>
        <w:jc w:val="both"/>
        <w:rPr>
          <w:sz w:val="24"/>
          <w:szCs w:val="24"/>
        </w:rPr>
      </w:pPr>
      <w:r w:rsidDel="00000000" w:rsidR="00000000" w:rsidRPr="00000000">
        <w:rPr>
          <w:rtl w:val="0"/>
        </w:rPr>
      </w:r>
    </w:p>
    <w:p w:rsidR="00000000" w:rsidDel="00000000" w:rsidP="00000000" w:rsidRDefault="00000000" w:rsidRPr="00000000" w14:paraId="000000A3">
      <w:pPr>
        <w:spacing w:after="0" w:line="204" w:lineRule="auto"/>
        <w:jc w:val="both"/>
        <w:rPr>
          <w:sz w:val="24"/>
          <w:szCs w:val="24"/>
          <w:vertAlign w:val="baseline"/>
        </w:rPr>
      </w:pPr>
      <w:r w:rsidDel="00000000" w:rsidR="00000000" w:rsidRPr="00000000">
        <w:rPr>
          <w:sz w:val="24"/>
          <w:szCs w:val="24"/>
          <w:rtl w:val="0"/>
        </w:rPr>
        <w:t xml:space="preserve">CEARÁ. Secretaria do Meio Ambiente. </w:t>
      </w:r>
      <w:r w:rsidDel="00000000" w:rsidR="00000000" w:rsidRPr="00000000">
        <w:rPr>
          <w:b w:val="1"/>
          <w:sz w:val="24"/>
          <w:szCs w:val="24"/>
          <w:rtl w:val="0"/>
        </w:rPr>
        <w:t xml:space="preserve">Manual das Escolas: Selo Escola Sustentável 2025-2026</w:t>
      </w:r>
      <w:r w:rsidDel="00000000" w:rsidR="00000000" w:rsidRPr="00000000">
        <w:rPr>
          <w:sz w:val="24"/>
          <w:szCs w:val="24"/>
          <w:rtl w:val="0"/>
        </w:rPr>
        <w:t xml:space="preserve">. Fortaleza: SEMA, 2025.</w:t>
      </w:r>
      <w:r w:rsidDel="00000000" w:rsidR="00000000" w:rsidRPr="00000000">
        <w:rPr>
          <w:rtl w:val="0"/>
        </w:rPr>
      </w:r>
    </w:p>
    <w:sectPr>
      <w:headerReference r:id="rId10"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A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em Gestão de Políticas Públicas na Universidade Federal do Ceará (UFC). Email: katleyellen@gmail.com.</w:t>
      </w:r>
    </w:p>
  </w:footnote>
  <w:footnote w:id="1">
    <w:p w:rsidR="00000000" w:rsidDel="00000000" w:rsidP="00000000" w:rsidRDefault="00000000" w:rsidRPr="00000000" w14:paraId="000000A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em Gestão de Políticas Públicas na Universidade Federal do Ceará (UFC). Email: larissacostagomes13@gmail.com.</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4">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3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line="360" w:lineRule="auto"/>
    </w:pPr>
    <w:rPr>
      <w:b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header" Target="header1.xml"/><Relationship Id="rId9" Type="http://schemas.openxmlformats.org/officeDocument/2006/relationships/hyperlink" Target="http://repositorio.ufc.br/handle/riufc/77775"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doi.org/10.1590/S1517-4522200600020000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gE+Q7IOKV6yei21YuQ8DzWgRMQ==">CgMxLjAaDQoBMBIICgYIBTICCAEaDQoBMRIICgYIBTICCAEaDQoBMhIICgYIBTICCAEaDQoBMxIICgYIBTICCAEaDQoBNBIICgYIBTICCAEaDQoBNRIICgYIBTICCAEaDQoBNhIICgYIBTICCAEaDQoBNxIICgYIBTICCAEaDQoBOBIICgYIBTICCAEyDmguaTd1NnVkeWtnOXB4Mg5oLjZ3OWRlMHoxN2t2ZzIOaC5kenY3OXc0Zm14dnAyDmgucHoxMWtzbDh1NWFzMg5oLmZ3NHM0eXFyMWNnMzIOaC5mcmxnZHljb3pzMjIyDmguaXR4aXR4ZjdqYmJnMg5oLnlhZnk4OG1mbmdwZTIOaC5iNmt1emxsMWtlazAyDmgucGp1MDBhYXBldTVhMg5oLml1NWxwazd0cXRvMjIOaC54bXY1c3A1a2NjeDA4AHIhMXhIQU5HaWtCRDRUbkJZRmFsb3ZwYzNCRU14N1VSTEt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