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color w:val="000000"/>
          <w:sz w:val="24"/>
          <w:szCs w:val="24"/>
          <w:vertAlign w:val="baseline"/>
        </w:rPr>
      </w:pPr>
      <w:r w:rsidDel="00000000" w:rsidR="00000000" w:rsidRPr="00000000">
        <w:rPr>
          <w:b w:val="1"/>
          <w:color w:val="000000"/>
          <w:sz w:val="24"/>
          <w:szCs w:val="24"/>
          <w:vertAlign w:val="baseline"/>
          <w:rtl w:val="0"/>
        </w:rPr>
        <w:t xml:space="preserve">FÁBRICA DE MARGINAL: </w:t>
      </w:r>
      <w:r w:rsidDel="00000000" w:rsidR="00000000" w:rsidRPr="00000000">
        <w:rPr>
          <w:color w:val="000000"/>
          <w:sz w:val="24"/>
          <w:szCs w:val="24"/>
          <w:vertAlign w:val="baseline"/>
          <w:rtl w:val="0"/>
        </w:rPr>
        <w:t xml:space="preserve">O questionamento da maternidade de mulheres negras </w:t>
      </w:r>
    </w:p>
    <w:p w:rsidR="00000000" w:rsidDel="00000000" w:rsidP="00000000" w:rsidRDefault="00000000" w:rsidRPr="00000000" w14:paraId="00000002">
      <w:pPr>
        <w:spacing w:line="360" w:lineRule="auto"/>
        <w:jc w:val="center"/>
        <w:rPr>
          <w:color w:val="000000"/>
          <w:vertAlign w:val="baseline"/>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160" w:line="259" w:lineRule="auto"/>
        <w:ind w:hanging="2"/>
        <w:jc w:val="right"/>
        <w:rPr>
          <w:color w:val="000000"/>
          <w:vertAlign w:val="baseline"/>
        </w:rPr>
      </w:pPr>
      <w:r w:rsidDel="00000000" w:rsidR="00000000" w:rsidRPr="00000000">
        <w:rPr>
          <w:color w:val="000000"/>
          <w:vertAlign w:val="baseline"/>
          <w:rtl w:val="0"/>
        </w:rPr>
        <w:t xml:space="preserve">Cyntia Gomes Damasceno Basilio</w:t>
      </w:r>
      <w:r w:rsidDel="00000000" w:rsidR="00000000" w:rsidRPr="00000000">
        <w:rPr>
          <w:color w:val="000000"/>
          <w:vertAlign w:val="superscript"/>
        </w:rPr>
        <w:footnoteReference w:customMarkFollows="0" w:id="0"/>
      </w: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160" w:line="259" w:lineRule="auto"/>
        <w:ind w:hanging="2"/>
        <w:jc w:val="right"/>
        <w:rPr>
          <w:color w:val="000000"/>
          <w:vertAlign w:val="baseline"/>
        </w:rPr>
      </w:pPr>
      <w:r w:rsidDel="00000000" w:rsidR="00000000" w:rsidRPr="00000000">
        <w:rPr>
          <w:color w:val="000000"/>
          <w:vertAlign w:val="baseline"/>
          <w:rtl w:val="0"/>
        </w:rPr>
        <w:t xml:space="preserve">Lavínia Messias Alves</w:t>
      </w:r>
      <w:r w:rsidDel="00000000" w:rsidR="00000000" w:rsidRPr="00000000">
        <w:rPr>
          <w:color w:val="000000"/>
          <w:vertAlign w:val="superscript"/>
        </w:rPr>
        <w:footnoteReference w:customMarkFollows="0" w:id="1"/>
      </w:r>
      <w:r w:rsidDel="00000000" w:rsidR="00000000" w:rsidRPr="00000000">
        <w:rPr>
          <w:color w:val="000000"/>
          <w:vertAlign w:val="baseline"/>
          <w:rtl w:val="0"/>
        </w:rPr>
        <w:t xml:space="preserve"> </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160" w:line="259" w:lineRule="auto"/>
        <w:ind w:hanging="2"/>
        <w:jc w:val="right"/>
        <w:rPr>
          <w:color w:val="000000"/>
          <w:vertAlign w:val="baseline"/>
        </w:rPr>
      </w:pPr>
      <w:r w:rsidDel="00000000" w:rsidR="00000000" w:rsidRPr="00000000">
        <w:rPr>
          <w:color w:val="000000"/>
          <w:vertAlign w:val="baseline"/>
          <w:rtl w:val="0"/>
        </w:rPr>
        <w:t xml:space="preserve">Pedro Silva de Oliveira</w:t>
      </w:r>
      <w:r w:rsidDel="00000000" w:rsidR="00000000" w:rsidRPr="00000000">
        <w:rPr>
          <w:color w:val="000000"/>
          <w:vertAlign w:val="superscript"/>
        </w:rPr>
        <w:footnoteReference w:customMarkFollows="0" w:id="2"/>
      </w: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160" w:line="259" w:lineRule="auto"/>
        <w:ind w:hanging="2"/>
        <w:jc w:val="right"/>
        <w:rPr>
          <w:color w:val="000000"/>
          <w:vertAlign w:val="baseline"/>
        </w:rPr>
      </w:pPr>
      <w:r w:rsidDel="00000000" w:rsidR="00000000" w:rsidRPr="00000000">
        <w:rPr>
          <w:color w:val="000000"/>
          <w:vertAlign w:val="baseline"/>
          <w:rtl w:val="0"/>
        </w:rPr>
        <w:t xml:space="preserve">Yuri Willon Cândido</w:t>
      </w:r>
      <w:r w:rsidDel="00000000" w:rsidR="00000000" w:rsidRPr="00000000">
        <w:rPr>
          <w:color w:val="000000"/>
          <w:vertAlign w:val="superscript"/>
        </w:rPr>
        <w:footnoteReference w:customMarkFollows="0" w:id="3"/>
      </w: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color w:val="000000"/>
          <w:sz w:val="20"/>
          <w:szCs w:val="20"/>
          <w:vertAlign w:val="baseline"/>
        </w:rPr>
      </w:pPr>
      <w:r w:rsidDel="00000000" w:rsidR="00000000" w:rsidRPr="00000000">
        <w:rPr>
          <w:color w:val="000000"/>
          <w:sz w:val="20"/>
          <w:szCs w:val="20"/>
          <w:vertAlign w:val="baseline"/>
          <w:rtl w:val="0"/>
        </w:rPr>
        <w:t xml:space="preserve">O objetivo do trabalho é realizar uma análise acerca da negação dos direitos de mulheres negras à maternidade a partir dos determinantes sociais como raça/</w:t>
      </w:r>
      <w:r w:rsidDel="00000000" w:rsidR="00000000" w:rsidRPr="00000000">
        <w:rPr>
          <w:sz w:val="20"/>
          <w:szCs w:val="20"/>
          <w:vertAlign w:val="baseline"/>
          <w:rtl w:val="0"/>
        </w:rPr>
        <w:t xml:space="preserve">racismo e sexismo dentro do contexto da sociedade capitalista. A observação se deu via pesquisa qualitativa e referencial bibliográfico, desencadeando na hipótese de que direitos reprodutivos são historic</w:t>
      </w:r>
      <w:r w:rsidDel="00000000" w:rsidR="00000000" w:rsidRPr="00000000">
        <w:rPr>
          <w:color w:val="000000"/>
          <w:sz w:val="20"/>
          <w:szCs w:val="20"/>
          <w:vertAlign w:val="baseline"/>
          <w:rtl w:val="0"/>
        </w:rPr>
        <w:t xml:space="preserve">amente negligenciados e a maternidade negra é questionada, criminalizada e percebida como prejudicial à reprodução social.</w:t>
      </w:r>
    </w:p>
    <w:p w:rsidR="00000000" w:rsidDel="00000000" w:rsidP="00000000" w:rsidRDefault="00000000" w:rsidRPr="00000000" w14:paraId="00000009">
      <w:pPr>
        <w:spacing w:line="240" w:lineRule="auto"/>
        <w:ind w:left="2835" w:firstLine="0"/>
        <w:jc w:val="both"/>
        <w:rPr>
          <w:color w:val="000000"/>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Maternidade; direitos reprodutivos; mulheres negras; racismo e sexismo.</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color w:val="000000"/>
          <w:sz w:val="20"/>
          <w:szCs w:val="20"/>
          <w:vertAlign w:val="baseline"/>
        </w:rPr>
      </w:pPr>
      <w:r w:rsidDel="00000000" w:rsidR="00000000" w:rsidRPr="00000000">
        <w:rPr>
          <w:color w:val="000000"/>
          <w:sz w:val="20"/>
          <w:szCs w:val="20"/>
          <w:vertAlign w:val="baseline"/>
          <w:rtl w:val="0"/>
        </w:rPr>
        <w:t xml:space="preserve">The objective of this study is to analyze the denial of black women's rights to motherhood based on social determinants such as race/racism and sexism within the context of capitalist society. The observation was made through qualitative research and bibliographic references, triggering the hypothesis that reproductive rights are historically neglected and black motherhood is questioned, criminalized and perceived as harmful to social reproduction.</w:t>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color w:val="000000"/>
          <w:sz w:val="20"/>
          <w:szCs w:val="20"/>
          <w:vertAlign w:val="baseline"/>
          <w:rtl w:val="0"/>
        </w:rPr>
        <w:t xml:space="preserve">Motherhood; reproductive rights; black women; racism and sexism.</w:t>
      </w: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pautas feministas têm sido amplamente debatidas nos últimos tempos por diversos atores sociais e em distintos campos reflexivos. Questões como o direito à participação política, as violências de gênero, a equidade salarial, os direitos sexuais e reprodutivos, bem como o direito à maternagem e à maternidade, compõem parte da agenda feminista contemporânea.</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Entretanto, de forma equivocada, tanto o movimento feminista quanto a sociedade e o próprio Estado têm, frequentemente, colocado a mulher como um sujeito universal, atribuindo-lhe habilidades e papéis comuns, desconsiderando determinações fundamentais que dialogam com a perspectiva da interseccionalidade, como raça, classe, orientação sexual e territorialidades, que colocam as mulheres em condições díspares no corpo social.</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Lélia Gonzalez, ao tratar das mulheres “amefricanas”, posiciona-se criticamente contra a universalização dos indivíduos e evidencia que as mulheres possuem trajetórias socio-históricas distintas. No caso das mulheres negras, essas trajetórias são marcadas por violência, dor, exploração do trabalho e negação de direitos. Ao mesmo tempo, essas experiências complexas conformam processos de resistência e de adaptação à realidade, especialmente no que tange ao cuidado com os filhos.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Muito se tem falado sobre a expressão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sororidade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 em termos gerais, refere-se ao apoio e fortalecimento entre mulheres, sendo inclusive alçada à condição de pauta central no feminismo, na busca por equidade de gênero, reafirmando o companheirismo e a empatia entre iguais. Essa noção propõe unir mulheres em torno da resolução de demandas comuns. No entanto, o grande questionamento que inaugura este trabalho, inspirado na obra de Vilma Piedade, é: seria a sororidade, por si só, suficiente como base para a reivindicação de direitos?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conceito de sororidade é capaz, de fato, de abarcar as dificuldades enfrentadas por mulheres racializadas nesta sociedade? Compreende suas dores, que são fruto dos processos violentos de escravização e que, enquanto herança histórica, resultam em um racismo estrutural somado ao sexismo? Mulheres negras se unem pela dor. Reconhecem-se e identificam-se para além das demandas comuns. Encaixam-se na sororidade, mas não apenas nela e por isso a u</w:t>
      </w:r>
      <w:r w:rsidDel="00000000" w:rsidR="00000000" w:rsidRPr="00000000">
        <w:rPr>
          <w:sz w:val="24"/>
          <w:szCs w:val="24"/>
          <w:rtl w:val="0"/>
        </w:rPr>
        <w:t xml:space="preserve">tilização do termo </w:t>
      </w:r>
      <w:r w:rsidDel="00000000" w:rsidR="00000000" w:rsidRPr="00000000">
        <w:rPr>
          <w:i w:val="1"/>
          <w:sz w:val="24"/>
          <w:szCs w:val="24"/>
          <w:rtl w:val="0"/>
        </w:rPr>
        <w:t xml:space="preserve">Dororidade </w:t>
      </w:r>
      <w:r w:rsidDel="00000000" w:rsidR="00000000" w:rsidRPr="00000000">
        <w:rPr>
          <w:sz w:val="24"/>
          <w:szCs w:val="24"/>
          <w:rtl w:val="0"/>
        </w:rPr>
        <w:t xml:space="preserve">(PIEDADE, 2020)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r>
      <w:r w:rsidDel="00000000" w:rsidR="00000000" w:rsidRPr="00000000">
        <w:rPr>
          <w:i w:val="1"/>
          <w:sz w:val="24"/>
          <w:szCs w:val="24"/>
          <w:rtl w:val="0"/>
        </w:rPr>
        <w:t xml:space="preserve">d</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ororidade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emerge como um conceito que revela aquilo que o processo de apagamento epistemológico tentou silenciar ao longo dos séculos: as mulheres negras construíram a sociedade que conhecemos, carregando o peso de estarem na base da pirâmide social. Sua luta é anterior ao feminismo hegemônico</w:t>
      </w:r>
      <w:r w:rsidDel="00000000" w:rsidR="00000000" w:rsidRPr="00000000">
        <w:rPr>
          <w:sz w:val="24"/>
          <w:szCs w:val="24"/>
          <w:rtl w:val="0"/>
        </w:rPr>
        <w:t xml:space="preserve"> 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remonta aos tempos da senzala, pois sua vivência é atravessada, desde sempre, pelo racismo e pelo sexismo. Nesse sentido:</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226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lugar em que nos situamos determinará nossa interpretação sobre o duplo fenômeno do racismo e do sexismo. Para nós, o racismo se constitui como a sintomática que caracteriza a neurose cultural brasileira. Nesse sentido, veremos que sua articulação com o sexismo produz efeitos violentos sobre a mulher negra em particular." (GONZALEZ, 1984, p. 224)</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Diante do exposto, este trabalho tem como objetivo discutir as especificidades vivenciadas por mulheres negras nas pautas de gênero, com ênfase nos direitos reprodutivos e, para além disso, nas possibilidades de exercício de uma maternidade plena, quando desejada.</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Adota-se, como horizonte analítico, a centralidade da mulher negra (inclusive a partir da fala de mulheres negras que também são autoras deste trabalho), compreendendo-a como protagonista de sua história, marcada por um sistema opressor, mas que resiste e se ergue como símbolo de luta e resistência.</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fim, cabe destacar que serão abordados elementos históricos que evidenciam como, mesmo após séculos da vinda forçada de negros e negras do continente africano para o Brasil com o intuito de escravizá-los, as marcas desse processo ainda permanecem. Seus descendentes continuam enfrentando os efeitos do racismo estrutural e a disputa por um projeto de sociedade que, ainda hoje, insiste em promover o embranquecimento e o extermínio cotidiano dos corpos negros.</w:t>
      </w:r>
    </w:p>
    <w:p w:rsidR="00000000" w:rsidDel="00000000" w:rsidP="00000000" w:rsidRDefault="00000000" w:rsidRPr="00000000" w14:paraId="0000001A">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color w:val="000000"/>
          <w:vertAlign w:val="baseline"/>
          <w:rtl w:val="0"/>
        </w:rPr>
        <w:t xml:space="preserve">MULHERES NEGRAS NO CENTRO DO MUNDO: TRAJETÓRIAS SOCIAIS NA DIÁSPORA.</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Faz-se necessário compreender que as múltiplas situações que atravessam as mulheres negras não estão dissociadas de uma realidade concreta, uma vez que as relações sociais são estabelecidas dentro de uma lógica circunscrita a uma determinada formação social e a um modo de produção específico. Em outras palavras, é fundamental considerar o tempo e o contexto histórico, bem como as condições particulares de um país que foi colônia e que, ainda hoje, mantém uma economia dependente, subordinada à lógica dos países considerados centrais. Trata-se, portanto, de um país periférico no interior do modo de produção capitalista, cujo momento predominante é a mercantilização, que passa a orientar todas as dimensões da vida e as formas de relação social.</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Contudo, pensar em totalidade não significa, de forma alguma, negligenciar a importância de analisar os marcadores sociais que incidem diretamente sobre os sujeitos e que são objeto de análise teórica. Neste sentido, a centralidade da análise sobre mulheres negras exige a incorporação da interseccionalidade como categoria fundamental para compreender suas vivências. Como afirma Crenshaw (2016), “a interseccionalidade é uma lente através da qual você pode ver onde o poder entra, onde ele colide, onde ele se entrelaça”.</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muito tempo, falou-se pouco sobre o lugar social multifacetado da mulher negra no período colonial em diversos países que passaram pela experiência do colonialismo, como é o caso do Brasil e dos Estados Unidos. Embora esses países apresentem realidades distintas, é possível estabelecer aproximações que nos ajudam a refletir sobre o tema. Para tanto, recorremos a algumas das elaborações presentes na obra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Mulheres, Raça e Classe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Angela Davis.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autora propõe uma análise da situação da mulher negra no período da escravidão e no pós-abolição, considerando os diversos papéis sociais que desempenhou. As mulheres negras trabalhavam tanto quanto os homens durante o regime escravagista, exercendo não apenas tarefas domésticas e de cuidado com a casa e com os filhos da família senhorial, mas também trabalhos braçais nas lavouras.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Antes de serem vistas como mulheres, essas mulheres eram identificadas como negras, o que as posicionava como mercadorias, peças de valor, prontas para o trabalho. Seus corpos eram animalizados e desumanizados da mesma forma que os corpos dos homens negros, sendo igualmente exploradas. Davis (2016, p. 24) afirma: “Como escravas, essas mulheres tinham todos os outros aspectos de sua existência ofuscados pelo trabalho compulsório”.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Vistas como produtos que geravam lucro a seus proprietários, e enquanto vigorava o comércio de escravizados nos Estados Unidos, essas mulheres podiam ser percebidas, segundo Davis, como desprovidas de gênero. Isso nos remete a uma reflexão importante: a raça antecede qualquer outro marcador, pois é ela quem determina, inclusive, quem será reconhecido como um ser humano. Conforme aponta a autora: “[...] a mulher escrava era, antes de tudo, uma trabalhadora em tempo integral para seu proprietário, e apenas ocasionalmente esposa, mãe e dona de casa.” (DAVIS, 2016, p. 24)</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Seguindo essa linha de raciocínio, é possível afirmar que a exploração e a opressão vivenciadas pelas mulheres negras eram semelhantes às dos homens negros, uma vez que, em primeiro plano, tratava-se de uma exploração racial. A realidade da mulher negra, nesse contexto, se distancia significativamente da experiência da mulher branca. Para melhor compreensão dessas nuances, faz-se necessário um breve parêntese: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226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 escrava de cor criou para a mulher branca das casas grandes e das menores, condições de vida amena, fácil e da maior parte das vezes ociosa. Cozinhava, lavava, passava a ferro, esfregava de joelhos o chão das salas e dos quartos, cuidava dos filhos da senhora e satisfazia as exigências do senhor. Tinha seus próprios filhos, o dever e a fatal solidariedade de amparar seu companheiro, de sofrer com os outros escravos da senzala e do eito e de submeter-se aos castigos corporais. [...] As incursões desaforadas e aviltantes do senhor, filhos e parentes pelas senzalas, a desfaçatez dos padres a quem as Ordenações Filipinas, com seus castigos pecuniários e degredo para a África, não intimidavam nem os fazia desistir dos concubinatos e mancebias com as escravas.” (GONZALEZ, 1984, p. 229 apud HAHNER, 1978, p. 120-121)</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partir disso, é preciso refletir sobre o lugar social da mulher negra, que não detinha bens, matrimônio ou terras a serem legados a seus descendentes. Ela própria era uma mercadoria comercializada. Nesse sentido, a mulher branca é a que, em um primeiro momento, passa pela exploração de gênero. A mulher negra, por sua vez, além de ser igualmente explorada no trabalho, era também submetida a violências sexuais.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Esse processo se intensificou à medida que o tráfico internacional de escravizados foi sendo abolido. Segundo Davis (2016), tal abolição passou a atrapalhar o desenvolvimento do comércio de algodão, o que levou os proprietários de terra a produzirem a força de trabalho por meio da reprodução. Mulheres negras, antes valorizadas unicamente por sua força de trabalho, passaram a ser também avaliadas por seu potencial reprodutivo — o que aprofundou os abusos sexuais compulsórios, negando-lhes inclusive o direito de maternar, já que seus filhos também eram considerados propriedade dos senhores.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226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postura dos senhores em relação às escravas era regida pela conveniência: quando era lucrativo explorá-las como se fossem homens, eram vistas como desprovidas de gênero; mas, quando podiam ser exploradas, punidas e reprimidas de modos cabíveis apenas às mulheres, elas eram reduzidas exclusivamente à sua condição de fêmeas.” (DAVIS, 2016, p. 25)</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trajetória das mulheres negras durante a escravidão evidencia como raça, gênero e classe se entrelaçaram para sustentar diferentes formas de opressão. Seus corpos eram avaliados ora pela força de trabalho, ora pela capacidade de gerar filhos, uma lógica de desumanização que lhes negava direitos básicos e autonomia. Tal forma de exploração ultrapassava o campo econômico, impondo também um controle simbólico e social que contribuiu para consolidar estigmas e imagens negativas sobre as mulheres negras.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Todavia, conforme reflete Davis (2016), compreender esse processo histórico é fundamental para a análise das desigualdades que ainda persistem na contemporaneidade. Reconhecer as interseções entre opressões permite ampliar o olhar crítico e fortalecer propostas comprometidas com a justiça social, voltadas à superação das desigualdades raciais e de gênero.</w:t>
      </w:r>
    </w:p>
    <w:p w:rsidR="00000000" w:rsidDel="00000000" w:rsidP="00000000" w:rsidRDefault="00000000" w:rsidRPr="00000000" w14:paraId="00000028">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29">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A">
      <w:pPr>
        <w:spacing w:line="360" w:lineRule="auto"/>
        <w:jc w:val="both"/>
        <w:rPr>
          <w:b w:val="0"/>
          <w:sz w:val="24"/>
          <w:szCs w:val="24"/>
          <w:vertAlign w:val="baseline"/>
        </w:rPr>
      </w:pPr>
      <w:r w:rsidDel="00000000" w:rsidR="00000000" w:rsidRPr="00000000">
        <w:rPr>
          <w:b w:val="1"/>
          <w:sz w:val="24"/>
          <w:szCs w:val="24"/>
          <w:vertAlign w:val="baseline"/>
          <w:rtl w:val="0"/>
        </w:rPr>
        <w:t xml:space="preserve">2.1</w:t>
        <w:tab/>
      </w:r>
      <w:r w:rsidDel="00000000" w:rsidR="00000000" w:rsidRPr="00000000">
        <w:rPr>
          <w:b w:val="1"/>
          <w:color w:val="000000"/>
          <w:vertAlign w:val="baseline"/>
          <w:rtl w:val="0"/>
        </w:rPr>
        <w:t xml:space="preserve">O não lugar da maternidade negra – transição para o Brasil</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Desde o período colonial nos Estados Unidos, observa-se a sistemática negação das atribuições maternas às mulheres negras, cujo processo reprodutivo era controlado pelos senhores, por meio de estupros institucionalizados com fins de reprodução e manutenção da força de trabalho escravizada. Essas mulheres não tinham autonomia sobre seus corpos nem sobre os filhos gerados, frequentemente separados delas ainda na infância e vendidos a outros proprietários.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Contudo, essa função reprodutiva não conferia a essas mulheres quaisquer valorização simbólica associada à maternidade. Como afirma Davis (2016, p. 25-26), a ideologia da maternidade do século XIX não se aplicava às mulheres negras escravizadas, vistas apenas como reprodutoras, objetos cujo valor era medido por sua capacidade de gerar mão de obra.</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Essa lógica também se reproduziu no Brasil, último país das Américas a abolir oficialmente a escravidão, em 1888. Mesmo após a abolição, a figura da mulher negra seguiu marcada pela desumanização e pela marginalização, permanecendo afastada de uma cidadania plena. Sua maternidade, como no período escravocrata, continuou sendo negada ou criminalizada, enquanto seu corpo seguia objetificado, seja como “mãe preta” servil, seja como “mulata” hipersexualizada.</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Lélia Gonzalez (1984) identifica nessa trajetória uma dupla opressão: o racismo, agravado pelo sexismo. Fanon (2008) acrescenta que a mulher negra é simultaneamente repelida e desejada, punida e erotizada, o que reforça sua condição de subalternidade. O exemplo do carnaval, analisado por Gonzalez, ilustra essa dinâmica: nesse período, a mulher negra é exaltada como símbolo de desejo e exotismo; fora dele, retorna ao lugar subalterno da doméstica, do serviçal.</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Esse cenário é sustentado pelo mito da democracia racial, conforme criticado por Clóvis Moura (2021), que denuncia a romantização das relações entre senhores e escravizados, bem como a ideologia do branqueamento sustentada por autores como Gilberto Freyre, que oculta a violência racial e aprofunda a desigualdade. A miscigenação, longe de representar harmonia racial, serve à manutenção das hierarquias sociais, associando pobreza, subalternidade e negritude.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Quando se aplicam os referenciais da interseccionalidade (CRENSHAW, 2002; COLLINS), torna-se evidente que as mulheres negras enfrentam múltiplas opressões: de raça, gênero, classe, território, entre outras. A desumanização e a negação de sua maternidade atravessam sua trajetória histórica, refletindo-se nas estatísticas atuais. Segundo a PNAD/IBGE (2022), cerca de 60% das chefes de família no Brasil são mulheres negras ou pardas — muitas delas com baixos rendimentos, inseridas em ocupações precarizadas e sobrecarregadas com longas jornadas de trabalho.</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responsabilização dessas mulheres por eventuais ausências no cuidado com os filhos ignora as condições objetivas em que vivem. Um exemplo emblemático é a fala do ex-governador Sérgio Cabral, que, em 2007, ao defender o aborto como medida de controle social, associou mulheres da Rocinha majoritariamente negras e nordestinas à produção de "marginais". Tal declaração revela o racismo institucional e a criminalização das mulheres negras e suas maternidades.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Portanto, considerar a existência de uma mulher universal, com pautas homogêneas, é desconsiderar a complexidade histórica, política e estrutural que conforma a experiência das mulheres negras mães em um país periférico e ainda profundamente marcado por traços coloniais.</w:t>
      </w:r>
    </w:p>
    <w:p w:rsidR="00000000" w:rsidDel="00000000" w:rsidP="00000000" w:rsidRDefault="00000000" w:rsidRPr="00000000" w14:paraId="0000003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4">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Embora esta discussão tenha se iniciado com base no período colonial, constata-se que suas marcas permanecem presentes na contemporaneidade. Em 2011, Adriana Vianna (professora da UFRJ) e Juliana Farias (doutoranda na mesma instituição) publicaram o artigo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guerra das mães: dor e política em situações de violência institucional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qual analisam as relações entre “violência” e “gênero” a partir da luta por justiça de familiares de pessoas assassinadas pela polícia militar no Rio de Janeiro (VIANNA; FARIAS, 2011).</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Logo nas primeiras páginas, as autoras relatam sua participação em uma manifestação de mães enlutadas, realizada em frente a uma unidade socioeducativa, como protesto contra a morte sob tortura de Pedro, ocorrida em 2008 naquela mesma instituição. Uma das faixas do ato estampava a frase: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 tiraram o direito de ser Mãe”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direito que, como demonstrado ao longo deste trabalho, vem sendo historicamente negado às mulheres negras e periféricas, como parte de uma política estatal de morte que pune os corpos considerados descartáveis, sobretudo os corpos negros.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É fundamental criticar com rigor as respostas oferecidas pelo Estado diante do sofrimento dessas mulheres, cujos filhos são vitimados por diferentes formas de genocídio, seja por meio de operações policiais em favelas, da não execução de políticas públicas específicas (como a Política Nacional de Saúde Integral da População Negra), ou da exclusão de direitos sociais básicos, como saúde, educação, moradia e alimentação.</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Não se pode desconsiderar, ainda, o número expressivo de crianças e adolescentes cumprindo medidas socioeducativas, fenômeno que também se insere nesse contexto de violações sistemáticas e falta de acesso a direitos básicos.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Rachel Gouveia, em seu livro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Na mira do fuzil: a saúde mental de mulheres negras em questão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(2020), analisa como o processo de medicalização tem sido uma das formas de controle social nas favelas cariocas. A autora demonstra que a intervenção psiquiátrica tem sido utilizada como estratégia para neutralizar a dor dessas mulheres, patologizando reações humanas frente ao luto e à violência, e despolitizando os efeitos do racismo estrutural e da pobreza. Nesse cenário, o sofrimento das mulheres negras é convertido em diagnóstico, e suas dores são silenciadas por meio da medicalização.</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Diante disso, o luto transforma-se, muitas vezes, em luta, expressão de resistência política e cultural. Mesmo conscientes das determinações sociais que violam seus direitos, essas mulheres organizam-se coletivamente para enfrentar a violência do Estado, ressignificando suas dores como formas de denúncia e reivindicação por justiça.</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maternidade negra, assim como outros direitos das mulheres racializadas, permanece ameaçada pela forma como a sociedade enxerga seus corpos e suas trajetórias. É imprescindível que essa discussão atravesse os espaços de formação em Serviço Social, considerando que essas mulheres compõem, de forma significativa, o público atendido pelos profissionais da área nos mais diversos espaços socioassistenciais e de saúde.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Portanto, torna-se urgente refletir criticamente sobre essas questões, a fim de contribuir para a construção de políticas públicas que considerem as especificidades das mulheres negras e de suas famílias. Tal construção deve romper com os processos de moralização e criminalização que historicamente recaem sobre esse grupo social, e, em seu lugar, promover o reconhecimento de suas trajetórias, saberes e formas de resistência.</w:t>
      </w:r>
    </w:p>
    <w:p w:rsidR="00000000" w:rsidDel="00000000" w:rsidP="00000000" w:rsidRDefault="00000000" w:rsidRPr="00000000" w14:paraId="0000003D">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3E">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3F">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0">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1">
      <w:pPr>
        <w:spacing w:line="240" w:lineRule="auto"/>
        <w:jc w:val="both"/>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CRENSHAW, Kimberlé. The urgency of intersectionality. TEDWomen, 2016. Disponível em: https://www.ted.com/talks/kimberle_crenshaw_the_urgency_of_intersectionality. Acesso em: 26 jun. 2025</w:t>
      </w: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042">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3">
      <w:pPr>
        <w:spacing w:line="240" w:lineRule="auto"/>
        <w:jc w:val="both"/>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Crenshaw, K. (2002). Mapeando as margens: interseccionalidade, políticas de identidade e violência contra mulheres não-brancas. </w:t>
      </w:r>
      <w:r w:rsidDel="00000000" w:rsidR="00000000" w:rsidRPr="00000000">
        <w:rPr>
          <w:i w:val="1"/>
          <w:color w:val="000000"/>
          <w:vertAlign w:val="baseline"/>
          <w:rtl w:val="0"/>
        </w:rPr>
        <w:t xml:space="preserve">Revista Estudos Feministas</w:t>
      </w:r>
      <w:r w:rsidDel="00000000" w:rsidR="00000000" w:rsidRPr="00000000">
        <w:rPr>
          <w:color w:val="000000"/>
          <w:vertAlign w:val="baseline"/>
          <w:rtl w:val="0"/>
        </w:rPr>
        <w:t xml:space="preserve">, 10(1), 171-196.</w:t>
      </w:r>
      <w:r w:rsidDel="00000000" w:rsidR="00000000" w:rsidRPr="00000000">
        <w:rPr>
          <w:rtl w:val="0"/>
        </w:rPr>
      </w:r>
    </w:p>
    <w:p w:rsidR="00000000" w:rsidDel="00000000" w:rsidP="00000000" w:rsidRDefault="00000000" w:rsidRPr="00000000" w14:paraId="00000044">
      <w:pPr>
        <w:spacing w:after="24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5">
      <w:pPr>
        <w:spacing w:line="240" w:lineRule="auto"/>
        <w:jc w:val="both"/>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Collins, P. H., &amp; Bilge, S. (2021). </w:t>
      </w:r>
      <w:r w:rsidDel="00000000" w:rsidR="00000000" w:rsidRPr="00000000">
        <w:rPr>
          <w:i w:val="1"/>
          <w:color w:val="000000"/>
          <w:vertAlign w:val="baseline"/>
          <w:rtl w:val="0"/>
        </w:rPr>
        <w:t xml:space="preserve">Interseccionalidade</w:t>
      </w:r>
      <w:r w:rsidDel="00000000" w:rsidR="00000000" w:rsidRPr="00000000">
        <w:rPr>
          <w:color w:val="000000"/>
          <w:vertAlign w:val="baseline"/>
          <w:rtl w:val="0"/>
        </w:rPr>
        <w:t xml:space="preserve">. Tradução de Rane Souza. São Paulo: Boitempo.</w:t>
      </w:r>
      <w:r w:rsidDel="00000000" w:rsidR="00000000" w:rsidRPr="00000000">
        <w:rPr>
          <w:rtl w:val="0"/>
        </w:rPr>
      </w:r>
    </w:p>
    <w:p w:rsidR="00000000" w:rsidDel="00000000" w:rsidP="00000000" w:rsidRDefault="00000000" w:rsidRPr="00000000" w14:paraId="00000046">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7">
      <w:pPr>
        <w:spacing w:line="240" w:lineRule="auto"/>
        <w:jc w:val="both"/>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Davis, Angela. Mulheres, raça e classe. 1. ed. São Paulo: Boitempo, 2016.</w:t>
      </w:r>
      <w:r w:rsidDel="00000000" w:rsidR="00000000" w:rsidRPr="00000000">
        <w:rPr>
          <w:rtl w:val="0"/>
        </w:rPr>
      </w:r>
    </w:p>
    <w:p w:rsidR="00000000" w:rsidDel="00000000" w:rsidP="00000000" w:rsidRDefault="00000000" w:rsidRPr="00000000" w14:paraId="00000048">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9">
      <w:pPr>
        <w:spacing w:line="240" w:lineRule="auto"/>
        <w:jc w:val="both"/>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Fanon, F. (2008). Pele Negra, Máscaras Brancas. (4ª ed.). Salvador: EDUFBA.</w:t>
      </w:r>
      <w:r w:rsidDel="00000000" w:rsidR="00000000" w:rsidRPr="00000000">
        <w:rPr>
          <w:rtl w:val="0"/>
        </w:rPr>
      </w:r>
    </w:p>
    <w:p w:rsidR="00000000" w:rsidDel="00000000" w:rsidP="00000000" w:rsidRDefault="00000000" w:rsidRPr="00000000" w14:paraId="0000004A">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B">
      <w:pPr>
        <w:spacing w:line="240" w:lineRule="auto"/>
        <w:jc w:val="both"/>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Freyre, Gilberto. Casa-Grande &amp; Senzala: formação da família brasileira sob o regime da economia patriarcal. 51. ed. São Paulo: Global Editora, 2003.</w:t>
      </w:r>
      <w:r w:rsidDel="00000000" w:rsidR="00000000" w:rsidRPr="00000000">
        <w:rPr>
          <w:rtl w:val="0"/>
        </w:rPr>
      </w:r>
    </w:p>
    <w:p w:rsidR="00000000" w:rsidDel="00000000" w:rsidP="00000000" w:rsidRDefault="00000000" w:rsidRPr="00000000" w14:paraId="0000004C">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D">
      <w:pPr>
        <w:spacing w:line="240" w:lineRule="auto"/>
        <w:jc w:val="both"/>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Gonzales, Lélia. A categoria político-cultural de amefricanidade. In: HOLLANDA, Heloísa Buarque de (Org.). Pensamento Feminista Brasileiro: Formação e Contexto. Rio de Janeiro: Bazar do Tempo, 2019. p. 222-223.</w:t>
      </w:r>
      <w:r w:rsidDel="00000000" w:rsidR="00000000" w:rsidRPr="00000000">
        <w:rPr>
          <w:rtl w:val="0"/>
        </w:rPr>
      </w:r>
    </w:p>
    <w:p w:rsidR="00000000" w:rsidDel="00000000" w:rsidP="00000000" w:rsidRDefault="00000000" w:rsidRPr="00000000" w14:paraId="0000004E">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F">
      <w:pPr>
        <w:spacing w:line="240" w:lineRule="auto"/>
        <w:jc w:val="both"/>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Gonzales, Lélia. Racismo e sexismo na cultura brasileira.  Revista Ciências Sociais Hoje, Anpocs, 1984, p. 223-244. Disponível em: https://edisciplinas.usp.br/pluginfile.php/5509709/mod_resource/content/0/06%20-%20GONZALES%2C%20Lélia%20-%20Racismo_e_Sexismo_na_Cultura_Brasileira%20%281%29.pdf. Acesso em: 7 ago. 2024.</w:t>
      </w:r>
      <w:r w:rsidDel="00000000" w:rsidR="00000000" w:rsidRPr="00000000">
        <w:rPr>
          <w:rtl w:val="0"/>
        </w:rPr>
      </w:r>
    </w:p>
    <w:p w:rsidR="00000000" w:rsidDel="00000000" w:rsidP="00000000" w:rsidRDefault="00000000" w:rsidRPr="00000000" w14:paraId="00000050">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1">
      <w:pPr>
        <w:spacing w:line="240" w:lineRule="auto"/>
        <w:jc w:val="both"/>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Gouveia, Rachel. Na mira do fuzil: A saúde mental das mulheres negras em questão. Rio de Janeiro: Editora Pallas, 2020.</w:t>
      </w:r>
      <w:r w:rsidDel="00000000" w:rsidR="00000000" w:rsidRPr="00000000">
        <w:rPr>
          <w:rtl w:val="0"/>
        </w:rPr>
      </w:r>
    </w:p>
    <w:p w:rsidR="00000000" w:rsidDel="00000000" w:rsidP="00000000" w:rsidRDefault="00000000" w:rsidRPr="00000000" w14:paraId="00000052">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3">
      <w:pPr>
        <w:spacing w:line="240" w:lineRule="auto"/>
        <w:jc w:val="both"/>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IBGE. Pessoas e Domicílios: Características das Famílias. 2022. Disponível em: </w:t>
      </w:r>
      <w:hyperlink r:id="rId8">
        <w:r w:rsidDel="00000000" w:rsidR="00000000" w:rsidRPr="00000000">
          <w:rPr>
            <w:color w:val="1155cc"/>
            <w:u w:val="single"/>
            <w:vertAlign w:val="baseline"/>
            <w:rtl w:val="0"/>
          </w:rPr>
          <w:t xml:space="preserve">https://www.ibge.gov.br/estatisticas/sociais/populacao/25777-pesquisa-nacional-por-amostra-de-domicilios-continua.html</w:t>
        </w:r>
      </w:hyperlink>
      <w:r w:rsidDel="00000000" w:rsidR="00000000" w:rsidRPr="00000000">
        <w:rPr>
          <w:color w:val="000000"/>
          <w:vertAlign w:val="baseline"/>
          <w:rtl w:val="0"/>
        </w:rPr>
        <w:t xml:space="preserve">. Acesso em: 10 ago. 2024.</w:t>
      </w:r>
      <w:r w:rsidDel="00000000" w:rsidR="00000000" w:rsidRPr="00000000">
        <w:rPr>
          <w:rtl w:val="0"/>
        </w:rPr>
      </w:r>
    </w:p>
    <w:p w:rsidR="00000000" w:rsidDel="00000000" w:rsidP="00000000" w:rsidRDefault="00000000" w:rsidRPr="00000000" w14:paraId="00000054">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5">
      <w:pPr>
        <w:spacing w:line="240" w:lineRule="auto"/>
        <w:jc w:val="both"/>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Moura, Clóvis. O negro: de bom escravo a mau cidadão?. Dandara Editora, 2021.</w:t>
      </w:r>
      <w:r w:rsidDel="00000000" w:rsidR="00000000" w:rsidRPr="00000000">
        <w:rPr>
          <w:rtl w:val="0"/>
        </w:rPr>
      </w:r>
    </w:p>
    <w:p w:rsidR="00000000" w:rsidDel="00000000" w:rsidP="00000000" w:rsidRDefault="00000000" w:rsidRPr="00000000" w14:paraId="00000056">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7">
      <w:pPr>
        <w:spacing w:line="240" w:lineRule="auto"/>
        <w:jc w:val="both"/>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Piedade, Vilma. Dororidade: A trajetória de mulheres negras no Brasil. São Paulo: Editora Mazza, 2020.</w:t>
      </w:r>
      <w:r w:rsidDel="00000000" w:rsidR="00000000" w:rsidRPr="00000000">
        <w:rPr>
          <w:rtl w:val="0"/>
        </w:rPr>
      </w:r>
    </w:p>
    <w:p w:rsidR="00000000" w:rsidDel="00000000" w:rsidP="00000000" w:rsidRDefault="00000000" w:rsidRPr="00000000" w14:paraId="00000058">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9">
      <w:pPr>
        <w:spacing w:line="240" w:lineRule="auto"/>
        <w:jc w:val="both"/>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Vianna, Adriana; Farias, Juliana. A guerra das mães: dor e política em situações de violência institucional. 2011. Dissertação (Mestrado em Sociologia)—Universidade de São Paulo, São Paulo, 2011.</w:t>
      </w:r>
      <w:r w:rsidDel="00000000" w:rsidR="00000000" w:rsidRPr="00000000">
        <w:rPr>
          <w:rtl w:val="0"/>
        </w:rPr>
      </w:r>
    </w:p>
    <w:p w:rsidR="00000000" w:rsidDel="00000000" w:rsidP="00000000" w:rsidRDefault="00000000" w:rsidRPr="00000000" w14:paraId="0000005A">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5B">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ind w:hanging="2"/>
        <w:jc w:val="both"/>
        <w:rPr>
          <w:color w:val="000000"/>
          <w:sz w:val="20"/>
          <w:szCs w:val="20"/>
          <w:vertAlign w:val="baseline"/>
        </w:rPr>
      </w:pPr>
      <w:r w:rsidDel="00000000" w:rsidR="00000000" w:rsidRPr="00000000">
        <w:rPr>
          <w:rStyle w:val="FootnoteReference"/>
          <w:vertAlign w:val="superscript"/>
        </w:rPr>
        <w:footnoteRef/>
      </w:r>
      <w:r w:rsidDel="00000000" w:rsidR="00000000" w:rsidRPr="00000000">
        <w:rPr>
          <w:color w:val="000000"/>
          <w:vertAlign w:val="baseline"/>
          <w:rtl w:val="0"/>
        </w:rPr>
        <w:tab/>
      </w:r>
      <w:r w:rsidDel="00000000" w:rsidR="00000000" w:rsidRPr="00000000">
        <w:rPr>
          <w:color w:val="000000"/>
          <w:sz w:val="20"/>
          <w:szCs w:val="20"/>
          <w:vertAlign w:val="baseline"/>
          <w:rtl w:val="0"/>
        </w:rPr>
        <w:t xml:space="preserve">Mestranda em Serviço Social pela Universidade do Estado do Rio de Janeiro (UERJ). Email: </w:t>
      </w:r>
      <w:hyperlink r:id="rId1">
        <w:r w:rsidDel="00000000" w:rsidR="00000000" w:rsidRPr="00000000">
          <w:rPr>
            <w:color w:val="0000ff"/>
            <w:sz w:val="20"/>
            <w:szCs w:val="20"/>
            <w:u w:val="single"/>
            <w:vertAlign w:val="baseline"/>
            <w:rtl w:val="0"/>
          </w:rPr>
          <w:t xml:space="preserve">cyntia.damasceno19@gmail.com</w:t>
        </w:r>
      </w:hyperlink>
      <w:r w:rsidDel="00000000" w:rsidR="00000000" w:rsidRPr="00000000">
        <w:rPr>
          <w:color w:val="000000"/>
          <w:sz w:val="20"/>
          <w:szCs w:val="20"/>
          <w:vertAlign w:val="baseline"/>
          <w:rtl w:val="0"/>
        </w:rPr>
        <w:t xml:space="preserve">. O presente trabalho foi realizado com apoio da Coordenação de Aperfeiçoamento de Pessoal de Nível Superior (CAPES).</w:t>
      </w:r>
    </w:p>
  </w:footnote>
  <w:footnote w:id="1">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ind w:hanging="2"/>
        <w:jc w:val="both"/>
        <w:rPr>
          <w:color w:val="000000"/>
          <w:sz w:val="20"/>
          <w:szCs w:val="20"/>
          <w:vertAlign w:val="baseline"/>
        </w:rPr>
      </w:pPr>
      <w:r w:rsidDel="00000000" w:rsidR="00000000" w:rsidRPr="00000000">
        <w:rPr>
          <w:rStyle w:val="FootnoteReference"/>
          <w:vertAlign w:val="superscript"/>
        </w:rPr>
        <w:footnoteRef/>
      </w:r>
      <w:r w:rsidDel="00000000" w:rsidR="00000000" w:rsidRPr="00000000">
        <w:rPr>
          <w:color w:val="000000"/>
          <w:sz w:val="20"/>
          <w:szCs w:val="20"/>
          <w:vertAlign w:val="baseline"/>
          <w:rtl w:val="0"/>
        </w:rPr>
        <w:tab/>
        <w:t xml:space="preserve">Mestranda em Serviço Social pela Universidade do Estado do Rio de Janeiro (UERJ). Especialista em Serviço Social e Saúde pelo Programa de Residência Uniprofissional da UERJ. Email: </w:t>
      </w:r>
      <w:hyperlink r:id="rId2">
        <w:r w:rsidDel="00000000" w:rsidR="00000000" w:rsidRPr="00000000">
          <w:rPr>
            <w:color w:val="0000ff"/>
            <w:sz w:val="20"/>
            <w:szCs w:val="20"/>
            <w:u w:val="single"/>
            <w:vertAlign w:val="baseline"/>
            <w:rtl w:val="0"/>
          </w:rPr>
          <w:t xml:space="preserve">lavmessias@gmail.com</w:t>
        </w:r>
      </w:hyperlink>
      <w:r w:rsidDel="00000000" w:rsidR="00000000" w:rsidRPr="00000000">
        <w:rPr>
          <w:color w:val="000000"/>
          <w:sz w:val="20"/>
          <w:szCs w:val="20"/>
          <w:vertAlign w:val="baseline"/>
          <w:rtl w:val="0"/>
        </w:rPr>
        <w:t xml:space="preserve">. O presente trabalho foi realizado com apoio da Coordenação de Aperfeiçoamento de Pessoal de Nível Superior (CAPES).</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ind w:hanging="2"/>
        <w:jc w:val="both"/>
        <w:rPr>
          <w:color w:val="000000"/>
          <w:sz w:val="20"/>
          <w:szCs w:val="20"/>
          <w:vertAlign w:val="baseline"/>
        </w:rPr>
      </w:pPr>
      <w:r w:rsidDel="00000000" w:rsidR="00000000" w:rsidRPr="00000000">
        <w:rPr>
          <w:rtl w:val="0"/>
        </w:rPr>
      </w:r>
    </w:p>
  </w:footnote>
  <w:footnote w:id="2">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ind w:hanging="2"/>
        <w:jc w:val="both"/>
        <w:rPr>
          <w:color w:val="000000"/>
          <w:sz w:val="20"/>
          <w:szCs w:val="20"/>
          <w:vertAlign w:val="baseline"/>
        </w:rPr>
      </w:pPr>
      <w:r w:rsidDel="00000000" w:rsidR="00000000" w:rsidRPr="00000000">
        <w:rPr>
          <w:rStyle w:val="FootnoteReference"/>
          <w:vertAlign w:val="superscript"/>
        </w:rPr>
        <w:footnoteRef/>
      </w:r>
      <w:r w:rsidDel="00000000" w:rsidR="00000000" w:rsidRPr="00000000">
        <w:rPr>
          <w:sz w:val="20"/>
          <w:szCs w:val="20"/>
          <w:vertAlign w:val="baseline"/>
          <w:rtl w:val="0"/>
        </w:rPr>
        <w:t xml:space="preserve">      </w:t>
      </w:r>
      <w:r w:rsidDel="00000000" w:rsidR="00000000" w:rsidRPr="00000000">
        <w:rPr>
          <w:color w:val="000000"/>
          <w:sz w:val="20"/>
          <w:szCs w:val="20"/>
          <w:vertAlign w:val="baseline"/>
          <w:rtl w:val="0"/>
        </w:rPr>
        <w:t xml:space="preserve">Mestrando em Serviço Social pela Universidade do Estado do Rio de Janeiro (UERJ). Email: </w:t>
      </w:r>
      <w:hyperlink r:id="rId3">
        <w:r w:rsidDel="00000000" w:rsidR="00000000" w:rsidRPr="00000000">
          <w:rPr>
            <w:color w:val="1155cc"/>
            <w:sz w:val="20"/>
            <w:szCs w:val="20"/>
            <w:u w:val="single"/>
            <w:vertAlign w:val="baseline"/>
            <w:rtl w:val="0"/>
          </w:rPr>
          <w:t xml:space="preserve">oliveira.socialrj@gmail.com</w:t>
        </w:r>
      </w:hyperlink>
      <w:r w:rsidDel="00000000" w:rsidR="00000000" w:rsidRPr="00000000">
        <w:rPr>
          <w:sz w:val="20"/>
          <w:szCs w:val="20"/>
          <w:rtl w:val="0"/>
        </w:rPr>
        <w:t xml:space="preserve">.</w:t>
      </w:r>
      <w:r w:rsidDel="00000000" w:rsidR="00000000" w:rsidRPr="00000000">
        <w:rPr>
          <w:color w:val="000000"/>
          <w:sz w:val="20"/>
          <w:szCs w:val="20"/>
          <w:vertAlign w:val="baseline"/>
          <w:rtl w:val="0"/>
        </w:rPr>
        <w:t xml:space="preserve"> O presente trabalho foi realizado com apoio do Conselho Nacional de Desenvolvimento Científico e Tecnológico (CNPq).</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 w:id="3">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ind w:hanging="2"/>
        <w:jc w:val="both"/>
        <w:rPr>
          <w:color w:val="000000"/>
          <w:sz w:val="20"/>
          <w:szCs w:val="20"/>
          <w:vertAlign w:val="baseline"/>
        </w:rPr>
      </w:pPr>
      <w:r w:rsidDel="00000000" w:rsidR="00000000" w:rsidRPr="00000000">
        <w:rPr>
          <w:rStyle w:val="FootnoteReference"/>
          <w:vertAlign w:val="superscript"/>
        </w:rPr>
        <w:footnoteRef/>
      </w:r>
      <w:r w:rsidDel="00000000" w:rsidR="00000000" w:rsidRPr="00000000">
        <w:rPr>
          <w:sz w:val="20"/>
          <w:szCs w:val="20"/>
          <w:vertAlign w:val="baseline"/>
          <w:rtl w:val="0"/>
        </w:rPr>
        <w:t xml:space="preserve">         </w:t>
      </w:r>
      <w:r w:rsidDel="00000000" w:rsidR="00000000" w:rsidRPr="00000000">
        <w:rPr>
          <w:sz w:val="20"/>
          <w:szCs w:val="20"/>
          <w:rtl w:val="0"/>
        </w:rPr>
        <w:t xml:space="preserve"> </w:t>
      </w:r>
      <w:r w:rsidDel="00000000" w:rsidR="00000000" w:rsidRPr="00000000">
        <w:rPr>
          <w:color w:val="000000"/>
          <w:sz w:val="20"/>
          <w:szCs w:val="20"/>
          <w:vertAlign w:val="baseline"/>
          <w:rtl w:val="0"/>
        </w:rPr>
        <w:t xml:space="preserve">Mestrando em Serviço Social pela Universidade do Estado do Rio de Janeiro (UERJ). Email: </w:t>
      </w:r>
      <w:hyperlink r:id="rId4">
        <w:r w:rsidDel="00000000" w:rsidR="00000000" w:rsidRPr="00000000">
          <w:rPr>
            <w:color w:val="0000ff"/>
            <w:sz w:val="20"/>
            <w:szCs w:val="20"/>
            <w:u w:val="single"/>
            <w:vertAlign w:val="baseline"/>
            <w:rtl w:val="0"/>
          </w:rPr>
          <w:t xml:space="preserve">yuriwillon@gmail.com</w:t>
        </w:r>
      </w:hyperlink>
      <w:r w:rsidDel="00000000" w:rsidR="00000000" w:rsidRPr="00000000">
        <w:rPr>
          <w:color w:val="000000"/>
          <w:sz w:val="20"/>
          <w:szCs w:val="20"/>
          <w:vertAlign w:val="baseline"/>
          <w:rtl w:val="0"/>
        </w:rPr>
        <w:t xml:space="preserve">. O presente trabalho foi realizado com apoio da Coordenação de Aperfeiçoamento de Pessoal de Nível Superior (CAPES).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pt-BR" w:val="pt-BR"/>
    </w:rPr>
  </w:style>
  <w:style w:type="character" w:styleId="Ênfase">
    <w:name w:val="Ênfase"/>
    <w:next w:val="Ênfase"/>
    <w:autoRedefine w:val="0"/>
    <w:hidden w:val="0"/>
    <w:qFormat w:val="0"/>
    <w:rPr>
      <w:i w:val="1"/>
      <w:iCs w:val="1"/>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character" w:styleId="Forte">
    <w:name w:val="Forte"/>
    <w:next w:val="Forte"/>
    <w:autoRedefine w:val="0"/>
    <w:hidden w:val="0"/>
    <w:qFormat w:val="0"/>
    <w:rPr>
      <w:b w:val="1"/>
      <w:bCs w:val="1"/>
      <w:w w:val="100"/>
      <w:position w:val="-1"/>
      <w:effect w:val="none"/>
      <w:vertAlign w:val="baseline"/>
      <w:cs w:val="0"/>
      <w:em w:val="none"/>
      <w:lang/>
    </w:rPr>
  </w:style>
  <w:style w:type="paragraph" w:styleId="Textodenotaderodapé">
    <w:name w:val="Texto de nota de rodapé"/>
    <w:basedOn w:val="Normal"/>
    <w:next w:val="Textodenotaderodapé"/>
    <w:autoRedefine w:val="0"/>
    <w:hidden w:val="0"/>
    <w:qFormat w:val="1"/>
    <w:pPr>
      <w:suppressAutoHyphens w:val="0"/>
      <w:spacing w:line="240" w:lineRule="auto"/>
      <w:ind w:left="-1" w:leftChars="-1" w:rightChars="0" w:hanging="1" w:firstLineChars="-1"/>
      <w:textDirection w:val="lrTb"/>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pt-BR" w:val="pt-BR"/>
    </w:rPr>
  </w:style>
  <w:style w:type="character" w:styleId="TextodenotaderodapéChar">
    <w:name w:val="Texto de nota de rodapé Char"/>
    <w:next w:val="TextodenotaderodapéChar"/>
    <w:autoRedefine w:val="0"/>
    <w:hidden w:val="0"/>
    <w:qFormat w:val="0"/>
    <w:rPr>
      <w:rFonts w:ascii="Times New Roman" w:cs="Times New Roman" w:eastAsia="Times New Roman" w:hAnsi="Times New Roman"/>
      <w:w w:val="100"/>
      <w:position w:val="-1"/>
      <w:effect w:val="none"/>
      <w:vertAlign w:val="baseline"/>
      <w:cs w:val="0"/>
      <w:em w:val="none"/>
      <w:lang/>
    </w:rPr>
  </w:style>
  <w:style w:type="character" w:styleId="Ref.denotaderodapé">
    <w:name w:val="Ref. de nota de rodapé"/>
    <w:next w:val="Ref.denotaderodapé"/>
    <w:autoRedefine w:val="0"/>
    <w:hidden w:val="0"/>
    <w:qFormat w:val="1"/>
    <w:rPr>
      <w:w w:val="100"/>
      <w:position w:val="-1"/>
      <w:effect w:val="none"/>
      <w:vertAlign w:val="superscript"/>
      <w:cs w:val="0"/>
      <w:em w:val="none"/>
      <w:lang/>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ibge.gov.br/estatisticas/sociais/populacao/25777-pesquisa-nacional-por-amostra-de-domicilios-continua.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cyntia.damasceno19@gmail.com" TargetMode="External"/><Relationship Id="rId2" Type="http://schemas.openxmlformats.org/officeDocument/2006/relationships/hyperlink" Target="mailto:lavmessias@gmail.com" TargetMode="External"/><Relationship Id="rId3" Type="http://schemas.openxmlformats.org/officeDocument/2006/relationships/hyperlink" Target="mailto:oliveira.socialrj@gmail.com" TargetMode="External"/><Relationship Id="rId4" Type="http://schemas.openxmlformats.org/officeDocument/2006/relationships/hyperlink" Target="mailto:yuriwillo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zA+/i5lTG0H3P1ASMLQlz2Vx1w==">CgMxLjA4AHIhMVRVQVBoUlpQQ2Npa0stVkQ3Q0lrdXB6bmtQV281T0lU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2025-07-06T18:37:00Z</dcterms:created>
  <dc:creator>DELL</dc:creator>
</cp:coreProperties>
</file>

<file path=docProps/custom.xml><?xml version="1.0" encoding="utf-8"?>
<Properties xmlns="http://schemas.openxmlformats.org/officeDocument/2006/custom-properties" xmlns:vt="http://schemas.openxmlformats.org/officeDocument/2006/docPropsVTypes"/>
</file>