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7E5E33" w14:textId="77777777" w:rsidR="004F776F" w:rsidRPr="001C72E8" w:rsidRDefault="001C72E8" w:rsidP="00FF57EB">
      <w:pPr>
        <w:spacing w:line="360" w:lineRule="auto"/>
        <w:jc w:val="center"/>
        <w:rPr>
          <w:b/>
          <w:sz w:val="24"/>
          <w:szCs w:val="24"/>
        </w:rPr>
      </w:pPr>
      <w:r w:rsidRPr="001C72E8">
        <w:rPr>
          <w:b/>
          <w:sz w:val="24"/>
          <w:szCs w:val="24"/>
        </w:rPr>
        <w:t>UM OLHAR SOBRE A VIOLÊNCIA CONTRA OS POVOS IND</w:t>
      </w:r>
      <w:r w:rsidR="004D7E07">
        <w:rPr>
          <w:b/>
          <w:sz w:val="24"/>
          <w:szCs w:val="24"/>
        </w:rPr>
        <w:t>Í</w:t>
      </w:r>
      <w:r w:rsidRPr="001C72E8">
        <w:rPr>
          <w:b/>
          <w:sz w:val="24"/>
          <w:szCs w:val="24"/>
        </w:rPr>
        <w:t>GENAS NA AMAZ</w:t>
      </w:r>
      <w:r w:rsidR="00151DA2">
        <w:rPr>
          <w:b/>
          <w:sz w:val="24"/>
          <w:szCs w:val="24"/>
        </w:rPr>
        <w:t>Ô</w:t>
      </w:r>
      <w:r w:rsidRPr="001C72E8">
        <w:rPr>
          <w:b/>
          <w:sz w:val="24"/>
          <w:szCs w:val="24"/>
        </w:rPr>
        <w:t xml:space="preserve">NIA LEGAL </w:t>
      </w:r>
    </w:p>
    <w:p w14:paraId="14F073D1" w14:textId="77777777" w:rsidR="00FF57EB" w:rsidRDefault="00FF57EB" w:rsidP="00FF57EB">
      <w:pPr>
        <w:spacing w:line="360" w:lineRule="auto"/>
        <w:jc w:val="right"/>
        <w:rPr>
          <w:bCs/>
          <w:sz w:val="24"/>
          <w:szCs w:val="24"/>
        </w:rPr>
      </w:pPr>
    </w:p>
    <w:p w14:paraId="6797CF9F" w14:textId="77777777" w:rsidR="002971B2" w:rsidRDefault="00FF57EB" w:rsidP="004B2533">
      <w:pPr>
        <w:tabs>
          <w:tab w:val="left" w:pos="6663"/>
        </w:tabs>
        <w:spacing w:line="360" w:lineRule="auto"/>
        <w:jc w:val="right"/>
        <w:rPr>
          <w:bCs/>
          <w:sz w:val="24"/>
          <w:szCs w:val="24"/>
        </w:rPr>
      </w:pPr>
      <w:proofErr w:type="spellStart"/>
      <w:r>
        <w:rPr>
          <w:bCs/>
          <w:sz w:val="24"/>
          <w:szCs w:val="24"/>
        </w:rPr>
        <w:t>Noberto</w:t>
      </w:r>
      <w:proofErr w:type="spellEnd"/>
      <w:r>
        <w:rPr>
          <w:bCs/>
          <w:sz w:val="24"/>
          <w:szCs w:val="24"/>
        </w:rPr>
        <w:t xml:space="preserve"> Gonzalez Barbosa Rodrigues</w:t>
      </w:r>
      <w:r w:rsidR="006352F9">
        <w:rPr>
          <w:rStyle w:val="Refdenotaderodap"/>
          <w:bCs/>
          <w:sz w:val="24"/>
          <w:szCs w:val="24"/>
        </w:rPr>
        <w:footnoteReference w:id="1"/>
      </w:r>
      <w:r w:rsidR="004B2533">
        <w:rPr>
          <w:bCs/>
          <w:sz w:val="24"/>
          <w:szCs w:val="24"/>
        </w:rPr>
        <w:t xml:space="preserve"> </w:t>
      </w:r>
    </w:p>
    <w:p w14:paraId="4604F787" w14:textId="77777777" w:rsidR="009B1B96" w:rsidRPr="009B1B96" w:rsidRDefault="004B2533" w:rsidP="009B1B96">
      <w:pPr>
        <w:tabs>
          <w:tab w:val="left" w:pos="6663"/>
        </w:tabs>
        <w:spacing w:line="360" w:lineRule="auto"/>
        <w:jc w:val="right"/>
        <w:rPr>
          <w:bCs/>
          <w:sz w:val="24"/>
          <w:szCs w:val="24"/>
          <w:vertAlign w:val="superscript"/>
        </w:rPr>
      </w:pPr>
      <w:r>
        <w:rPr>
          <w:bCs/>
          <w:sz w:val="24"/>
          <w:szCs w:val="24"/>
        </w:rPr>
        <w:t>Pedro Otávio Sampaio Santos</w:t>
      </w:r>
      <w:r w:rsidR="003F4AD2">
        <w:rPr>
          <w:rStyle w:val="Refdenotaderodap"/>
          <w:bCs/>
          <w:sz w:val="24"/>
          <w:szCs w:val="24"/>
        </w:rPr>
        <w:footnoteReference w:id="2"/>
      </w:r>
    </w:p>
    <w:p w14:paraId="4798DE0B" w14:textId="77777777" w:rsidR="002971B2" w:rsidRPr="006A2A95" w:rsidRDefault="002971B2" w:rsidP="002971B2">
      <w:pPr>
        <w:tabs>
          <w:tab w:val="left" w:pos="6663"/>
        </w:tabs>
        <w:spacing w:line="360" w:lineRule="auto"/>
        <w:jc w:val="right"/>
        <w:rPr>
          <w:b/>
          <w:sz w:val="24"/>
          <w:szCs w:val="24"/>
        </w:rPr>
      </w:pPr>
    </w:p>
    <w:p w14:paraId="4E8B2A55" w14:textId="77777777" w:rsidR="004F776F" w:rsidRPr="006A2A95" w:rsidRDefault="00AF75A2" w:rsidP="00540AD9">
      <w:pPr>
        <w:spacing w:line="240" w:lineRule="auto"/>
        <w:ind w:left="2835"/>
        <w:jc w:val="both"/>
        <w:rPr>
          <w:b/>
          <w:sz w:val="20"/>
          <w:szCs w:val="20"/>
        </w:rPr>
      </w:pPr>
      <w:r w:rsidRPr="006A2A95">
        <w:rPr>
          <w:b/>
          <w:sz w:val="20"/>
          <w:szCs w:val="20"/>
        </w:rPr>
        <w:t>RESUMO</w:t>
      </w:r>
    </w:p>
    <w:p w14:paraId="4BE3CCA7" w14:textId="77777777" w:rsidR="001D531A" w:rsidRDefault="0098741B" w:rsidP="00540AD9">
      <w:pPr>
        <w:spacing w:line="240" w:lineRule="auto"/>
        <w:ind w:left="2835"/>
        <w:jc w:val="both"/>
        <w:rPr>
          <w:bCs/>
          <w:sz w:val="20"/>
          <w:szCs w:val="20"/>
        </w:rPr>
      </w:pPr>
      <w:r w:rsidRPr="0098741B">
        <w:rPr>
          <w:bCs/>
          <w:sz w:val="20"/>
          <w:szCs w:val="20"/>
        </w:rPr>
        <w:t xml:space="preserve">O artigo analisa a violência contra os povos indígenas na Amazônia Legal, destacando os impactos da desterritorialização, do avanço econômico ilegal e do racismo estrutural. A pesquisa, de abordagem crítica e quantitativa, baseia-se em dados do IBGE, Inpe, </w:t>
      </w:r>
      <w:proofErr w:type="spellStart"/>
      <w:r w:rsidRPr="0098741B">
        <w:rPr>
          <w:bCs/>
          <w:sz w:val="20"/>
          <w:szCs w:val="20"/>
        </w:rPr>
        <w:t>Cimi</w:t>
      </w:r>
      <w:proofErr w:type="spellEnd"/>
      <w:r w:rsidRPr="0098741B">
        <w:rPr>
          <w:bCs/>
          <w:sz w:val="20"/>
          <w:szCs w:val="20"/>
        </w:rPr>
        <w:t xml:space="preserve"> e Atlas da Violência, além de autores clássicos das ciências sociais. Os resultados evidenciam violações sistemáticas aos direitos indígenas, incluindo altos índices de assassinatos e suicídios, agravados pela morosidade na demarcação das terras. Conclui-se que a proteção efetiva dos territórios indígenas é essencial para assegurar a sobrevivência física e cultural desses povos, sendo um imperativo ético frente à crise ambiental e à justiça social no </w:t>
      </w:r>
      <w:r w:rsidR="001D531A" w:rsidRPr="0098741B">
        <w:rPr>
          <w:bCs/>
          <w:sz w:val="20"/>
          <w:szCs w:val="20"/>
        </w:rPr>
        <w:t>Brasil.</w:t>
      </w:r>
      <w:r w:rsidR="001D531A" w:rsidRPr="00914513">
        <w:rPr>
          <w:bCs/>
          <w:sz w:val="20"/>
          <w:szCs w:val="20"/>
        </w:rPr>
        <w:t xml:space="preserve"> </w:t>
      </w:r>
    </w:p>
    <w:p w14:paraId="7D2F1155" w14:textId="77777777" w:rsidR="004F776F" w:rsidRPr="00914513" w:rsidRDefault="00F40CB7" w:rsidP="00540AD9">
      <w:pPr>
        <w:spacing w:line="240" w:lineRule="auto"/>
        <w:ind w:left="2835"/>
        <w:jc w:val="both"/>
        <w:rPr>
          <w:bCs/>
          <w:sz w:val="20"/>
          <w:szCs w:val="20"/>
          <w:lang w:val="en-US"/>
        </w:rPr>
      </w:pPr>
      <w:r w:rsidRPr="006A2A95">
        <w:rPr>
          <w:b/>
          <w:sz w:val="20"/>
          <w:szCs w:val="20"/>
        </w:rPr>
        <w:t>Palavras-chave:</w:t>
      </w:r>
      <w:r w:rsidRPr="00F40CB7">
        <w:rPr>
          <w:bCs/>
          <w:sz w:val="20"/>
          <w:szCs w:val="20"/>
        </w:rPr>
        <w:t xml:space="preserve"> Amazônia Legal. Povos indígenas. Violência. Desterritorialização.</w:t>
      </w:r>
    </w:p>
    <w:p w14:paraId="11B8F4F3" w14:textId="77777777" w:rsidR="004F776F" w:rsidRPr="00914513" w:rsidRDefault="004F776F" w:rsidP="00540AD9">
      <w:pPr>
        <w:spacing w:line="240" w:lineRule="auto"/>
        <w:ind w:left="2835"/>
        <w:jc w:val="both"/>
        <w:rPr>
          <w:bCs/>
          <w:sz w:val="20"/>
          <w:szCs w:val="20"/>
          <w:lang w:val="en-US"/>
        </w:rPr>
      </w:pPr>
    </w:p>
    <w:p w14:paraId="7F99C68C" w14:textId="77777777" w:rsidR="00AF75A2" w:rsidRPr="006A2A95" w:rsidRDefault="00AF75A2" w:rsidP="00AF75A2">
      <w:pPr>
        <w:spacing w:line="240" w:lineRule="auto"/>
        <w:ind w:left="2835"/>
        <w:jc w:val="both"/>
        <w:rPr>
          <w:b/>
          <w:sz w:val="20"/>
          <w:szCs w:val="20"/>
          <w:lang w:val="en-US"/>
        </w:rPr>
      </w:pPr>
      <w:r w:rsidRPr="006A2A95">
        <w:rPr>
          <w:b/>
          <w:sz w:val="20"/>
          <w:szCs w:val="20"/>
          <w:lang w:val="en-US"/>
        </w:rPr>
        <w:t>ABSTRACT</w:t>
      </w:r>
    </w:p>
    <w:p w14:paraId="4962D282" w14:textId="77777777" w:rsidR="00AF75A2" w:rsidRDefault="00AF75A2" w:rsidP="00AF75A2">
      <w:pPr>
        <w:spacing w:line="240" w:lineRule="auto"/>
        <w:ind w:left="2835"/>
        <w:jc w:val="both"/>
        <w:rPr>
          <w:bCs/>
          <w:sz w:val="20"/>
          <w:szCs w:val="20"/>
          <w:lang w:val="en-US"/>
        </w:rPr>
      </w:pPr>
      <w:r w:rsidRPr="00AF75A2">
        <w:rPr>
          <w:bCs/>
          <w:sz w:val="20"/>
          <w:szCs w:val="20"/>
          <w:lang w:val="en-US"/>
        </w:rPr>
        <w:t>The article analyzes violence against indigenous peoples in the Brazilian Legal Amazon, highlighting the impacts of land dispossession, illegal economic activities, and structural racism. This critical and quantitative study draws on data from IBGE, Inpe, Cimi, and the Atlas of Violence, as well as classical social science authors. Findings reveal systematic violations of indigenous rights, including high rates of homicides and suicides, worsened by delays in land demarcation. It concludes that effective protection of indigenous territories is crucial to ensure their physical and cultural survival, representing an ethical imperative in addressing Brazil’s environmental crisis and achieving social justice.</w:t>
      </w:r>
    </w:p>
    <w:p w14:paraId="6F32A369" w14:textId="77777777" w:rsidR="0018467F" w:rsidRPr="00AF75A2" w:rsidRDefault="00AF75A2" w:rsidP="00AF75A2">
      <w:pPr>
        <w:spacing w:line="240" w:lineRule="auto"/>
        <w:ind w:left="2835"/>
        <w:jc w:val="both"/>
        <w:rPr>
          <w:bCs/>
          <w:sz w:val="20"/>
          <w:szCs w:val="20"/>
          <w:lang w:val="en-US"/>
        </w:rPr>
      </w:pPr>
      <w:r w:rsidRPr="006A2A95">
        <w:rPr>
          <w:b/>
          <w:sz w:val="20"/>
          <w:szCs w:val="20"/>
          <w:lang w:val="en-US"/>
        </w:rPr>
        <w:t>Keywords:</w:t>
      </w:r>
      <w:r w:rsidRPr="00AF75A2">
        <w:rPr>
          <w:bCs/>
          <w:sz w:val="20"/>
          <w:szCs w:val="20"/>
          <w:lang w:val="en-US"/>
        </w:rPr>
        <w:t xml:space="preserve"> Legal Amazon. Indigenous peoples. Violence. Land dispossession. </w:t>
      </w:r>
    </w:p>
    <w:p w14:paraId="04B3D95A" w14:textId="77777777" w:rsidR="007C515C" w:rsidRDefault="007C515C" w:rsidP="00540AD9">
      <w:pPr>
        <w:spacing w:line="360" w:lineRule="auto"/>
        <w:jc w:val="both"/>
        <w:rPr>
          <w:b/>
          <w:sz w:val="24"/>
          <w:szCs w:val="24"/>
        </w:rPr>
      </w:pPr>
    </w:p>
    <w:p w14:paraId="02A5FBE2" w14:textId="77777777" w:rsidR="007C515C" w:rsidRDefault="007C515C" w:rsidP="00540AD9">
      <w:pPr>
        <w:spacing w:line="360" w:lineRule="auto"/>
        <w:jc w:val="both"/>
        <w:rPr>
          <w:b/>
          <w:sz w:val="24"/>
          <w:szCs w:val="24"/>
        </w:rPr>
      </w:pPr>
    </w:p>
    <w:p w14:paraId="34BCCAB2" w14:textId="77777777" w:rsidR="00A421EF" w:rsidRDefault="00A421EF" w:rsidP="00540AD9">
      <w:pPr>
        <w:spacing w:line="360" w:lineRule="auto"/>
        <w:jc w:val="both"/>
        <w:rPr>
          <w:b/>
          <w:sz w:val="24"/>
          <w:szCs w:val="24"/>
        </w:rPr>
      </w:pPr>
    </w:p>
    <w:p w14:paraId="49B8CDFB" w14:textId="77777777" w:rsidR="00A421EF" w:rsidRDefault="00A421EF" w:rsidP="00540AD9">
      <w:pPr>
        <w:spacing w:line="360" w:lineRule="auto"/>
        <w:jc w:val="both"/>
        <w:rPr>
          <w:b/>
          <w:sz w:val="24"/>
          <w:szCs w:val="24"/>
        </w:rPr>
        <w:sectPr w:rsidR="00A421EF" w:rsidSect="004F776F">
          <w:headerReference w:type="default" r:id="rId11"/>
          <w:footnotePr>
            <w:pos w:val="beneathText"/>
          </w:footnotePr>
          <w:pgSz w:w="11909" w:h="16834"/>
          <w:pgMar w:top="1701" w:right="1134" w:bottom="1134" w:left="1701" w:header="3401" w:footer="720" w:gutter="0"/>
          <w:pgNumType w:start="1"/>
          <w:cols w:space="720"/>
          <w:docGrid w:linePitch="299"/>
        </w:sectPr>
      </w:pPr>
    </w:p>
    <w:p w14:paraId="51C2F352" w14:textId="77777777" w:rsidR="007C515C" w:rsidRDefault="007C515C" w:rsidP="00B444DC">
      <w:pPr>
        <w:spacing w:line="240" w:lineRule="auto"/>
        <w:jc w:val="both"/>
        <w:rPr>
          <w:sz w:val="20"/>
          <w:szCs w:val="20"/>
        </w:rPr>
      </w:pPr>
    </w:p>
    <w:p w14:paraId="3EFD6229" w14:textId="77777777" w:rsidR="00B444DC" w:rsidRDefault="00B444DC" w:rsidP="00B444DC">
      <w:pPr>
        <w:spacing w:line="240" w:lineRule="auto"/>
        <w:jc w:val="both"/>
        <w:rPr>
          <w:sz w:val="20"/>
          <w:szCs w:val="20"/>
        </w:rPr>
      </w:pPr>
    </w:p>
    <w:p w14:paraId="19ABA2C7" w14:textId="77777777" w:rsidR="00781514" w:rsidRPr="0063469B" w:rsidRDefault="004A0AD8" w:rsidP="004A0AD8">
      <w:pPr>
        <w:spacing w:line="360" w:lineRule="auto"/>
        <w:jc w:val="both"/>
        <w:rPr>
          <w:b/>
          <w:sz w:val="24"/>
          <w:szCs w:val="24"/>
        </w:rPr>
      </w:pPr>
      <w:r>
        <w:rPr>
          <w:b/>
          <w:sz w:val="24"/>
          <w:szCs w:val="24"/>
        </w:rPr>
        <w:t xml:space="preserve">1. </w:t>
      </w:r>
      <w:r w:rsidR="00781514" w:rsidRPr="0063469B">
        <w:rPr>
          <w:b/>
          <w:sz w:val="24"/>
          <w:szCs w:val="24"/>
        </w:rPr>
        <w:t>INTRODUÇÃO</w:t>
      </w:r>
    </w:p>
    <w:p w14:paraId="689064A3" w14:textId="77777777" w:rsidR="00781514" w:rsidRPr="00914513" w:rsidRDefault="00781514" w:rsidP="005A7409">
      <w:pPr>
        <w:spacing w:line="360" w:lineRule="auto"/>
        <w:ind w:firstLine="709"/>
        <w:jc w:val="both"/>
        <w:rPr>
          <w:bCs/>
          <w:sz w:val="24"/>
          <w:szCs w:val="24"/>
        </w:rPr>
      </w:pPr>
    </w:p>
    <w:p w14:paraId="0671B1D6" w14:textId="77777777" w:rsidR="00781514" w:rsidRPr="00914513" w:rsidRDefault="00781514" w:rsidP="005A7409">
      <w:pPr>
        <w:spacing w:line="360" w:lineRule="auto"/>
        <w:ind w:firstLine="709"/>
        <w:jc w:val="both"/>
        <w:rPr>
          <w:bCs/>
          <w:sz w:val="24"/>
          <w:szCs w:val="24"/>
        </w:rPr>
      </w:pPr>
      <w:r w:rsidRPr="00914513">
        <w:rPr>
          <w:bCs/>
          <w:sz w:val="24"/>
          <w:szCs w:val="24"/>
        </w:rPr>
        <w:t>A violência contra os povos indígenas na Amazônia Legal constitui uma das expressões mais graves e persistentes das desigualdades estruturais e dos conflitos territoriais no Brasil. Embora o discurso oficial reforce o compromisso do Estado com a proteção dos direitos indígenas, a realidade concreta vivenciada por essas populações revela um cenário de violações sistemáticas, marcado pela desterritorialização forçada, pela destruição ambiental, pelo avanço de atividades econômicas ilegais e pelo aprofundamento do racismo estrutural.</w:t>
      </w:r>
    </w:p>
    <w:p w14:paraId="52C01271" w14:textId="77777777" w:rsidR="00781514" w:rsidRPr="00914513" w:rsidRDefault="00781514" w:rsidP="005A7409">
      <w:pPr>
        <w:spacing w:line="360" w:lineRule="auto"/>
        <w:ind w:firstLine="709"/>
        <w:jc w:val="both"/>
        <w:rPr>
          <w:bCs/>
          <w:sz w:val="24"/>
          <w:szCs w:val="24"/>
        </w:rPr>
      </w:pPr>
      <w:r w:rsidRPr="00914513">
        <w:rPr>
          <w:bCs/>
          <w:sz w:val="24"/>
          <w:szCs w:val="24"/>
        </w:rPr>
        <w:t>Para compreender a complexidade dessa violência, é necessário situá-la no contexto histórico e sociológico das relações entre o Estado, o território e os povos indígenas, que, como aponta Darcy Ribeiro</w:t>
      </w:r>
      <w:r w:rsidR="006D052A">
        <w:rPr>
          <w:bCs/>
          <w:sz w:val="24"/>
          <w:szCs w:val="24"/>
        </w:rPr>
        <w:t>,</w:t>
      </w:r>
      <w:r w:rsidR="00C71A6D">
        <w:rPr>
          <w:bCs/>
          <w:sz w:val="24"/>
          <w:szCs w:val="24"/>
        </w:rPr>
        <w:t xml:space="preserve"> </w:t>
      </w:r>
      <w:r w:rsidRPr="00914513">
        <w:rPr>
          <w:bCs/>
          <w:sz w:val="24"/>
          <w:szCs w:val="24"/>
        </w:rPr>
        <w:t>foram tratados historicamente como obstáculos ao avanço da civilização luso-brasileira, eliminados quando resistiram e assimilados quando submeteram-se, sempre vistos como vestígios de um passado a ser superado.</w:t>
      </w:r>
      <w:r w:rsidR="00C71A6D">
        <w:rPr>
          <w:bCs/>
          <w:sz w:val="24"/>
          <w:szCs w:val="24"/>
        </w:rPr>
        <w:t xml:space="preserve"> </w:t>
      </w:r>
      <w:r w:rsidRPr="00914513">
        <w:rPr>
          <w:bCs/>
          <w:sz w:val="24"/>
          <w:szCs w:val="24"/>
        </w:rPr>
        <w:t xml:space="preserve">(RIBEIRO, 1995, </w:t>
      </w:r>
      <w:r w:rsidR="00DF1950">
        <w:rPr>
          <w:bCs/>
          <w:sz w:val="24"/>
          <w:szCs w:val="24"/>
        </w:rPr>
        <w:t xml:space="preserve">cap. 4, </w:t>
      </w:r>
      <w:r w:rsidRPr="00914513">
        <w:rPr>
          <w:bCs/>
          <w:sz w:val="24"/>
          <w:szCs w:val="24"/>
        </w:rPr>
        <w:t xml:space="preserve">p. </w:t>
      </w:r>
      <w:r w:rsidR="00375D76">
        <w:rPr>
          <w:bCs/>
          <w:sz w:val="24"/>
          <w:szCs w:val="24"/>
        </w:rPr>
        <w:t xml:space="preserve">228 - </w:t>
      </w:r>
      <w:r w:rsidRPr="00914513">
        <w:rPr>
          <w:bCs/>
          <w:sz w:val="24"/>
          <w:szCs w:val="24"/>
        </w:rPr>
        <w:t xml:space="preserve">243). </w:t>
      </w:r>
    </w:p>
    <w:p w14:paraId="2D905FA1" w14:textId="77777777" w:rsidR="00781514" w:rsidRPr="00914513" w:rsidRDefault="00781514" w:rsidP="005A7409">
      <w:pPr>
        <w:spacing w:line="360" w:lineRule="auto"/>
        <w:ind w:firstLine="709"/>
        <w:jc w:val="both"/>
        <w:rPr>
          <w:bCs/>
          <w:sz w:val="24"/>
          <w:szCs w:val="24"/>
        </w:rPr>
      </w:pPr>
      <w:r w:rsidRPr="00914513">
        <w:rPr>
          <w:bCs/>
          <w:sz w:val="24"/>
          <w:szCs w:val="24"/>
        </w:rPr>
        <w:t xml:space="preserve">Essa perspectiva é reforçada por autores como Pierre Bourdieu (1989), ao discutir as formas simbólicas de dominação , e por Roger </w:t>
      </w:r>
      <w:proofErr w:type="spellStart"/>
      <w:r w:rsidRPr="00914513">
        <w:rPr>
          <w:bCs/>
          <w:sz w:val="24"/>
          <w:szCs w:val="24"/>
        </w:rPr>
        <w:t>Bastide</w:t>
      </w:r>
      <w:proofErr w:type="spellEnd"/>
      <w:r w:rsidRPr="00914513">
        <w:rPr>
          <w:bCs/>
          <w:sz w:val="24"/>
          <w:szCs w:val="24"/>
        </w:rPr>
        <w:t xml:space="preserve"> (1974), ao analisar os processos de exclusão e estigmatização cultural que atingem populações tradicionalmente marginalizadas.</w:t>
      </w:r>
    </w:p>
    <w:p w14:paraId="16B17084" w14:textId="77777777" w:rsidR="00781514" w:rsidRPr="00914513" w:rsidRDefault="00781514" w:rsidP="005A7409">
      <w:pPr>
        <w:spacing w:line="360" w:lineRule="auto"/>
        <w:ind w:firstLine="709"/>
        <w:jc w:val="both"/>
        <w:rPr>
          <w:bCs/>
          <w:sz w:val="24"/>
          <w:szCs w:val="24"/>
        </w:rPr>
      </w:pPr>
      <w:r w:rsidRPr="00914513">
        <w:rPr>
          <w:bCs/>
          <w:sz w:val="24"/>
          <w:szCs w:val="24"/>
        </w:rPr>
        <w:t>A Amazônia Legal, ao concentrar expressiva parcela da população indígena do país e, simultaneamente, os maiores índices de violência fundiária e ambiental</w:t>
      </w:r>
      <w:r w:rsidRPr="00914513">
        <w:rPr>
          <w:rStyle w:val="Refdenotaderodap"/>
          <w:bCs/>
          <w:sz w:val="24"/>
          <w:szCs w:val="24"/>
        </w:rPr>
        <w:footnoteReference w:id="3"/>
      </w:r>
      <w:r w:rsidRPr="00914513">
        <w:rPr>
          <w:bCs/>
          <w:sz w:val="24"/>
          <w:szCs w:val="24"/>
        </w:rPr>
        <w:t xml:space="preserve">, evidencia a permanência de um modelo desenvolvimentista excludente que, sob o pretexto do progresso, perpetua o </w:t>
      </w:r>
      <w:proofErr w:type="spellStart"/>
      <w:r w:rsidRPr="00914513">
        <w:rPr>
          <w:bCs/>
          <w:sz w:val="24"/>
          <w:szCs w:val="24"/>
        </w:rPr>
        <w:t>etnocídio</w:t>
      </w:r>
      <w:proofErr w:type="spellEnd"/>
      <w:r w:rsidRPr="00914513">
        <w:rPr>
          <w:bCs/>
          <w:sz w:val="24"/>
          <w:szCs w:val="24"/>
        </w:rPr>
        <w:t xml:space="preserve"> e o genocídio cultural desses povos. Como destaca Oliveira (2016), o território indígena não se reduz a uma dimensão geográfica ou econômica, mas representa um espaço vital, de</w:t>
      </w:r>
      <w:r w:rsidR="003404F1" w:rsidRPr="00914513">
        <w:rPr>
          <w:bCs/>
          <w:sz w:val="24"/>
          <w:szCs w:val="24"/>
        </w:rPr>
        <w:t xml:space="preserve"> </w:t>
      </w:r>
      <w:r w:rsidRPr="00914513">
        <w:rPr>
          <w:bCs/>
          <w:sz w:val="24"/>
          <w:szCs w:val="24"/>
        </w:rPr>
        <w:t>reprodução cultural, espiritual e comunitária, sendo sua negação um ataque direto à existência desses grupos.</w:t>
      </w:r>
    </w:p>
    <w:p w14:paraId="3036474E" w14:textId="77777777" w:rsidR="00781514" w:rsidRPr="00914513" w:rsidRDefault="00781514" w:rsidP="005A7409">
      <w:pPr>
        <w:spacing w:line="360" w:lineRule="auto"/>
        <w:ind w:firstLine="709"/>
        <w:jc w:val="both"/>
        <w:rPr>
          <w:bCs/>
          <w:sz w:val="24"/>
          <w:szCs w:val="24"/>
        </w:rPr>
      </w:pPr>
      <w:r>
        <w:rPr>
          <w:bCs/>
          <w:color w:val="000000"/>
          <w:sz w:val="24"/>
          <w:szCs w:val="24"/>
        </w:rPr>
        <w:t xml:space="preserve">Diante dessa realidade, o presente </w:t>
      </w:r>
      <w:r w:rsidR="00C84253">
        <w:rPr>
          <w:bCs/>
          <w:color w:val="000000"/>
          <w:sz w:val="24"/>
          <w:szCs w:val="24"/>
        </w:rPr>
        <w:t>artigo</w:t>
      </w:r>
      <w:r>
        <w:rPr>
          <w:bCs/>
          <w:color w:val="000000"/>
          <w:sz w:val="24"/>
          <w:szCs w:val="24"/>
        </w:rPr>
        <w:t xml:space="preserve"> te</w:t>
      </w:r>
      <w:r w:rsidR="00B8366A">
        <w:rPr>
          <w:bCs/>
          <w:color w:val="000000"/>
          <w:sz w:val="24"/>
          <w:szCs w:val="24"/>
        </w:rPr>
        <w:t>ve</w:t>
      </w:r>
      <w:r>
        <w:rPr>
          <w:bCs/>
          <w:color w:val="000000"/>
          <w:sz w:val="24"/>
          <w:szCs w:val="24"/>
        </w:rPr>
        <w:t xml:space="preserve"> como objetivo </w:t>
      </w:r>
      <w:r w:rsidR="00496035">
        <w:rPr>
          <w:bCs/>
          <w:color w:val="000000"/>
          <w:sz w:val="24"/>
          <w:szCs w:val="24"/>
        </w:rPr>
        <w:t>observar</w:t>
      </w:r>
      <w:r w:rsidRPr="00914513">
        <w:rPr>
          <w:bCs/>
          <w:sz w:val="24"/>
          <w:szCs w:val="24"/>
        </w:rPr>
        <w:t xml:space="preserve"> as múltiplas dimensões da violência contra os povos indígenas na Amazônia Legal,</w:t>
      </w:r>
      <w:r w:rsidR="0072656B">
        <w:rPr>
          <w:bCs/>
          <w:sz w:val="24"/>
          <w:szCs w:val="24"/>
        </w:rPr>
        <w:t xml:space="preserve"> buscando evidenciar</w:t>
      </w:r>
      <w:r w:rsidRPr="00914513">
        <w:rPr>
          <w:bCs/>
          <w:sz w:val="24"/>
          <w:szCs w:val="24"/>
        </w:rPr>
        <w:t xml:space="preserve"> os mecanismos institucionais e sociais que sustentam a negação dos seus direitos e comprometem sua continuidade física, cultural e identitária.</w:t>
      </w:r>
    </w:p>
    <w:p w14:paraId="2D5A3C86" w14:textId="77777777" w:rsidR="004613C4" w:rsidRPr="004613C4" w:rsidRDefault="004613C4" w:rsidP="005A7409">
      <w:pPr>
        <w:spacing w:line="360" w:lineRule="auto"/>
        <w:ind w:firstLine="709"/>
        <w:jc w:val="both"/>
        <w:rPr>
          <w:bCs/>
          <w:sz w:val="24"/>
          <w:szCs w:val="24"/>
        </w:rPr>
      </w:pPr>
      <w:r w:rsidRPr="004613C4">
        <w:rPr>
          <w:bCs/>
          <w:sz w:val="24"/>
          <w:szCs w:val="24"/>
        </w:rPr>
        <w:t>A pesquisa adota uma perspectiva teórico-metodológica crítica, de abordagem quantitativa, ancorada nas ciências sociais e em diálogo com a antropologia e a sociologia. Além da análise bibliográfica de autores como Ribeiro (1995), João Pacheco de Oliveira (2016) e Bourdieu (1989) — sem, contudo, se limitar a esses referenciais — o estudo fundamenta-se em dados e levantamentos disponibilizados por instituições oficiais, como o Instituto Brasileiro de Geografia e Estatística (IBGE, 2022), o Instituto Nacional de Pesquisas Espaciais (Inpe), o Relatório Anual sobre Violência Contra os Povos Indígenas, divulgado pelo Conselho Indigenista Missionário (</w:t>
      </w:r>
      <w:proofErr w:type="spellStart"/>
      <w:r w:rsidRPr="004613C4">
        <w:rPr>
          <w:bCs/>
          <w:sz w:val="24"/>
          <w:szCs w:val="24"/>
        </w:rPr>
        <w:t>Cimi</w:t>
      </w:r>
      <w:proofErr w:type="spellEnd"/>
      <w:r w:rsidRPr="004613C4">
        <w:rPr>
          <w:bCs/>
          <w:sz w:val="24"/>
          <w:szCs w:val="24"/>
        </w:rPr>
        <w:t>, 2023), e o Atlas da Violência (Atlas, 2025).</w:t>
      </w:r>
    </w:p>
    <w:p w14:paraId="79D0BB91" w14:textId="77777777" w:rsidR="00781514" w:rsidRPr="00914513" w:rsidRDefault="004613C4" w:rsidP="005A7409">
      <w:pPr>
        <w:spacing w:line="360" w:lineRule="auto"/>
        <w:ind w:firstLine="709"/>
        <w:jc w:val="both"/>
        <w:rPr>
          <w:bCs/>
          <w:sz w:val="24"/>
          <w:szCs w:val="24"/>
        </w:rPr>
      </w:pPr>
      <w:r w:rsidRPr="004613C4">
        <w:rPr>
          <w:bCs/>
          <w:sz w:val="24"/>
          <w:szCs w:val="24"/>
        </w:rPr>
        <w:t xml:space="preserve">A estrutura do trabalho organiza-se em duas partes principais: na primeira, são apresentados os conceitos fundamentais e os dados gerais que buscam contextualizar e explicar as dinâmicas da violência; na segunda, a análise concentra-se em manifestações específicas da violência, com ênfase nos casos de suicídio e </w:t>
      </w:r>
      <w:r w:rsidR="008B2798" w:rsidRPr="004613C4">
        <w:rPr>
          <w:bCs/>
          <w:sz w:val="24"/>
          <w:szCs w:val="24"/>
        </w:rPr>
        <w:t>assassinato.</w:t>
      </w:r>
      <w:r w:rsidR="008B2798" w:rsidRPr="00914513">
        <w:rPr>
          <w:bCs/>
          <w:sz w:val="24"/>
          <w:szCs w:val="24"/>
        </w:rPr>
        <w:t xml:space="preserve"> Assim</w:t>
      </w:r>
      <w:r w:rsidR="00781514" w:rsidRPr="00914513">
        <w:rPr>
          <w:bCs/>
          <w:sz w:val="24"/>
          <w:szCs w:val="24"/>
        </w:rPr>
        <w:t xml:space="preserve">, ao articular dados quantitativos e qualitativos e ao problematizar a violência institucional, simbólica e estrutural que atinge os povos indígenas da Amazônia Legal, este </w:t>
      </w:r>
      <w:r w:rsidR="00801B04" w:rsidRPr="00914513">
        <w:rPr>
          <w:bCs/>
          <w:sz w:val="24"/>
          <w:szCs w:val="24"/>
        </w:rPr>
        <w:t>artigo</w:t>
      </w:r>
      <w:r w:rsidR="00781514" w:rsidRPr="00914513">
        <w:rPr>
          <w:bCs/>
          <w:sz w:val="24"/>
          <w:szCs w:val="24"/>
        </w:rPr>
        <w:t xml:space="preserve"> pretende contribuir para o debate sociológico e político em torno da efetivação dos direitos territoriais, do enfrentamento do racismo e da construção de políticas públicas que respeitem os saberes, as identidades e os modos de vida originários.</w:t>
      </w:r>
    </w:p>
    <w:p w14:paraId="57B8902D" w14:textId="77777777" w:rsidR="00781514" w:rsidRPr="00914513" w:rsidRDefault="00781514" w:rsidP="005A7409">
      <w:pPr>
        <w:spacing w:line="360" w:lineRule="auto"/>
        <w:ind w:firstLine="709"/>
        <w:jc w:val="both"/>
        <w:rPr>
          <w:bCs/>
          <w:sz w:val="24"/>
          <w:szCs w:val="24"/>
        </w:rPr>
      </w:pPr>
    </w:p>
    <w:p w14:paraId="5E7FFAC4" w14:textId="77777777" w:rsidR="00781514" w:rsidRPr="0063469B" w:rsidRDefault="003756A5" w:rsidP="0084391D">
      <w:pPr>
        <w:spacing w:line="360" w:lineRule="auto"/>
        <w:jc w:val="both"/>
        <w:rPr>
          <w:b/>
          <w:sz w:val="24"/>
          <w:szCs w:val="24"/>
        </w:rPr>
      </w:pPr>
      <w:r>
        <w:rPr>
          <w:b/>
          <w:sz w:val="24"/>
          <w:szCs w:val="24"/>
        </w:rPr>
        <w:t xml:space="preserve">2. </w:t>
      </w:r>
      <w:r w:rsidR="00781514" w:rsidRPr="0063469B">
        <w:rPr>
          <w:b/>
          <w:sz w:val="24"/>
          <w:szCs w:val="24"/>
        </w:rPr>
        <w:t>NA AMAZÔNIA LEGAL</w:t>
      </w:r>
    </w:p>
    <w:p w14:paraId="6EC42B09" w14:textId="77777777" w:rsidR="00781514" w:rsidRPr="00914513" w:rsidRDefault="00781514" w:rsidP="005A7409">
      <w:pPr>
        <w:spacing w:line="360" w:lineRule="auto"/>
        <w:ind w:firstLine="709"/>
        <w:jc w:val="both"/>
        <w:rPr>
          <w:bCs/>
          <w:sz w:val="24"/>
          <w:szCs w:val="24"/>
        </w:rPr>
      </w:pPr>
    </w:p>
    <w:p w14:paraId="76B3DF71" w14:textId="77777777" w:rsidR="00781514" w:rsidRPr="00914513" w:rsidRDefault="00781514" w:rsidP="005A7409">
      <w:pPr>
        <w:spacing w:line="360" w:lineRule="auto"/>
        <w:ind w:firstLine="709"/>
        <w:jc w:val="both"/>
        <w:rPr>
          <w:bCs/>
          <w:sz w:val="24"/>
          <w:szCs w:val="24"/>
        </w:rPr>
      </w:pPr>
      <w:r w:rsidRPr="00914513">
        <w:rPr>
          <w:bCs/>
          <w:sz w:val="24"/>
          <w:szCs w:val="24"/>
        </w:rPr>
        <w:t>Instituída pela Lei nº 1.806, de 1953 (projeto implementado no período da Era Vargas) e atualizada em 1966 e 1977, a Amazônia Legal é uma região administrativa voltada ao planejamento e desenvolvimento da Amazônia brasileira, sob responsabilidade da União e gestão da Superintendência do Desenvolvimento da Amazônia (Sudam)</w:t>
      </w:r>
      <w:r w:rsidR="000E7DBD" w:rsidRPr="00914513">
        <w:rPr>
          <w:rStyle w:val="Refdenotaderodap"/>
          <w:bCs/>
          <w:sz w:val="24"/>
          <w:szCs w:val="24"/>
        </w:rPr>
        <w:footnoteReference w:id="4"/>
      </w:r>
      <w:r w:rsidRPr="00914513">
        <w:rPr>
          <w:bCs/>
          <w:sz w:val="24"/>
          <w:szCs w:val="24"/>
        </w:rPr>
        <w:t>.</w:t>
      </w:r>
      <w:r w:rsidR="0009506A" w:rsidRPr="00914513">
        <w:rPr>
          <w:bCs/>
          <w:sz w:val="24"/>
          <w:szCs w:val="24"/>
        </w:rPr>
        <w:t xml:space="preserve"> Tal região é </w:t>
      </w:r>
      <w:r w:rsidR="007776B4" w:rsidRPr="00914513">
        <w:rPr>
          <w:bCs/>
          <w:sz w:val="24"/>
          <w:szCs w:val="24"/>
        </w:rPr>
        <w:t>c</w:t>
      </w:r>
      <w:r w:rsidRPr="00914513">
        <w:rPr>
          <w:bCs/>
          <w:sz w:val="24"/>
          <w:szCs w:val="24"/>
        </w:rPr>
        <w:t>omposta por 772 municípios distribuídos em nove estados, abrangendo cerca de 59% do território nacional.</w:t>
      </w:r>
      <w:r w:rsidR="00E00393" w:rsidRPr="00914513">
        <w:rPr>
          <w:bCs/>
          <w:sz w:val="24"/>
          <w:szCs w:val="24"/>
        </w:rPr>
        <w:t xml:space="preserve"> </w:t>
      </w:r>
      <w:r w:rsidRPr="00914513">
        <w:rPr>
          <w:bCs/>
          <w:sz w:val="24"/>
          <w:szCs w:val="24"/>
        </w:rPr>
        <w:t>É nesse vasto território que se revela o paradoxo central analisado por este trabalho: a Amazônia Legal abriga uma expressiva parte da população indígena brasileira e, ao mesmo tempo, concentra as expressões mais graves da violência institucional, cultural e ambiental contra esses povos. Conforme destaca Pierre Bourdieu (1989)</w:t>
      </w:r>
      <w:r w:rsidR="002B4268" w:rsidRPr="00914513">
        <w:rPr>
          <w:bCs/>
          <w:sz w:val="24"/>
          <w:szCs w:val="24"/>
        </w:rPr>
        <w:t xml:space="preserve">, em sua obra </w:t>
      </w:r>
      <w:r w:rsidR="002B4268" w:rsidRPr="00914513">
        <w:rPr>
          <w:bCs/>
          <w:i/>
          <w:iCs/>
          <w:sz w:val="24"/>
          <w:szCs w:val="24"/>
        </w:rPr>
        <w:t>“o poder simbólico”</w:t>
      </w:r>
      <w:r w:rsidRPr="00914513">
        <w:rPr>
          <w:bCs/>
          <w:sz w:val="24"/>
          <w:szCs w:val="24"/>
        </w:rPr>
        <w:t>, as estruturas simbólicas e institucionais historicamente construídas tendem a naturalizar desigualdades e formas de dominação, o que ajuda a compreender a persistência das violações aos direitos indígenas nesta região.</w:t>
      </w:r>
    </w:p>
    <w:p w14:paraId="6D8FF6E5" w14:textId="77777777" w:rsidR="00781514" w:rsidRPr="00914513" w:rsidRDefault="00781514" w:rsidP="005A7409">
      <w:pPr>
        <w:spacing w:line="360" w:lineRule="auto"/>
        <w:ind w:firstLine="709"/>
        <w:jc w:val="both"/>
        <w:rPr>
          <w:bCs/>
          <w:sz w:val="24"/>
          <w:szCs w:val="24"/>
        </w:rPr>
      </w:pPr>
      <w:r w:rsidRPr="00914513">
        <w:rPr>
          <w:bCs/>
          <w:sz w:val="24"/>
          <w:szCs w:val="24"/>
        </w:rPr>
        <w:t>Nela, segundo dados coletados</w:t>
      </w:r>
      <w:r w:rsidR="007F0B91" w:rsidRPr="00914513">
        <w:rPr>
          <w:bCs/>
          <w:sz w:val="24"/>
          <w:szCs w:val="24"/>
        </w:rPr>
        <w:t xml:space="preserve"> e comparados</w:t>
      </w:r>
      <w:r w:rsidR="008B2AF9" w:rsidRPr="00914513">
        <w:rPr>
          <w:bCs/>
          <w:sz w:val="24"/>
          <w:szCs w:val="24"/>
        </w:rPr>
        <w:t xml:space="preserve"> através dos censos realizados</w:t>
      </w:r>
      <w:r w:rsidRPr="00914513">
        <w:rPr>
          <w:bCs/>
          <w:sz w:val="24"/>
          <w:szCs w:val="24"/>
        </w:rPr>
        <w:t xml:space="preserve"> pelo Instituto Brasileiro de Geografia e Estatística, </w:t>
      </w:r>
      <w:r w:rsidR="00E5413A" w:rsidRPr="00914513">
        <w:rPr>
          <w:bCs/>
          <w:sz w:val="24"/>
          <w:szCs w:val="24"/>
        </w:rPr>
        <w:t xml:space="preserve">é possível </w:t>
      </w:r>
      <w:r w:rsidR="00364600" w:rsidRPr="00914513">
        <w:rPr>
          <w:bCs/>
          <w:sz w:val="24"/>
          <w:szCs w:val="24"/>
        </w:rPr>
        <w:t>verificar que a</w:t>
      </w:r>
      <w:r w:rsidRPr="00914513">
        <w:rPr>
          <w:bCs/>
          <w:sz w:val="24"/>
          <w:szCs w:val="24"/>
        </w:rPr>
        <w:t xml:space="preserve"> população indígena passou de 383.683 indivíduos em 2010 para 867.917 em 2022</w:t>
      </w:r>
      <w:r w:rsidR="0071720B" w:rsidRPr="00914513">
        <w:rPr>
          <w:rStyle w:val="Refdenotaderodap"/>
          <w:bCs/>
          <w:sz w:val="24"/>
          <w:szCs w:val="24"/>
        </w:rPr>
        <w:footnoteReference w:id="5"/>
      </w:r>
      <w:r w:rsidRPr="00914513">
        <w:rPr>
          <w:bCs/>
          <w:sz w:val="24"/>
          <w:szCs w:val="24"/>
        </w:rPr>
        <w:t xml:space="preserve">, contanto com um aumento de 126,2% no período de 12 anos. Como apontado por Marta Antunes, coordenadora do Censo de Povos e Comunidades Tradicionais do IBGE, esse expressivo aumento não se deve exclusivamente a fatores demográficos naturais ou a movimentos migratórios entre áreas urbanas e rurais. Parte desse crescimento está diretamente relacionada aos aprimoramentos metodológicos implementados no Censo de 2022, que possibilitaram uma identificação mais precisa e abrangente da população indígena. Dentre essas inovações, destaca-se a ampliação da aplicação da pergunta "Você se considera indígena?" para além dos limites das Terras Indígenas oficialmente demarcadas, permitindo dar visibilidade a segmentos historicamente </w:t>
      </w:r>
      <w:proofErr w:type="spellStart"/>
      <w:r w:rsidRPr="00914513">
        <w:rPr>
          <w:bCs/>
          <w:sz w:val="24"/>
          <w:szCs w:val="24"/>
        </w:rPr>
        <w:t>invisibilizados</w:t>
      </w:r>
      <w:proofErr w:type="spellEnd"/>
      <w:r w:rsidRPr="00914513">
        <w:rPr>
          <w:bCs/>
          <w:sz w:val="24"/>
          <w:szCs w:val="24"/>
        </w:rPr>
        <w:t xml:space="preserve"> da população indígena que vivem em áreas urbanas ou em contextos territoriais não regularizados.</w:t>
      </w:r>
    </w:p>
    <w:p w14:paraId="46FFB157" w14:textId="77777777" w:rsidR="00781514" w:rsidRPr="00914513" w:rsidRDefault="00781514" w:rsidP="005A7409">
      <w:pPr>
        <w:spacing w:line="360" w:lineRule="auto"/>
        <w:ind w:firstLine="709"/>
        <w:jc w:val="both"/>
        <w:rPr>
          <w:bCs/>
          <w:sz w:val="24"/>
          <w:szCs w:val="24"/>
        </w:rPr>
      </w:pPr>
      <w:r w:rsidRPr="00914513">
        <w:rPr>
          <w:bCs/>
          <w:sz w:val="24"/>
          <w:szCs w:val="24"/>
        </w:rPr>
        <w:t>Esse movimento também pode ser interpretado à luz do conceito de "</w:t>
      </w:r>
      <w:proofErr w:type="spellStart"/>
      <w:r w:rsidRPr="00914513">
        <w:rPr>
          <w:bCs/>
          <w:sz w:val="24"/>
          <w:szCs w:val="24"/>
        </w:rPr>
        <w:t>etnogênese</w:t>
      </w:r>
      <w:proofErr w:type="spellEnd"/>
      <w:r w:rsidRPr="00914513">
        <w:rPr>
          <w:bCs/>
          <w:sz w:val="24"/>
          <w:szCs w:val="24"/>
        </w:rPr>
        <w:t>"</w:t>
      </w:r>
      <w:r w:rsidR="009C1E05" w:rsidRPr="00914513">
        <w:rPr>
          <w:rStyle w:val="Refdenotaderodap"/>
          <w:bCs/>
          <w:sz w:val="24"/>
          <w:szCs w:val="24"/>
        </w:rPr>
        <w:footnoteReference w:id="6"/>
      </w:r>
      <w:r w:rsidRPr="00914513">
        <w:rPr>
          <w:bCs/>
          <w:sz w:val="24"/>
          <w:szCs w:val="24"/>
        </w:rPr>
        <w:t xml:space="preserve">, discutido por João Pacheco de Oliveira (2016), no qual a reafirmação identitária dos povos indígenas se apresenta como estratégia de resistência frente a séculos de </w:t>
      </w:r>
      <w:proofErr w:type="spellStart"/>
      <w:r w:rsidRPr="00914513">
        <w:rPr>
          <w:bCs/>
          <w:sz w:val="24"/>
          <w:szCs w:val="24"/>
        </w:rPr>
        <w:t>invisibilização</w:t>
      </w:r>
      <w:proofErr w:type="spellEnd"/>
      <w:r w:rsidRPr="00914513">
        <w:rPr>
          <w:bCs/>
          <w:sz w:val="24"/>
          <w:szCs w:val="24"/>
        </w:rPr>
        <w:t xml:space="preserve"> e exclusão.</w:t>
      </w:r>
    </w:p>
    <w:p w14:paraId="5A434413" w14:textId="77777777" w:rsidR="00781514" w:rsidRPr="00914513" w:rsidRDefault="00781514" w:rsidP="005A7409">
      <w:pPr>
        <w:spacing w:line="360" w:lineRule="auto"/>
        <w:ind w:firstLine="709"/>
        <w:jc w:val="both"/>
        <w:rPr>
          <w:bCs/>
          <w:sz w:val="24"/>
          <w:szCs w:val="24"/>
        </w:rPr>
      </w:pPr>
    </w:p>
    <w:p w14:paraId="61977533" w14:textId="77777777" w:rsidR="00781514" w:rsidRPr="0063469B" w:rsidRDefault="003756A5" w:rsidP="003756A5">
      <w:pPr>
        <w:spacing w:line="360" w:lineRule="auto"/>
        <w:jc w:val="both"/>
        <w:rPr>
          <w:b/>
          <w:sz w:val="24"/>
          <w:szCs w:val="24"/>
        </w:rPr>
      </w:pPr>
      <w:r>
        <w:rPr>
          <w:b/>
          <w:sz w:val="24"/>
          <w:szCs w:val="24"/>
        </w:rPr>
        <w:t>2.1 T</w:t>
      </w:r>
      <w:r w:rsidRPr="0063469B">
        <w:rPr>
          <w:b/>
          <w:sz w:val="24"/>
          <w:szCs w:val="24"/>
        </w:rPr>
        <w:t>erritório e violência</w:t>
      </w:r>
    </w:p>
    <w:p w14:paraId="0A781FBD" w14:textId="77777777" w:rsidR="00781514" w:rsidRPr="00914513" w:rsidRDefault="00781514" w:rsidP="005A7409">
      <w:pPr>
        <w:spacing w:line="360" w:lineRule="auto"/>
        <w:ind w:firstLine="709"/>
        <w:jc w:val="both"/>
        <w:rPr>
          <w:bCs/>
          <w:sz w:val="24"/>
          <w:szCs w:val="24"/>
        </w:rPr>
      </w:pPr>
    </w:p>
    <w:p w14:paraId="3D6652F4" w14:textId="77777777" w:rsidR="00781514" w:rsidRPr="00914513" w:rsidRDefault="00781514" w:rsidP="005A7409">
      <w:pPr>
        <w:spacing w:line="360" w:lineRule="auto"/>
        <w:ind w:firstLine="709"/>
        <w:jc w:val="both"/>
        <w:rPr>
          <w:bCs/>
          <w:sz w:val="24"/>
          <w:szCs w:val="24"/>
        </w:rPr>
      </w:pPr>
      <w:r w:rsidRPr="00914513">
        <w:rPr>
          <w:bCs/>
          <w:sz w:val="24"/>
          <w:szCs w:val="24"/>
        </w:rPr>
        <w:t xml:space="preserve">Falar de território para os povos indígenas não é falar de mera mercadoria ou propriedade individual, mas sim da terra como um espaço vital e coletivo, onde se estabelecem relações simbióticas entre seres humanos, natureza e cosmos, fundamentais para a reprodução de saberes ancestrais e da identidade cultural. É no território tradicional que se </w:t>
      </w:r>
      <w:r w:rsidR="00E6640F" w:rsidRPr="00914513">
        <w:rPr>
          <w:bCs/>
          <w:sz w:val="24"/>
          <w:szCs w:val="24"/>
        </w:rPr>
        <w:t>transmite</w:t>
      </w:r>
      <w:r w:rsidRPr="00914513">
        <w:rPr>
          <w:bCs/>
          <w:sz w:val="24"/>
          <w:szCs w:val="24"/>
        </w:rPr>
        <w:t xml:space="preserve"> conhecimentos sobre o manejo ambiental, as práticas de subsistência e os valores cosmológicos que estruturam a existência indígena.</w:t>
      </w:r>
    </w:p>
    <w:p w14:paraId="19892473" w14:textId="77777777" w:rsidR="00781514" w:rsidRPr="00914513" w:rsidRDefault="00781514" w:rsidP="005A7409">
      <w:pPr>
        <w:spacing w:line="360" w:lineRule="auto"/>
        <w:ind w:firstLine="709"/>
        <w:jc w:val="both"/>
        <w:rPr>
          <w:bCs/>
          <w:sz w:val="24"/>
          <w:szCs w:val="24"/>
        </w:rPr>
      </w:pPr>
      <w:r w:rsidRPr="00914513">
        <w:rPr>
          <w:bCs/>
          <w:sz w:val="24"/>
          <w:szCs w:val="24"/>
        </w:rPr>
        <w:t>Essa visão dialoga com as contribuições de autores como Claude Lévi-Strauss (2008), para quem os povos indígenas detêm um conhecimento profundo das relações simbióticas entre sociedade e meio ambiente, rompendo com a lógica ocidental de exploração e dominação da natureza.</w:t>
      </w:r>
    </w:p>
    <w:p w14:paraId="3D480008" w14:textId="77777777" w:rsidR="00781514" w:rsidRPr="00914513" w:rsidRDefault="00781514" w:rsidP="005A7409">
      <w:pPr>
        <w:spacing w:line="360" w:lineRule="auto"/>
        <w:ind w:firstLine="709"/>
        <w:jc w:val="both"/>
        <w:rPr>
          <w:bCs/>
          <w:sz w:val="24"/>
          <w:szCs w:val="24"/>
        </w:rPr>
      </w:pPr>
      <w:r w:rsidRPr="00914513">
        <w:rPr>
          <w:bCs/>
          <w:sz w:val="24"/>
          <w:szCs w:val="24"/>
        </w:rPr>
        <w:t>A desterritorialização, resultante de um processo de violência histórica, da demora na demarcação de terras e das invasões impulsionadas por interesses econômicos, rompe esse ciclo de transmissão intergeracional, condenando gerações a crescerem afastadas de suas referências culturais e espirituais.</w:t>
      </w:r>
    </w:p>
    <w:p w14:paraId="0E360BD9" w14:textId="77777777" w:rsidR="00781514" w:rsidRPr="00914513" w:rsidRDefault="00781514" w:rsidP="005A7409">
      <w:pPr>
        <w:spacing w:line="360" w:lineRule="auto"/>
        <w:ind w:firstLine="709"/>
        <w:jc w:val="both"/>
        <w:rPr>
          <w:bCs/>
          <w:sz w:val="24"/>
          <w:szCs w:val="24"/>
        </w:rPr>
      </w:pPr>
      <w:r w:rsidRPr="00914513">
        <w:rPr>
          <w:bCs/>
          <w:sz w:val="24"/>
          <w:szCs w:val="24"/>
        </w:rPr>
        <w:t>A morosidade e a omissão do Estado brasileiro no processo de demarcação e proteção das Terras Indígenas (</w:t>
      </w:r>
      <w:proofErr w:type="spellStart"/>
      <w:r w:rsidRPr="00914513">
        <w:rPr>
          <w:bCs/>
          <w:sz w:val="24"/>
          <w:szCs w:val="24"/>
        </w:rPr>
        <w:t>TIs</w:t>
      </w:r>
      <w:proofErr w:type="spellEnd"/>
      <w:r w:rsidRPr="00914513">
        <w:rPr>
          <w:bCs/>
          <w:sz w:val="24"/>
          <w:szCs w:val="24"/>
        </w:rPr>
        <w:t>) configuram-se como uma das principais formas de violência institucional praticadas contra os povos indígenas, afetando diretamente seus direitos territoriais, sua autonomia e seus modos tradicionais de vida.</w:t>
      </w:r>
      <w:r w:rsidR="002E4E5A" w:rsidRPr="00914513">
        <w:rPr>
          <w:bCs/>
          <w:sz w:val="24"/>
          <w:szCs w:val="24"/>
        </w:rPr>
        <w:t xml:space="preserve"> </w:t>
      </w:r>
      <w:r w:rsidRPr="00914513">
        <w:rPr>
          <w:bCs/>
          <w:sz w:val="24"/>
          <w:szCs w:val="24"/>
        </w:rPr>
        <w:t xml:space="preserve">A negligência estatal revela, como afirma Michel Foucault (1999), os mecanismos de </w:t>
      </w:r>
      <w:proofErr w:type="spellStart"/>
      <w:r w:rsidRPr="00914513">
        <w:rPr>
          <w:bCs/>
          <w:sz w:val="24"/>
          <w:szCs w:val="24"/>
        </w:rPr>
        <w:t>biopoder</w:t>
      </w:r>
      <w:proofErr w:type="spellEnd"/>
      <w:r w:rsidRPr="00914513">
        <w:rPr>
          <w:bCs/>
          <w:sz w:val="24"/>
          <w:szCs w:val="24"/>
        </w:rPr>
        <w:t xml:space="preserve"> e de gestão seletiva das populações, nos quais grupos considerados "obstáculos" ao projeto econômico hegemônico são alvos de políticas de exclusão ou violência.</w:t>
      </w:r>
    </w:p>
    <w:p w14:paraId="4A714E9C" w14:textId="77777777" w:rsidR="004B754C" w:rsidRPr="00914513" w:rsidRDefault="00781514" w:rsidP="005A7409">
      <w:pPr>
        <w:spacing w:line="360" w:lineRule="auto"/>
        <w:ind w:firstLine="709"/>
        <w:jc w:val="both"/>
        <w:rPr>
          <w:bCs/>
          <w:sz w:val="24"/>
          <w:szCs w:val="24"/>
        </w:rPr>
      </w:pPr>
      <w:r w:rsidRPr="00914513">
        <w:rPr>
          <w:bCs/>
          <w:sz w:val="24"/>
          <w:szCs w:val="24"/>
        </w:rPr>
        <w:t>A ausência de reconhecimento e proteção dessas áreas facilita o avanço do desmatamento, da grilagem, do garimpo ilegal e de outras atividades predatórias, comprometendo a reprodução física e cultural dessas populações. Apesar dos compromissos assumidos pelo atual governo federal, como a criação do Ministério dos Povos Indígenas e a indicação de lideranças indígenas para cargos estratégicos, os avanços concretos em 2023 foram tímidos e aquém das expectativas</w:t>
      </w:r>
      <w:r w:rsidR="000338E8" w:rsidRPr="00914513">
        <w:rPr>
          <w:rStyle w:val="Refdenotaderodap"/>
          <w:bCs/>
          <w:sz w:val="24"/>
          <w:szCs w:val="24"/>
        </w:rPr>
        <w:footnoteReference w:id="7"/>
      </w:r>
      <w:r w:rsidRPr="00914513">
        <w:rPr>
          <w:bCs/>
          <w:sz w:val="24"/>
          <w:szCs w:val="24"/>
        </w:rPr>
        <w:t>. Dados divulgados pelo último relatório do Conselho Indigenista Missionário (</w:t>
      </w:r>
      <w:proofErr w:type="spellStart"/>
      <w:r w:rsidRPr="00914513">
        <w:rPr>
          <w:bCs/>
          <w:sz w:val="24"/>
          <w:szCs w:val="24"/>
        </w:rPr>
        <w:t>Cimi</w:t>
      </w:r>
      <w:proofErr w:type="spellEnd"/>
      <w:r w:rsidRPr="00914513">
        <w:rPr>
          <w:bCs/>
          <w:sz w:val="24"/>
          <w:szCs w:val="24"/>
        </w:rPr>
        <w:t>, 2023, p.43) revelaram a gravidade da situação: de 1.381 terras indígenas com alguma pendência no Brasil, apenas 432 (31,3%) tiveram o processo de demarcação finalizado (registradas), enquanto 563 (40,8%) permanecem sem qualquer providência administrativa.</w:t>
      </w:r>
      <w:r w:rsidR="00497508" w:rsidRPr="00914513">
        <w:rPr>
          <w:bCs/>
          <w:sz w:val="24"/>
          <w:szCs w:val="24"/>
        </w:rPr>
        <w:t xml:space="preserve"> </w:t>
      </w:r>
      <w:r w:rsidR="00376A81" w:rsidRPr="00914513">
        <w:rPr>
          <w:bCs/>
          <w:sz w:val="24"/>
          <w:szCs w:val="24"/>
        </w:rPr>
        <w:t>Das 563</w:t>
      </w:r>
      <w:r w:rsidR="00016A4C" w:rsidRPr="00914513">
        <w:rPr>
          <w:bCs/>
          <w:sz w:val="24"/>
          <w:szCs w:val="24"/>
        </w:rPr>
        <w:t xml:space="preserve"> </w:t>
      </w:r>
      <w:r w:rsidR="000D5311" w:rsidRPr="00914513">
        <w:rPr>
          <w:bCs/>
          <w:sz w:val="24"/>
          <w:szCs w:val="24"/>
        </w:rPr>
        <w:t>terras sem qu</w:t>
      </w:r>
      <w:r w:rsidR="00E45882" w:rsidRPr="00914513">
        <w:rPr>
          <w:bCs/>
          <w:sz w:val="24"/>
          <w:szCs w:val="24"/>
        </w:rPr>
        <w:t>alquer provid</w:t>
      </w:r>
      <w:r w:rsidR="0006498B" w:rsidRPr="00914513">
        <w:rPr>
          <w:bCs/>
          <w:sz w:val="24"/>
          <w:szCs w:val="24"/>
        </w:rPr>
        <w:t>ê</w:t>
      </w:r>
      <w:r w:rsidR="00E45882" w:rsidRPr="00914513">
        <w:rPr>
          <w:bCs/>
          <w:sz w:val="24"/>
          <w:szCs w:val="24"/>
        </w:rPr>
        <w:t xml:space="preserve">ncia administrativa, </w:t>
      </w:r>
      <w:r w:rsidR="00E3547A" w:rsidRPr="00914513">
        <w:rPr>
          <w:bCs/>
          <w:sz w:val="24"/>
          <w:szCs w:val="24"/>
        </w:rPr>
        <w:t xml:space="preserve">aproximadamente </w:t>
      </w:r>
      <w:r w:rsidR="00E45882" w:rsidRPr="00914513">
        <w:rPr>
          <w:bCs/>
          <w:sz w:val="24"/>
          <w:szCs w:val="24"/>
        </w:rPr>
        <w:t>4</w:t>
      </w:r>
      <w:r w:rsidR="0081674C" w:rsidRPr="00914513">
        <w:rPr>
          <w:bCs/>
          <w:sz w:val="24"/>
          <w:szCs w:val="24"/>
        </w:rPr>
        <w:t>8</w:t>
      </w:r>
      <w:r w:rsidR="006155D7" w:rsidRPr="00914513">
        <w:rPr>
          <w:bCs/>
          <w:sz w:val="24"/>
          <w:szCs w:val="24"/>
        </w:rPr>
        <w:t>%</w:t>
      </w:r>
      <w:r w:rsidR="00A70176" w:rsidRPr="00914513">
        <w:rPr>
          <w:bCs/>
          <w:sz w:val="24"/>
          <w:szCs w:val="24"/>
        </w:rPr>
        <w:t xml:space="preserve"> </w:t>
      </w:r>
      <w:r w:rsidR="000C45E0" w:rsidRPr="00914513">
        <w:rPr>
          <w:bCs/>
          <w:sz w:val="24"/>
          <w:szCs w:val="24"/>
        </w:rPr>
        <w:t xml:space="preserve">estão dentro </w:t>
      </w:r>
      <w:r w:rsidR="0006498B" w:rsidRPr="00914513">
        <w:rPr>
          <w:bCs/>
          <w:sz w:val="24"/>
          <w:szCs w:val="24"/>
        </w:rPr>
        <w:t>da Amazônia Legal</w:t>
      </w:r>
      <w:r w:rsidR="005A1543" w:rsidRPr="00914513">
        <w:rPr>
          <w:bCs/>
          <w:sz w:val="24"/>
          <w:szCs w:val="24"/>
        </w:rPr>
        <w:t>, além de</w:t>
      </w:r>
      <w:r w:rsidR="00934C72" w:rsidRPr="00914513">
        <w:rPr>
          <w:bCs/>
          <w:sz w:val="24"/>
          <w:szCs w:val="24"/>
        </w:rPr>
        <w:t xml:space="preserve"> contar com a</w:t>
      </w:r>
      <w:r w:rsidRPr="00914513">
        <w:rPr>
          <w:bCs/>
          <w:sz w:val="24"/>
          <w:szCs w:val="24"/>
        </w:rPr>
        <w:t>penas 4 das 13 terras homologadas em 2023, revelando o contraste entre a promessa política e a lentidão prática.</w:t>
      </w:r>
      <w:r w:rsidR="00D92956" w:rsidRPr="00914513">
        <w:rPr>
          <w:bCs/>
          <w:sz w:val="24"/>
          <w:szCs w:val="24"/>
        </w:rPr>
        <w:t xml:space="preserve"> </w:t>
      </w:r>
    </w:p>
    <w:p w14:paraId="77E19B26" w14:textId="77777777" w:rsidR="00781514" w:rsidRPr="00914513" w:rsidRDefault="00781514" w:rsidP="005A7409">
      <w:pPr>
        <w:spacing w:line="360" w:lineRule="auto"/>
        <w:ind w:firstLine="709"/>
        <w:jc w:val="both"/>
        <w:rPr>
          <w:bCs/>
          <w:sz w:val="24"/>
          <w:szCs w:val="24"/>
        </w:rPr>
      </w:pPr>
      <w:r w:rsidRPr="00914513">
        <w:rPr>
          <w:bCs/>
          <w:sz w:val="24"/>
          <w:szCs w:val="24"/>
        </w:rPr>
        <w:t xml:space="preserve">Além disso, os conflitos fundiários e a exploração ilegal dos recursos naturais seguiram se intensificando, o que se refletiu nos 1.276 casos de violência registrados contra o patrimônio indígena em 2023, dos quais 850 correspondem justamente à omissão e à lentidão no processo de regularização fundiária, conforme aponta o </w:t>
      </w:r>
      <w:r w:rsidR="00C61A1D" w:rsidRPr="00914513">
        <w:rPr>
          <w:bCs/>
          <w:sz w:val="24"/>
          <w:szCs w:val="24"/>
        </w:rPr>
        <w:t xml:space="preserve">mesmo </w:t>
      </w:r>
      <w:r w:rsidRPr="00914513">
        <w:rPr>
          <w:bCs/>
          <w:sz w:val="24"/>
          <w:szCs w:val="24"/>
        </w:rPr>
        <w:t>relatório</w:t>
      </w:r>
      <w:r w:rsidR="0084778B" w:rsidRPr="00914513">
        <w:rPr>
          <w:bCs/>
          <w:sz w:val="24"/>
          <w:szCs w:val="24"/>
        </w:rPr>
        <w:t xml:space="preserve"> (</w:t>
      </w:r>
      <w:proofErr w:type="spellStart"/>
      <w:r w:rsidR="0084778B" w:rsidRPr="00914513">
        <w:rPr>
          <w:bCs/>
          <w:sz w:val="24"/>
          <w:szCs w:val="24"/>
        </w:rPr>
        <w:t>Cimi</w:t>
      </w:r>
      <w:proofErr w:type="spellEnd"/>
      <w:r w:rsidR="00497508" w:rsidRPr="00914513">
        <w:rPr>
          <w:bCs/>
          <w:sz w:val="24"/>
          <w:szCs w:val="24"/>
        </w:rPr>
        <w:t>,</w:t>
      </w:r>
      <w:r w:rsidR="0084778B" w:rsidRPr="00914513">
        <w:rPr>
          <w:bCs/>
          <w:sz w:val="24"/>
          <w:szCs w:val="24"/>
        </w:rPr>
        <w:t xml:space="preserve"> 2023, p.</w:t>
      </w:r>
      <w:r w:rsidR="008C67F0" w:rsidRPr="00914513">
        <w:rPr>
          <w:bCs/>
          <w:sz w:val="24"/>
          <w:szCs w:val="24"/>
        </w:rPr>
        <w:t>8</w:t>
      </w:r>
      <w:r w:rsidR="00CF09E2" w:rsidRPr="00914513">
        <w:rPr>
          <w:bCs/>
          <w:sz w:val="24"/>
          <w:szCs w:val="24"/>
        </w:rPr>
        <w:t>)</w:t>
      </w:r>
      <w:r w:rsidRPr="00914513">
        <w:rPr>
          <w:bCs/>
          <w:sz w:val="24"/>
          <w:szCs w:val="24"/>
        </w:rPr>
        <w:t>.</w:t>
      </w:r>
    </w:p>
    <w:p w14:paraId="2509F0E6" w14:textId="77777777" w:rsidR="00781514" w:rsidRPr="00914513" w:rsidRDefault="00781514" w:rsidP="005A7409">
      <w:pPr>
        <w:spacing w:line="360" w:lineRule="auto"/>
        <w:ind w:firstLine="709"/>
        <w:jc w:val="both"/>
        <w:rPr>
          <w:bCs/>
          <w:sz w:val="24"/>
          <w:szCs w:val="24"/>
        </w:rPr>
      </w:pPr>
      <w:r w:rsidRPr="00914513">
        <w:rPr>
          <w:bCs/>
          <w:sz w:val="24"/>
          <w:szCs w:val="24"/>
        </w:rPr>
        <w:t>O avanço de atividades ilegais como o desmatamento, o garimpo, a extração predatória de recursos naturais e a grilagem tem gerado graves prejuízos às Terras Indígenas e às suas populações tradicionais, comprometendo sua autonomia, seus modos de vida e sua sobrevivência. Grandes projetos de infraestrutura, como a pavimentação da BR-319 entre Manaus e Porto Velho, agravaram ainda mais essa situação ao facilitar o acesso de madeireiros, grileiros e caçadores a</w:t>
      </w:r>
      <w:r w:rsidR="0020462D" w:rsidRPr="00914513">
        <w:rPr>
          <w:bCs/>
          <w:sz w:val="24"/>
          <w:szCs w:val="24"/>
        </w:rPr>
        <w:t xml:space="preserve"> seus</w:t>
      </w:r>
      <w:r w:rsidRPr="00914513">
        <w:rPr>
          <w:bCs/>
          <w:sz w:val="24"/>
          <w:szCs w:val="24"/>
        </w:rPr>
        <w:t xml:space="preserve"> territórios</w:t>
      </w:r>
      <w:r w:rsidR="006C474F" w:rsidRPr="00914513">
        <w:rPr>
          <w:bCs/>
          <w:sz w:val="24"/>
          <w:szCs w:val="24"/>
        </w:rPr>
        <w:t xml:space="preserve">. Sendo essa </w:t>
      </w:r>
      <w:r w:rsidRPr="00914513">
        <w:rPr>
          <w:bCs/>
          <w:sz w:val="24"/>
          <w:szCs w:val="24"/>
        </w:rPr>
        <w:t>imposição de projetos desenvolvimentistas uma</w:t>
      </w:r>
      <w:r w:rsidR="006C474F" w:rsidRPr="00914513">
        <w:rPr>
          <w:bCs/>
          <w:sz w:val="24"/>
          <w:szCs w:val="24"/>
        </w:rPr>
        <w:t xml:space="preserve"> verdadeira</w:t>
      </w:r>
      <w:r w:rsidRPr="00914513">
        <w:rPr>
          <w:bCs/>
          <w:sz w:val="24"/>
          <w:szCs w:val="24"/>
        </w:rPr>
        <w:t xml:space="preserve"> forma contemporânea de colonialismo, que reduz os territórios tradicionais à lógica do mercado e ignora as cosmologias indígenas</w:t>
      </w:r>
      <w:r w:rsidR="0071538B" w:rsidRPr="00914513">
        <w:rPr>
          <w:rStyle w:val="Refdenotaderodap"/>
          <w:bCs/>
          <w:sz w:val="24"/>
          <w:szCs w:val="24"/>
        </w:rPr>
        <w:footnoteReference w:id="8"/>
      </w:r>
      <w:r w:rsidR="00537C74" w:rsidRPr="00914513">
        <w:rPr>
          <w:bCs/>
          <w:sz w:val="24"/>
          <w:szCs w:val="24"/>
        </w:rPr>
        <w:t>.</w:t>
      </w:r>
    </w:p>
    <w:p w14:paraId="096B7735" w14:textId="77777777" w:rsidR="00781514" w:rsidRPr="00914513" w:rsidRDefault="00781514" w:rsidP="005A7409">
      <w:pPr>
        <w:spacing w:line="360" w:lineRule="auto"/>
        <w:ind w:firstLine="709"/>
        <w:jc w:val="both"/>
        <w:rPr>
          <w:bCs/>
          <w:sz w:val="24"/>
          <w:szCs w:val="24"/>
        </w:rPr>
      </w:pPr>
      <w:r w:rsidRPr="00914513">
        <w:rPr>
          <w:bCs/>
          <w:sz w:val="24"/>
          <w:szCs w:val="24"/>
        </w:rPr>
        <w:t>Dados do Instituto Nacional de Pesquisas Espaciais (Inpe) revelam que, apesar de o desmatamento ter diminuído entre 2008 e 2012, os índices voltaram a crescer a partir de 2016, atingindo 10.895,76 km² em 2019 e mais de 12 mil km² em 2021 e 2022. Com o retorno do presidente Lula ao governo, houve redução dos números, com 8.022,79 km² desmatados em 2023 e 5.816,16 km² em 2024, embora os índices permaneçam elevados e insuficientes frente à crise ambiental.</w:t>
      </w:r>
    </w:p>
    <w:p w14:paraId="7AC8E2F3" w14:textId="77777777" w:rsidR="00781514" w:rsidRPr="00914513" w:rsidRDefault="00781514" w:rsidP="005A7409">
      <w:pPr>
        <w:spacing w:line="360" w:lineRule="auto"/>
        <w:ind w:firstLine="709"/>
        <w:jc w:val="both"/>
        <w:rPr>
          <w:bCs/>
          <w:sz w:val="24"/>
          <w:szCs w:val="24"/>
        </w:rPr>
      </w:pPr>
      <w:r w:rsidRPr="00914513">
        <w:rPr>
          <w:bCs/>
          <w:sz w:val="24"/>
          <w:szCs w:val="24"/>
        </w:rPr>
        <w:t>Mesmo com a leve queda nos números gerais, o desmatamento continua concentrado nos mesmos territórios críticos: Pará, Mato Grosso e Amazonas, que lideram tanto no acumulado histórico de 2008 a 2024 quanto nos dados recentes de 2024, respondendo juntos por mais de 75% da destruição.</w:t>
      </w:r>
    </w:p>
    <w:p w14:paraId="07B7750C" w14:textId="77777777" w:rsidR="00781514" w:rsidRPr="00914513" w:rsidRDefault="00781514" w:rsidP="005A7409">
      <w:pPr>
        <w:spacing w:line="360" w:lineRule="auto"/>
        <w:ind w:firstLine="709"/>
        <w:jc w:val="both"/>
        <w:rPr>
          <w:bCs/>
          <w:sz w:val="24"/>
          <w:szCs w:val="24"/>
        </w:rPr>
      </w:pPr>
      <w:r w:rsidRPr="00914513">
        <w:rPr>
          <w:bCs/>
          <w:sz w:val="24"/>
          <w:szCs w:val="24"/>
        </w:rPr>
        <w:t>Além das atividades ilegais, megaprojetos como a exploração de petróleo na Bacia da Foz do Amazonas representam outra grave ameaça aos povos indígenas da região, sobretudo no Amapá e no Pará. Apesar das negativas anteriores do Ibama e das críticas de especialistas, o governo federal, com o apoio declarado do presidente Lula, insiste em avançar com o projeto, o que coloca em risco tanto o meio ambiente quanto os direitos e a segurança das populações indígenas diretamente afetadas.</w:t>
      </w:r>
    </w:p>
    <w:p w14:paraId="24120F13" w14:textId="77777777" w:rsidR="00781514" w:rsidRPr="00914513" w:rsidRDefault="00781514" w:rsidP="005A7409">
      <w:pPr>
        <w:spacing w:line="360" w:lineRule="auto"/>
        <w:ind w:firstLine="709"/>
        <w:jc w:val="both"/>
        <w:rPr>
          <w:bCs/>
          <w:sz w:val="24"/>
          <w:szCs w:val="24"/>
        </w:rPr>
      </w:pPr>
    </w:p>
    <w:p w14:paraId="63D90AD7" w14:textId="77777777" w:rsidR="00781514" w:rsidRPr="0063469B" w:rsidRDefault="006F2BEE" w:rsidP="006F2BEE">
      <w:pPr>
        <w:spacing w:line="360" w:lineRule="auto"/>
        <w:jc w:val="both"/>
        <w:rPr>
          <w:b/>
          <w:sz w:val="24"/>
          <w:szCs w:val="24"/>
        </w:rPr>
      </w:pPr>
      <w:r>
        <w:rPr>
          <w:b/>
          <w:sz w:val="24"/>
          <w:szCs w:val="24"/>
        </w:rPr>
        <w:t>2.2 M</w:t>
      </w:r>
      <w:r w:rsidRPr="0063469B">
        <w:rPr>
          <w:b/>
          <w:sz w:val="24"/>
          <w:szCs w:val="24"/>
        </w:rPr>
        <w:t>orte, exclusão e desesperança</w:t>
      </w:r>
    </w:p>
    <w:p w14:paraId="1881CA20" w14:textId="77777777" w:rsidR="00781514" w:rsidRPr="00914513" w:rsidRDefault="00781514" w:rsidP="005A7409">
      <w:pPr>
        <w:spacing w:line="360" w:lineRule="auto"/>
        <w:ind w:firstLine="709"/>
        <w:jc w:val="both"/>
        <w:rPr>
          <w:bCs/>
          <w:sz w:val="24"/>
          <w:szCs w:val="24"/>
        </w:rPr>
      </w:pPr>
    </w:p>
    <w:p w14:paraId="4633F64E" w14:textId="77777777" w:rsidR="00781514" w:rsidRPr="00914513" w:rsidRDefault="00781514" w:rsidP="005A7409">
      <w:pPr>
        <w:spacing w:line="360" w:lineRule="auto"/>
        <w:ind w:firstLine="709"/>
        <w:jc w:val="both"/>
        <w:rPr>
          <w:bCs/>
          <w:sz w:val="24"/>
          <w:szCs w:val="24"/>
        </w:rPr>
      </w:pPr>
      <w:r w:rsidRPr="00914513">
        <w:rPr>
          <w:bCs/>
          <w:sz w:val="24"/>
          <w:szCs w:val="24"/>
        </w:rPr>
        <w:t>O suicídio é uma das questões epidemiológicas mais alarmantes entre os povos indígenas no Brasil, refle</w:t>
      </w:r>
      <w:r w:rsidR="001E1FE7" w:rsidRPr="00914513">
        <w:rPr>
          <w:bCs/>
          <w:sz w:val="24"/>
          <w:szCs w:val="24"/>
        </w:rPr>
        <w:t xml:space="preserve">xo </w:t>
      </w:r>
      <w:r w:rsidR="007D79EA" w:rsidRPr="00914513">
        <w:rPr>
          <w:bCs/>
          <w:sz w:val="24"/>
          <w:szCs w:val="24"/>
        </w:rPr>
        <w:t xml:space="preserve">de um </w:t>
      </w:r>
      <w:r w:rsidRPr="00914513">
        <w:rPr>
          <w:bCs/>
          <w:sz w:val="24"/>
          <w:szCs w:val="24"/>
        </w:rPr>
        <w:t>profu</w:t>
      </w:r>
      <w:r w:rsidR="007D79EA" w:rsidRPr="00914513">
        <w:rPr>
          <w:bCs/>
          <w:sz w:val="24"/>
          <w:szCs w:val="24"/>
        </w:rPr>
        <w:t>ndo</w:t>
      </w:r>
      <w:r w:rsidRPr="00914513">
        <w:rPr>
          <w:bCs/>
          <w:sz w:val="24"/>
          <w:szCs w:val="24"/>
        </w:rPr>
        <w:t xml:space="preserve"> processo de violência, exclusão e marginalização. Embora o fenômeno envolva múltiplos fatores, é inegável a relação</w:t>
      </w:r>
      <w:r w:rsidR="003D1D0F" w:rsidRPr="00914513">
        <w:rPr>
          <w:bCs/>
          <w:sz w:val="24"/>
          <w:szCs w:val="24"/>
        </w:rPr>
        <w:t xml:space="preserve"> </w:t>
      </w:r>
      <w:r w:rsidRPr="00914513">
        <w:rPr>
          <w:bCs/>
          <w:sz w:val="24"/>
          <w:szCs w:val="24"/>
        </w:rPr>
        <w:t>entre o elevado número de suicídios e a falta de acesso seguro e garantido aos territórios tradicionais.</w:t>
      </w:r>
      <w:r w:rsidR="007D6AC7" w:rsidRPr="00914513">
        <w:rPr>
          <w:bCs/>
          <w:sz w:val="24"/>
          <w:szCs w:val="24"/>
        </w:rPr>
        <w:t xml:space="preserve"> </w:t>
      </w:r>
      <w:r w:rsidRPr="00914513">
        <w:rPr>
          <w:bCs/>
          <w:sz w:val="24"/>
          <w:szCs w:val="24"/>
        </w:rPr>
        <w:t>Como pontua Darcy Ribeiro (1995), a negação do território não é apenas a retirada da terra física, mas a destruição dos alicerces culturais e espirituais fundamentais à reprodução social e simbólica dos povos indígenas.</w:t>
      </w:r>
    </w:p>
    <w:p w14:paraId="527CEF84" w14:textId="77777777" w:rsidR="00781514" w:rsidRPr="00914513" w:rsidRDefault="00781514" w:rsidP="005A7409">
      <w:pPr>
        <w:spacing w:line="360" w:lineRule="auto"/>
        <w:ind w:firstLine="709"/>
        <w:jc w:val="both"/>
        <w:rPr>
          <w:bCs/>
          <w:sz w:val="24"/>
          <w:szCs w:val="24"/>
        </w:rPr>
      </w:pPr>
      <w:r w:rsidRPr="00914513">
        <w:rPr>
          <w:bCs/>
          <w:sz w:val="24"/>
          <w:szCs w:val="24"/>
        </w:rPr>
        <w:t>Segundo o Atlas da Violência (2025), o Brasil registrou um preocupante crescimento nas taxas de suicídio nos últimos anos, tanto na população geral quanto entre os povos indígenas. A taxa nacional passou de 5 por 100 mil habitantes em 2013 para 7,8 em 2023, um aumento de aproximadamente 56%. No entanto, entre os indígenas, as taxas são historicamente mais elevadas e revelam a gravidade do problema: em 2013, a taxa de suicídio entre indígenas era 6,8 vezes maior que a média nacional, com 34,2 casos por 100 mil, atingindo o pico de 38,3 em 2014, equivalente a 7,5 vezes a média do país. Apesar de certa redução ao longo dos anos, os números continuam alarmantes: em 2023, a taxa entre indígenas foi de 18,6, ainda mais do que o dobro da nacional.</w:t>
      </w:r>
    </w:p>
    <w:p w14:paraId="1DFD8B59" w14:textId="77777777" w:rsidR="00781514" w:rsidRPr="00914513" w:rsidRDefault="00B21468" w:rsidP="005A7409">
      <w:pPr>
        <w:spacing w:line="360" w:lineRule="auto"/>
        <w:ind w:firstLine="709"/>
        <w:jc w:val="both"/>
        <w:rPr>
          <w:bCs/>
          <w:sz w:val="24"/>
          <w:szCs w:val="24"/>
        </w:rPr>
      </w:pPr>
      <w:r w:rsidRPr="00914513">
        <w:rPr>
          <w:bCs/>
          <w:sz w:val="24"/>
          <w:szCs w:val="24"/>
        </w:rPr>
        <w:t xml:space="preserve">Conforme </w:t>
      </w:r>
      <w:r w:rsidR="00182232" w:rsidRPr="00914513">
        <w:rPr>
          <w:bCs/>
          <w:sz w:val="24"/>
          <w:szCs w:val="24"/>
        </w:rPr>
        <w:t xml:space="preserve">o mesmo estudo, </w:t>
      </w:r>
      <w:r w:rsidR="00781514" w:rsidRPr="00914513">
        <w:rPr>
          <w:bCs/>
          <w:sz w:val="24"/>
          <w:szCs w:val="24"/>
        </w:rPr>
        <w:t>os suicídios concentram-se majoritariamente entre homens jovens, de 15 a 24 anos, solteiros, com baixa escolaridade, e que fatores como pobreza, desintegração familiar, exclusão social e a perda do sentido de pertencimento e de futuro estão entre as principais causas. Nesse contexto, a negação do direito ao território, que impede a reprodução cultural e comunitária dos povos indígenas, deve ser compreendida como um dos elementos centrais que alimentam esse ciclo de sofrimento, desesperança e, tragicamente, o suicídio entre os jovens indígenas.</w:t>
      </w:r>
    </w:p>
    <w:p w14:paraId="22D79A7E" w14:textId="77777777" w:rsidR="005D52BB" w:rsidRPr="00914513" w:rsidRDefault="005D52BB" w:rsidP="005A7409">
      <w:pPr>
        <w:spacing w:line="360" w:lineRule="auto"/>
        <w:ind w:firstLine="709"/>
        <w:jc w:val="both"/>
        <w:rPr>
          <w:bCs/>
          <w:sz w:val="24"/>
          <w:szCs w:val="24"/>
        </w:rPr>
      </w:pPr>
      <w:r w:rsidRPr="00914513">
        <w:rPr>
          <w:sz w:val="24"/>
          <w:szCs w:val="24"/>
        </w:rPr>
        <w:t xml:space="preserve">Esses territórios não são apenas espaços físicos, mas o alicerce da identidade, da espiritualidade e da reprodução cultural e material dos povos indígenas. É neles que se </w:t>
      </w:r>
      <w:r w:rsidR="00E73038" w:rsidRPr="00914513">
        <w:rPr>
          <w:sz w:val="24"/>
          <w:szCs w:val="24"/>
        </w:rPr>
        <w:t>transmite</w:t>
      </w:r>
      <w:r w:rsidRPr="00914513">
        <w:rPr>
          <w:sz w:val="24"/>
          <w:szCs w:val="24"/>
        </w:rPr>
        <w:t xml:space="preserve"> os conhecimentos sobre o manejo ambiental, as práticas de subsistência e os valores cosmológicos que estruturam a vida coletiva.</w:t>
      </w:r>
    </w:p>
    <w:p w14:paraId="444EA05A" w14:textId="77777777" w:rsidR="005D52BB" w:rsidRPr="00914513" w:rsidRDefault="005D52BB" w:rsidP="005A7409">
      <w:pPr>
        <w:spacing w:line="360" w:lineRule="auto"/>
        <w:ind w:firstLine="709"/>
        <w:jc w:val="both"/>
        <w:rPr>
          <w:bCs/>
          <w:sz w:val="24"/>
          <w:szCs w:val="24"/>
        </w:rPr>
      </w:pPr>
      <w:r w:rsidRPr="00914513">
        <w:rPr>
          <w:bCs/>
          <w:sz w:val="24"/>
          <w:szCs w:val="24"/>
        </w:rPr>
        <w:t>A desterritorialização — causada pela demora na demarcação de terras, pela insegurança jurídica e pelas invasões associadas ao garimpo, à exploração ilegal de recursos naturais, à caça e à grilagem — rompe esse ciclo de transmissão intergeracional, deixando os jovens sem referências culturais, espirituais e sociais, o que contribui diretamente para o aumento dos quadros de sofrimento psíquico e vulnerabilidade.</w:t>
      </w:r>
    </w:p>
    <w:p w14:paraId="176A689A" w14:textId="77777777" w:rsidR="00781514" w:rsidRPr="00914513" w:rsidRDefault="00770A09" w:rsidP="005A7409">
      <w:pPr>
        <w:spacing w:line="360" w:lineRule="auto"/>
        <w:ind w:firstLine="709"/>
        <w:jc w:val="both"/>
        <w:rPr>
          <w:bCs/>
          <w:sz w:val="24"/>
          <w:szCs w:val="24"/>
        </w:rPr>
      </w:pPr>
      <w:r w:rsidRPr="00914513">
        <w:rPr>
          <w:bCs/>
          <w:sz w:val="24"/>
          <w:szCs w:val="24"/>
        </w:rPr>
        <w:t>Diretamente associad</w:t>
      </w:r>
      <w:r w:rsidR="001431C7" w:rsidRPr="00914513">
        <w:rPr>
          <w:bCs/>
          <w:sz w:val="24"/>
          <w:szCs w:val="24"/>
        </w:rPr>
        <w:t>o</w:t>
      </w:r>
      <w:r w:rsidRPr="00914513">
        <w:rPr>
          <w:bCs/>
          <w:sz w:val="24"/>
          <w:szCs w:val="24"/>
        </w:rPr>
        <w:t xml:space="preserve"> aos conflitos territoriais, à pressão de atividades econômicas ilegais e ao avanço da destruição ambiental </w:t>
      </w:r>
      <w:r w:rsidR="00E50D4D" w:rsidRPr="00914513">
        <w:rPr>
          <w:bCs/>
          <w:sz w:val="24"/>
          <w:szCs w:val="24"/>
        </w:rPr>
        <w:t>o</w:t>
      </w:r>
      <w:r w:rsidR="00781514" w:rsidRPr="00914513">
        <w:rPr>
          <w:bCs/>
          <w:sz w:val="24"/>
          <w:szCs w:val="24"/>
        </w:rPr>
        <w:t>s assassinatos de indígenas no Brasil seguem configurando uma das expressões mais graves da violência contra essas populações</w:t>
      </w:r>
      <w:r w:rsidR="004E0682" w:rsidRPr="00914513">
        <w:rPr>
          <w:bCs/>
          <w:sz w:val="24"/>
          <w:szCs w:val="24"/>
        </w:rPr>
        <w:t>.</w:t>
      </w:r>
    </w:p>
    <w:p w14:paraId="683B8F7E" w14:textId="77777777" w:rsidR="00781514" w:rsidRPr="00914513" w:rsidRDefault="00781514" w:rsidP="005A7409">
      <w:pPr>
        <w:spacing w:line="360" w:lineRule="auto"/>
        <w:ind w:firstLine="709"/>
        <w:jc w:val="both"/>
        <w:rPr>
          <w:bCs/>
          <w:sz w:val="24"/>
          <w:szCs w:val="24"/>
        </w:rPr>
      </w:pPr>
      <w:r w:rsidRPr="00914513">
        <w:rPr>
          <w:bCs/>
          <w:sz w:val="24"/>
          <w:szCs w:val="24"/>
        </w:rPr>
        <w:t>De acordo com dados do Conselho Indigenista Missionário (</w:t>
      </w:r>
      <w:proofErr w:type="spellStart"/>
      <w:r w:rsidRPr="00914513">
        <w:rPr>
          <w:bCs/>
          <w:sz w:val="24"/>
          <w:szCs w:val="24"/>
        </w:rPr>
        <w:t>Cimi</w:t>
      </w:r>
      <w:proofErr w:type="spellEnd"/>
      <w:r w:rsidRPr="00914513">
        <w:rPr>
          <w:bCs/>
          <w:sz w:val="24"/>
          <w:szCs w:val="24"/>
        </w:rPr>
        <w:t>, 2023), obtidos junto ao Sistema de Informação sobre Mortalidade (SIM) e à Secretaria de Saúde Indígena (</w:t>
      </w:r>
      <w:proofErr w:type="spellStart"/>
      <w:r w:rsidRPr="00914513">
        <w:rPr>
          <w:bCs/>
          <w:sz w:val="24"/>
          <w:szCs w:val="24"/>
        </w:rPr>
        <w:t>Sesai</w:t>
      </w:r>
      <w:proofErr w:type="spellEnd"/>
      <w:r w:rsidRPr="00914513">
        <w:rPr>
          <w:bCs/>
          <w:sz w:val="24"/>
          <w:szCs w:val="24"/>
        </w:rPr>
        <w:t>), foram registrados ao menos 208 assassinatos de indígenas no país ao longo de 2023. A maioria das vítimas (172 casos, ou 82,3%) era composta por adultos entre 20 e 59 anos, enquanto jovens de até 19 anos representaram 9,1% dos assassinatos.</w:t>
      </w:r>
      <w:r w:rsidR="00540636" w:rsidRPr="00914513">
        <w:rPr>
          <w:bCs/>
          <w:sz w:val="24"/>
          <w:szCs w:val="24"/>
        </w:rPr>
        <w:t xml:space="preserve"> </w:t>
      </w:r>
      <w:r w:rsidRPr="00914513">
        <w:rPr>
          <w:bCs/>
          <w:sz w:val="24"/>
          <w:szCs w:val="24"/>
        </w:rPr>
        <w:t>Mantendo o padrão de violência territorial dos últimos anos, os estados com maior número de assassinatos foram Roraima (47), Mato Grosso do Sul (43) e Amazonas (36), sendo que dois desses estados — Roraima e Amazonas — fazem parte da Amazônia Legal, o que reforça o vínculo entre os assassinatos e a disputa por terras e recursos na região amazônica.</w:t>
      </w:r>
    </w:p>
    <w:p w14:paraId="4FFCD3C7" w14:textId="77777777" w:rsidR="00781514" w:rsidRPr="00914513" w:rsidRDefault="00781514" w:rsidP="005A7409">
      <w:pPr>
        <w:spacing w:line="360" w:lineRule="auto"/>
        <w:ind w:firstLine="709"/>
        <w:jc w:val="both"/>
        <w:rPr>
          <w:bCs/>
          <w:sz w:val="24"/>
          <w:szCs w:val="24"/>
        </w:rPr>
      </w:pPr>
      <w:r w:rsidRPr="00914513">
        <w:rPr>
          <w:bCs/>
          <w:sz w:val="24"/>
          <w:szCs w:val="24"/>
        </w:rPr>
        <w:t xml:space="preserve">Ainda segundo o </w:t>
      </w:r>
      <w:proofErr w:type="spellStart"/>
      <w:r w:rsidRPr="00914513">
        <w:rPr>
          <w:bCs/>
          <w:sz w:val="24"/>
          <w:szCs w:val="24"/>
        </w:rPr>
        <w:t>Cimi</w:t>
      </w:r>
      <w:proofErr w:type="spellEnd"/>
      <w:r w:rsidRPr="00914513">
        <w:rPr>
          <w:bCs/>
          <w:sz w:val="24"/>
          <w:szCs w:val="24"/>
        </w:rPr>
        <w:t>, considerando apenas os casos diretamente monitorados por equipes missionárias e reportados pela imprensa, foram contabilizados 81 episódios violentos que resultaram em 88 indígenas assassinados em 2023, revelando o alto grau de letalidade desses conflitos.</w:t>
      </w:r>
    </w:p>
    <w:p w14:paraId="31554E90" w14:textId="77777777" w:rsidR="00781514" w:rsidRPr="00914513" w:rsidRDefault="00781514" w:rsidP="005A7409">
      <w:pPr>
        <w:spacing w:line="360" w:lineRule="auto"/>
        <w:ind w:firstLine="709"/>
        <w:jc w:val="both"/>
        <w:rPr>
          <w:bCs/>
          <w:sz w:val="24"/>
          <w:szCs w:val="24"/>
        </w:rPr>
      </w:pPr>
      <w:r w:rsidRPr="00914513">
        <w:rPr>
          <w:bCs/>
          <w:sz w:val="24"/>
          <w:szCs w:val="24"/>
        </w:rPr>
        <w:t xml:space="preserve">Um caso emblemático ocorreu no nordeste do Pará, onde Agnaldo, do povo </w:t>
      </w:r>
      <w:proofErr w:type="spellStart"/>
      <w:r w:rsidRPr="00914513">
        <w:rPr>
          <w:bCs/>
          <w:sz w:val="24"/>
          <w:szCs w:val="24"/>
        </w:rPr>
        <w:t>Turiwara</w:t>
      </w:r>
      <w:proofErr w:type="spellEnd"/>
      <w:r w:rsidRPr="00914513">
        <w:rPr>
          <w:bCs/>
          <w:sz w:val="24"/>
          <w:szCs w:val="24"/>
        </w:rPr>
        <w:t xml:space="preserve">, foi assassinado a tiros durante uma emboscada enquanto buscava alimentos dentro de uma área que a empresa </w:t>
      </w:r>
      <w:proofErr w:type="spellStart"/>
      <w:r w:rsidRPr="00914513">
        <w:rPr>
          <w:bCs/>
          <w:sz w:val="24"/>
          <w:szCs w:val="24"/>
        </w:rPr>
        <w:t>Agropalma</w:t>
      </w:r>
      <w:proofErr w:type="spellEnd"/>
      <w:r w:rsidRPr="00914513">
        <w:rPr>
          <w:bCs/>
          <w:sz w:val="24"/>
          <w:szCs w:val="24"/>
        </w:rPr>
        <w:t xml:space="preserve"> disputa com comunidades indígenas.</w:t>
      </w:r>
      <w:r w:rsidR="00745E23" w:rsidRPr="00914513">
        <w:rPr>
          <w:bCs/>
          <w:sz w:val="24"/>
          <w:szCs w:val="24"/>
        </w:rPr>
        <w:t xml:space="preserve"> </w:t>
      </w:r>
      <w:r w:rsidRPr="00914513">
        <w:rPr>
          <w:bCs/>
          <w:sz w:val="24"/>
          <w:szCs w:val="24"/>
        </w:rPr>
        <w:t>Outro caso chocante ocorreu na Terra Indígena Yanomami, em Roraima, no município de Pacaraima, onde uma criança Yanomami de apenas 7 anos foi morta a tiros e outros cinco indígenas ficaram feridos durante um ataque na comunidade Parima, no dia 3 de julho de 2023</w:t>
      </w:r>
      <w:r w:rsidR="001B2333" w:rsidRPr="00914513">
        <w:rPr>
          <w:bCs/>
          <w:sz w:val="24"/>
          <w:szCs w:val="24"/>
        </w:rPr>
        <w:t>, as vítimas foram socorridas por servidores da Secretaria Especial de Saúde Indígena (</w:t>
      </w:r>
      <w:proofErr w:type="spellStart"/>
      <w:r w:rsidR="001B2333" w:rsidRPr="00914513">
        <w:rPr>
          <w:bCs/>
          <w:sz w:val="24"/>
          <w:szCs w:val="24"/>
        </w:rPr>
        <w:t>Sesai</w:t>
      </w:r>
      <w:proofErr w:type="spellEnd"/>
      <w:r w:rsidR="001B2333" w:rsidRPr="00914513">
        <w:rPr>
          <w:bCs/>
          <w:sz w:val="24"/>
          <w:szCs w:val="24"/>
        </w:rPr>
        <w:t>) que atuam em uma base de apoio da região. A localidade tem forte presença de garimpeiros ilegais</w:t>
      </w:r>
      <w:r w:rsidR="0043348C" w:rsidRPr="00914513">
        <w:rPr>
          <w:rStyle w:val="Refdenotaderodap"/>
          <w:bCs/>
          <w:sz w:val="24"/>
          <w:szCs w:val="24"/>
        </w:rPr>
        <w:footnoteReference w:id="9"/>
      </w:r>
      <w:r w:rsidR="001B2333" w:rsidRPr="00914513">
        <w:rPr>
          <w:bCs/>
          <w:sz w:val="24"/>
          <w:szCs w:val="24"/>
        </w:rPr>
        <w:t>.</w:t>
      </w:r>
      <w:r w:rsidR="00017D76" w:rsidRPr="00914513">
        <w:rPr>
          <w:bCs/>
          <w:sz w:val="24"/>
          <w:szCs w:val="24"/>
        </w:rPr>
        <w:t xml:space="preserve"> </w:t>
      </w:r>
    </w:p>
    <w:p w14:paraId="30B3B8EA" w14:textId="77777777" w:rsidR="00177BC9" w:rsidRPr="00914513" w:rsidRDefault="00177BC9" w:rsidP="005A7409">
      <w:pPr>
        <w:spacing w:line="360" w:lineRule="auto"/>
        <w:ind w:firstLine="709"/>
        <w:jc w:val="both"/>
        <w:rPr>
          <w:sz w:val="24"/>
          <w:szCs w:val="24"/>
        </w:rPr>
      </w:pPr>
    </w:p>
    <w:p w14:paraId="79C9B13C" w14:textId="77777777" w:rsidR="00781514" w:rsidRPr="0063469B" w:rsidRDefault="003A1AF5" w:rsidP="003A1AF5">
      <w:pPr>
        <w:spacing w:line="360" w:lineRule="auto"/>
        <w:jc w:val="both"/>
        <w:rPr>
          <w:b/>
          <w:bCs/>
          <w:sz w:val="24"/>
          <w:szCs w:val="24"/>
        </w:rPr>
      </w:pPr>
      <w:r>
        <w:rPr>
          <w:b/>
          <w:bCs/>
          <w:sz w:val="24"/>
          <w:szCs w:val="24"/>
        </w:rPr>
        <w:t xml:space="preserve">3. </w:t>
      </w:r>
      <w:r w:rsidR="00781514" w:rsidRPr="0063469B">
        <w:rPr>
          <w:b/>
          <w:bCs/>
          <w:sz w:val="24"/>
          <w:szCs w:val="24"/>
        </w:rPr>
        <w:t>CONCLUSÃO</w:t>
      </w:r>
    </w:p>
    <w:p w14:paraId="49A14EE5" w14:textId="77777777" w:rsidR="00781514" w:rsidRPr="00914513" w:rsidRDefault="00781514" w:rsidP="005A7409">
      <w:pPr>
        <w:spacing w:line="360" w:lineRule="auto"/>
        <w:ind w:firstLine="709"/>
        <w:jc w:val="both"/>
        <w:rPr>
          <w:sz w:val="24"/>
          <w:szCs w:val="24"/>
        </w:rPr>
      </w:pPr>
    </w:p>
    <w:p w14:paraId="4C5C8A05" w14:textId="77777777" w:rsidR="00781514" w:rsidRPr="00914513" w:rsidRDefault="00781514" w:rsidP="005A7409">
      <w:pPr>
        <w:spacing w:line="360" w:lineRule="auto"/>
        <w:ind w:firstLine="709"/>
        <w:jc w:val="both"/>
        <w:rPr>
          <w:sz w:val="24"/>
          <w:szCs w:val="24"/>
        </w:rPr>
      </w:pPr>
      <w:r w:rsidRPr="00914513">
        <w:rPr>
          <w:sz w:val="24"/>
          <w:szCs w:val="24"/>
        </w:rPr>
        <w:t>Os dados e análises apresentados evidenciam que a Amazônia Legal, ao mesmo tempo em que abriga a maior parte da população indígena brasileira, concentra também as expressões mais graves das violações aos direitos desses povos, revelando o abismo entre o discurso estatal de proteção e a realidade concreta de violência, exclusão e desterritorialização.</w:t>
      </w:r>
    </w:p>
    <w:p w14:paraId="1527D210" w14:textId="77777777" w:rsidR="00781514" w:rsidRPr="00914513" w:rsidRDefault="00781514" w:rsidP="005A7409">
      <w:pPr>
        <w:spacing w:line="360" w:lineRule="auto"/>
        <w:ind w:firstLine="709"/>
        <w:jc w:val="both"/>
        <w:rPr>
          <w:sz w:val="24"/>
          <w:szCs w:val="24"/>
        </w:rPr>
      </w:pPr>
      <w:r w:rsidRPr="00914513">
        <w:rPr>
          <w:sz w:val="24"/>
          <w:szCs w:val="24"/>
        </w:rPr>
        <w:t>O aumento populacional indígena identificado pelo Censo de 2022 deve ser compreendido como parte de um processo de resistência e afirmação identitária frente a séculos de apagamento cultural. No entanto, essa reafirmação ocorre em um contexto de ataques sistemáticos aos territórios e modos de vida tradicionais, agravados pela lentidão na demarcação das Terras Indígenas, pelo avanço do desmatamento, do garimpo e de grandes projetos econômicos, e pela perpetuação do racismo estrutural e institucional.</w:t>
      </w:r>
    </w:p>
    <w:p w14:paraId="33B26709" w14:textId="77777777" w:rsidR="00781514" w:rsidRPr="00914513" w:rsidRDefault="00781514" w:rsidP="005A7409">
      <w:pPr>
        <w:spacing w:line="360" w:lineRule="auto"/>
        <w:ind w:firstLine="709"/>
        <w:jc w:val="both"/>
        <w:rPr>
          <w:sz w:val="24"/>
          <w:szCs w:val="24"/>
        </w:rPr>
      </w:pPr>
      <w:r w:rsidRPr="00914513">
        <w:rPr>
          <w:sz w:val="24"/>
          <w:szCs w:val="24"/>
        </w:rPr>
        <w:t xml:space="preserve">Nesse cenário, a negação do direito à terra não representa apenas uma disputa fundiária, mas configura-se como um mecanismo de desumanização e de violência que atinge a própria continuidade física e cultural dos povos indígenas, gerando impactos diretos, como o </w:t>
      </w:r>
      <w:proofErr w:type="spellStart"/>
      <w:r w:rsidRPr="00914513">
        <w:rPr>
          <w:sz w:val="24"/>
          <w:szCs w:val="24"/>
        </w:rPr>
        <w:t>etnocídio</w:t>
      </w:r>
      <w:proofErr w:type="spellEnd"/>
      <w:r w:rsidRPr="00914513">
        <w:rPr>
          <w:sz w:val="24"/>
          <w:szCs w:val="24"/>
        </w:rPr>
        <w:t>, o genocídio cultural e o alarmante índice de suicídios e assassinatos, principalmente entre jovens.</w:t>
      </w:r>
    </w:p>
    <w:p w14:paraId="5E279916" w14:textId="77777777" w:rsidR="004F776F" w:rsidRPr="00914513" w:rsidRDefault="00781514" w:rsidP="005A7409">
      <w:pPr>
        <w:spacing w:line="360" w:lineRule="auto"/>
        <w:ind w:firstLine="709"/>
        <w:jc w:val="both"/>
        <w:rPr>
          <w:sz w:val="24"/>
          <w:szCs w:val="24"/>
        </w:rPr>
      </w:pPr>
      <w:r w:rsidRPr="00914513">
        <w:rPr>
          <w:sz w:val="24"/>
          <w:szCs w:val="24"/>
        </w:rPr>
        <w:t xml:space="preserve">Diante dessa realidade, torna-se urgente que o Estado brasileiro adote medidas concretas e imediatas para  acelerar processos de demarcação e regularização das Terras Indígenas e principalmente um combate mais efetivo em relação as atividades ilegais praticadas em especial na </w:t>
      </w:r>
      <w:proofErr w:type="spellStart"/>
      <w:r w:rsidRPr="00914513">
        <w:rPr>
          <w:sz w:val="24"/>
          <w:szCs w:val="24"/>
        </w:rPr>
        <w:t>Amazonia</w:t>
      </w:r>
      <w:proofErr w:type="spellEnd"/>
      <w:r w:rsidRPr="00914513">
        <w:rPr>
          <w:sz w:val="24"/>
          <w:szCs w:val="24"/>
        </w:rPr>
        <w:t xml:space="preserve"> Legal (como o garimpo, a grilagem e o desmatamento); Mais do que uma demanda legal e constitucional, a proteção dos territórios e dos direitos indígenas representa um imperativo ético e civilizatório, sem o qual será impossível enfrentar a crise ambiental, garantir a justiça social e assegurar a sobrevivência e o futuro dos povos originários no Brasil.</w:t>
      </w:r>
      <w:r w:rsidR="004F776F" w:rsidRPr="00914513">
        <w:rPr>
          <w:sz w:val="24"/>
          <w:szCs w:val="24"/>
        </w:rPr>
        <w:t xml:space="preserve"> </w:t>
      </w:r>
    </w:p>
    <w:p w14:paraId="3028D283" w14:textId="77777777" w:rsidR="00C03C49" w:rsidRDefault="00C03C49" w:rsidP="00540AD9">
      <w:pPr>
        <w:spacing w:line="360" w:lineRule="auto"/>
        <w:jc w:val="both"/>
        <w:rPr>
          <w:bCs/>
          <w:sz w:val="24"/>
          <w:szCs w:val="24"/>
        </w:rPr>
      </w:pPr>
    </w:p>
    <w:p w14:paraId="2920A62F" w14:textId="77777777" w:rsidR="00864297" w:rsidRPr="0084391D" w:rsidRDefault="002C07A0" w:rsidP="0084391D">
      <w:pPr>
        <w:spacing w:line="360" w:lineRule="auto"/>
        <w:jc w:val="both"/>
        <w:rPr>
          <w:b/>
          <w:sz w:val="24"/>
          <w:szCs w:val="24"/>
        </w:rPr>
      </w:pPr>
      <w:r w:rsidRPr="0063469B">
        <w:rPr>
          <w:b/>
          <w:sz w:val="24"/>
          <w:szCs w:val="24"/>
        </w:rPr>
        <w:t>REFER</w:t>
      </w:r>
      <w:r w:rsidR="0063469B" w:rsidRPr="0063469B">
        <w:rPr>
          <w:b/>
          <w:sz w:val="24"/>
          <w:szCs w:val="24"/>
        </w:rPr>
        <w:t>Ê</w:t>
      </w:r>
      <w:r w:rsidRPr="0063469B">
        <w:rPr>
          <w:b/>
          <w:sz w:val="24"/>
          <w:szCs w:val="24"/>
        </w:rPr>
        <w:t xml:space="preserve">NCIAS </w:t>
      </w:r>
    </w:p>
    <w:p w14:paraId="6494348F" w14:textId="77777777" w:rsidR="0084391D" w:rsidRDefault="00C265A8" w:rsidP="00540AD9">
      <w:pPr>
        <w:spacing w:after="200" w:line="360" w:lineRule="auto"/>
        <w:jc w:val="both"/>
        <w:rPr>
          <w:rFonts w:eastAsia="Calibri"/>
          <w:bCs/>
          <w:sz w:val="24"/>
          <w:szCs w:val="24"/>
        </w:rPr>
      </w:pPr>
      <w:r w:rsidRPr="007142E0">
        <w:rPr>
          <w:rFonts w:eastAsia="Calibri"/>
          <w:bCs/>
          <w:sz w:val="24"/>
          <w:szCs w:val="24"/>
        </w:rPr>
        <w:t xml:space="preserve">RIBEIRO, Darcy. </w:t>
      </w:r>
      <w:r w:rsidRPr="007142E0">
        <w:rPr>
          <w:rFonts w:eastAsia="Calibri"/>
          <w:b/>
          <w:sz w:val="24"/>
          <w:szCs w:val="24"/>
        </w:rPr>
        <w:t>O povo brasileiro: formação e sentido</w:t>
      </w:r>
      <w:r w:rsidRPr="007142E0">
        <w:rPr>
          <w:rFonts w:eastAsia="Calibri"/>
          <w:bCs/>
          <w:sz w:val="24"/>
          <w:szCs w:val="24"/>
        </w:rPr>
        <w:t>. São Paulo: Companhia das Letras, 1995.</w:t>
      </w:r>
    </w:p>
    <w:p w14:paraId="24B149D6" w14:textId="77777777" w:rsidR="004C5175" w:rsidRDefault="004C5175" w:rsidP="00540AD9">
      <w:pPr>
        <w:spacing w:after="200" w:line="360" w:lineRule="auto"/>
        <w:jc w:val="both"/>
        <w:rPr>
          <w:rFonts w:eastAsia="Calibri"/>
          <w:bCs/>
          <w:sz w:val="24"/>
          <w:szCs w:val="24"/>
        </w:rPr>
      </w:pPr>
      <w:r w:rsidRPr="004C5175">
        <w:rPr>
          <w:rFonts w:eastAsia="Calibri"/>
          <w:bCs/>
          <w:sz w:val="24"/>
          <w:szCs w:val="24"/>
        </w:rPr>
        <w:t xml:space="preserve">BOURDIEU, Pierre. </w:t>
      </w:r>
      <w:r w:rsidRPr="004C5175">
        <w:rPr>
          <w:rFonts w:eastAsia="Calibri"/>
          <w:b/>
          <w:sz w:val="24"/>
          <w:szCs w:val="24"/>
        </w:rPr>
        <w:t>O poder simbólico</w:t>
      </w:r>
      <w:r w:rsidRPr="004C5175">
        <w:rPr>
          <w:rFonts w:eastAsia="Calibri"/>
          <w:bCs/>
          <w:sz w:val="24"/>
          <w:szCs w:val="24"/>
        </w:rPr>
        <w:t>. Rio de Janeiro: Bertrand Brasil, 1989.</w:t>
      </w:r>
    </w:p>
    <w:p w14:paraId="406A6232" w14:textId="77777777" w:rsidR="00864297" w:rsidRDefault="00265E57" w:rsidP="00540AD9">
      <w:pPr>
        <w:spacing w:after="200" w:line="360" w:lineRule="auto"/>
        <w:jc w:val="both"/>
        <w:rPr>
          <w:rFonts w:eastAsia="Calibri"/>
          <w:bCs/>
          <w:sz w:val="24"/>
          <w:szCs w:val="24"/>
        </w:rPr>
      </w:pPr>
      <w:r w:rsidRPr="007142E0">
        <w:rPr>
          <w:sz w:val="24"/>
          <w:szCs w:val="24"/>
        </w:rPr>
        <w:t xml:space="preserve">CONSELHO Indigenista Missionário. </w:t>
      </w:r>
      <w:r w:rsidRPr="00D356E6">
        <w:rPr>
          <w:sz w:val="24"/>
          <w:szCs w:val="24"/>
        </w:rPr>
        <w:t>Relatório</w:t>
      </w:r>
      <w:r w:rsidRPr="007142E0">
        <w:rPr>
          <w:b/>
          <w:bCs/>
          <w:sz w:val="24"/>
          <w:szCs w:val="24"/>
        </w:rPr>
        <w:t xml:space="preserve"> Violência Contra os Povos Indígenas no Brasil </w:t>
      </w:r>
      <w:r w:rsidRPr="00D356E6">
        <w:rPr>
          <w:b/>
          <w:bCs/>
          <w:sz w:val="24"/>
          <w:szCs w:val="24"/>
        </w:rPr>
        <w:t>– dados de 2023</w:t>
      </w:r>
      <w:r w:rsidRPr="007142E0">
        <w:rPr>
          <w:sz w:val="24"/>
          <w:szCs w:val="24"/>
        </w:rPr>
        <w:t xml:space="preserve">. CIMI, Brasília, 2024. Disponível em: &lt;https://cimi.org.br/wp-content/uploads/2024/07/relatorio-violencia-povos-indigenas-2023-cimi.pdf&gt;. Acesso em: </w:t>
      </w:r>
      <w:r w:rsidR="00873DC8">
        <w:rPr>
          <w:sz w:val="24"/>
          <w:szCs w:val="24"/>
        </w:rPr>
        <w:t>20</w:t>
      </w:r>
      <w:r w:rsidRPr="007142E0">
        <w:rPr>
          <w:sz w:val="24"/>
          <w:szCs w:val="24"/>
        </w:rPr>
        <w:t xml:space="preserve"> ju</w:t>
      </w:r>
      <w:r w:rsidR="00873DC8">
        <w:rPr>
          <w:sz w:val="24"/>
          <w:szCs w:val="24"/>
        </w:rPr>
        <w:t>n</w:t>
      </w:r>
      <w:r w:rsidRPr="007142E0">
        <w:rPr>
          <w:sz w:val="24"/>
          <w:szCs w:val="24"/>
        </w:rPr>
        <w:t>. 2025.</w:t>
      </w:r>
    </w:p>
    <w:p w14:paraId="4C45EEA2" w14:textId="77777777" w:rsidR="00864297" w:rsidRPr="00864297" w:rsidRDefault="00906864" w:rsidP="00540AD9">
      <w:pPr>
        <w:spacing w:after="200" w:line="360" w:lineRule="auto"/>
        <w:jc w:val="both"/>
        <w:rPr>
          <w:rFonts w:eastAsia="Calibri"/>
          <w:bCs/>
          <w:sz w:val="24"/>
          <w:szCs w:val="24"/>
        </w:rPr>
      </w:pPr>
      <w:r w:rsidRPr="007142E0">
        <w:rPr>
          <w:sz w:val="24"/>
          <w:szCs w:val="24"/>
        </w:rPr>
        <w:t xml:space="preserve">INSTITUTO Brasileiro de Geografia e Estatística – IBGE. </w:t>
      </w:r>
      <w:r w:rsidRPr="00FE2815">
        <w:rPr>
          <w:b/>
          <w:bCs/>
          <w:sz w:val="24"/>
          <w:szCs w:val="24"/>
        </w:rPr>
        <w:t>Amazônia Legal</w:t>
      </w:r>
      <w:r w:rsidRPr="007142E0">
        <w:rPr>
          <w:sz w:val="24"/>
          <w:szCs w:val="24"/>
        </w:rPr>
        <w:t xml:space="preserve">. IBGE, Brasília, 24 jun. 2025. Disponível em: &lt;https://www.ibge.gov.br/geociencias/organizacao-do-territorio/estrutura-territorial/15819-amazonia-legal.html&gt;. Acesso em: </w:t>
      </w:r>
      <w:r w:rsidR="0068668E">
        <w:rPr>
          <w:sz w:val="24"/>
          <w:szCs w:val="24"/>
        </w:rPr>
        <w:t>28</w:t>
      </w:r>
      <w:r w:rsidRPr="007142E0">
        <w:rPr>
          <w:sz w:val="24"/>
          <w:szCs w:val="24"/>
        </w:rPr>
        <w:t xml:space="preserve"> ju</w:t>
      </w:r>
      <w:r w:rsidR="0068668E">
        <w:rPr>
          <w:sz w:val="24"/>
          <w:szCs w:val="24"/>
        </w:rPr>
        <w:t>n</w:t>
      </w:r>
      <w:r w:rsidRPr="007142E0">
        <w:rPr>
          <w:sz w:val="24"/>
          <w:szCs w:val="24"/>
        </w:rPr>
        <w:t>. 2025.</w:t>
      </w:r>
    </w:p>
    <w:p w14:paraId="31E087DB" w14:textId="77777777" w:rsidR="00864297" w:rsidRPr="00864297" w:rsidRDefault="000575C7" w:rsidP="00540AD9">
      <w:pPr>
        <w:spacing w:after="200" w:line="360" w:lineRule="auto"/>
        <w:jc w:val="both"/>
        <w:rPr>
          <w:sz w:val="24"/>
          <w:szCs w:val="24"/>
        </w:rPr>
      </w:pPr>
      <w:r w:rsidRPr="002E5C94">
        <w:rPr>
          <w:rFonts w:eastAsia="Calibri"/>
          <w:b/>
          <w:sz w:val="24"/>
          <w:szCs w:val="24"/>
        </w:rPr>
        <w:t>Atlas da violência 2025</w:t>
      </w:r>
      <w:r w:rsidRPr="000575C7">
        <w:rPr>
          <w:rFonts w:eastAsia="Calibri"/>
          <w:bCs/>
          <w:sz w:val="24"/>
          <w:szCs w:val="24"/>
        </w:rPr>
        <w:t xml:space="preserve">. Ipea; Fórum Brasileiro de Segurança Pública, Brasília, 2025. Disponível em: &lt;https://www.ipea.gov.br/atlasviolencia/arquivos/artigos/5999-atlasdaviolencia2025.pdf&gt;. Acesso em: </w:t>
      </w:r>
      <w:r w:rsidR="009A0EB5">
        <w:rPr>
          <w:rFonts w:eastAsia="Calibri"/>
          <w:bCs/>
          <w:sz w:val="24"/>
          <w:szCs w:val="24"/>
        </w:rPr>
        <w:t>28</w:t>
      </w:r>
      <w:r w:rsidRPr="000575C7">
        <w:rPr>
          <w:rFonts w:eastAsia="Calibri"/>
          <w:bCs/>
          <w:sz w:val="24"/>
          <w:szCs w:val="24"/>
        </w:rPr>
        <w:t xml:space="preserve"> ju</w:t>
      </w:r>
      <w:r w:rsidR="009A0EB5">
        <w:rPr>
          <w:rFonts w:eastAsia="Calibri"/>
          <w:bCs/>
          <w:sz w:val="24"/>
          <w:szCs w:val="24"/>
        </w:rPr>
        <w:t>n</w:t>
      </w:r>
      <w:r w:rsidRPr="000575C7">
        <w:rPr>
          <w:rFonts w:eastAsia="Calibri"/>
          <w:bCs/>
          <w:sz w:val="24"/>
          <w:szCs w:val="24"/>
        </w:rPr>
        <w:t>. 2025.</w:t>
      </w:r>
    </w:p>
    <w:p w14:paraId="0DC8AF95" w14:textId="77777777" w:rsidR="00E93658" w:rsidRDefault="00C20FD2" w:rsidP="00540AD9">
      <w:pPr>
        <w:spacing w:after="200" w:line="360" w:lineRule="auto"/>
        <w:jc w:val="both"/>
        <w:rPr>
          <w:rFonts w:eastAsia="Calibri"/>
          <w:bCs/>
          <w:sz w:val="24"/>
          <w:szCs w:val="24"/>
        </w:rPr>
      </w:pPr>
      <w:r w:rsidRPr="00C20FD2">
        <w:rPr>
          <w:sz w:val="24"/>
          <w:szCs w:val="24"/>
        </w:rPr>
        <w:t xml:space="preserve">BARTOLOMÉ, Miguel Alberto. </w:t>
      </w:r>
      <w:r w:rsidRPr="00C20FD2">
        <w:rPr>
          <w:b/>
          <w:bCs/>
          <w:sz w:val="24"/>
          <w:szCs w:val="24"/>
        </w:rPr>
        <w:t xml:space="preserve">As </w:t>
      </w:r>
      <w:proofErr w:type="spellStart"/>
      <w:r w:rsidRPr="00C20FD2">
        <w:rPr>
          <w:b/>
          <w:bCs/>
          <w:sz w:val="24"/>
          <w:szCs w:val="24"/>
        </w:rPr>
        <w:t>etnogêneses</w:t>
      </w:r>
      <w:proofErr w:type="spellEnd"/>
      <w:r w:rsidRPr="00C20FD2">
        <w:rPr>
          <w:b/>
          <w:bCs/>
          <w:sz w:val="24"/>
          <w:szCs w:val="24"/>
        </w:rPr>
        <w:t>: velhos atores e novos papéis no cenário cultural e político</w:t>
      </w:r>
      <w:r w:rsidRPr="00C20FD2">
        <w:rPr>
          <w:sz w:val="24"/>
          <w:szCs w:val="24"/>
        </w:rPr>
        <w:t>. Mana. Estudos de Antropologia Social, Rio de Janeiro, v. 12, n. 1, p. 39</w:t>
      </w:r>
      <w:r w:rsidRPr="00C20FD2">
        <w:rPr>
          <w:rFonts w:ascii="Cambria Math" w:hAnsi="Cambria Math" w:cs="Cambria Math"/>
          <w:sz w:val="24"/>
          <w:szCs w:val="24"/>
        </w:rPr>
        <w:t>‑</w:t>
      </w:r>
      <w:r w:rsidRPr="00C20FD2">
        <w:rPr>
          <w:sz w:val="24"/>
          <w:szCs w:val="24"/>
        </w:rPr>
        <w:t xml:space="preserve">68, abr. 2006. Disponível em: &lt;https://www.scielo.br/j/mana/a/fGbD5TshWKbCXScWRZt9hGH&gt;. Acesso em: </w:t>
      </w:r>
      <w:r w:rsidR="002338C3">
        <w:rPr>
          <w:sz w:val="24"/>
          <w:szCs w:val="24"/>
        </w:rPr>
        <w:t>19</w:t>
      </w:r>
      <w:r w:rsidRPr="00C20FD2">
        <w:rPr>
          <w:sz w:val="24"/>
          <w:szCs w:val="24"/>
        </w:rPr>
        <w:t xml:space="preserve"> ju</w:t>
      </w:r>
      <w:r w:rsidR="002338C3">
        <w:rPr>
          <w:sz w:val="24"/>
          <w:szCs w:val="24"/>
        </w:rPr>
        <w:t>n</w:t>
      </w:r>
      <w:r w:rsidRPr="00C20FD2">
        <w:rPr>
          <w:sz w:val="24"/>
          <w:szCs w:val="24"/>
        </w:rPr>
        <w:t>. 2025.</w:t>
      </w:r>
    </w:p>
    <w:p w14:paraId="6704A47E" w14:textId="77777777" w:rsidR="00290B40" w:rsidRDefault="00290B40" w:rsidP="00540AD9">
      <w:pPr>
        <w:spacing w:after="200" w:line="360" w:lineRule="auto"/>
        <w:jc w:val="both"/>
        <w:rPr>
          <w:sz w:val="24"/>
          <w:szCs w:val="24"/>
        </w:rPr>
      </w:pPr>
      <w:r w:rsidRPr="00290B40">
        <w:rPr>
          <w:sz w:val="24"/>
          <w:szCs w:val="24"/>
        </w:rPr>
        <w:t xml:space="preserve">SILVA, Frederico Augusto Barbosa da; LUNELLI, Isabella Cristina. </w:t>
      </w:r>
      <w:r w:rsidRPr="00290B40">
        <w:rPr>
          <w:b/>
          <w:bCs/>
          <w:sz w:val="24"/>
          <w:szCs w:val="24"/>
        </w:rPr>
        <w:t>Violência e povos indígenas na Amazônia brasileira</w:t>
      </w:r>
      <w:r w:rsidRPr="00290B40">
        <w:rPr>
          <w:sz w:val="24"/>
          <w:szCs w:val="24"/>
        </w:rPr>
        <w:t>. Boletim de Análise Político-Institucional, Brasília, n. 36, p. 116-123, jan. 2024. Disponível em:</w:t>
      </w:r>
      <w:r w:rsidR="00864297">
        <w:rPr>
          <w:sz w:val="24"/>
          <w:szCs w:val="24"/>
        </w:rPr>
        <w:t xml:space="preserve"> </w:t>
      </w:r>
      <w:r w:rsidRPr="00290B40">
        <w:rPr>
          <w:sz w:val="24"/>
          <w:szCs w:val="24"/>
        </w:rPr>
        <w:t>&lt;</w:t>
      </w:r>
      <w:r w:rsidR="00D733BD" w:rsidRPr="00D733BD">
        <w:rPr>
          <w:sz w:val="24"/>
          <w:szCs w:val="24"/>
        </w:rPr>
        <w:t>https://repositorio.ipea.gov.br/bitstream/11058/13595/1/BAPI_36_Artigo_9_violencia.pdf</w:t>
      </w:r>
      <w:r w:rsidRPr="00290B40">
        <w:rPr>
          <w:sz w:val="24"/>
          <w:szCs w:val="24"/>
        </w:rPr>
        <w:t xml:space="preserve">&gt;. </w:t>
      </w:r>
      <w:r w:rsidR="00307562">
        <w:rPr>
          <w:sz w:val="24"/>
          <w:szCs w:val="24"/>
        </w:rPr>
        <w:t xml:space="preserve">Acesso em: </w:t>
      </w:r>
      <w:r w:rsidR="007B40B5">
        <w:rPr>
          <w:sz w:val="24"/>
          <w:szCs w:val="24"/>
        </w:rPr>
        <w:t>23</w:t>
      </w:r>
      <w:r w:rsidRPr="00290B40">
        <w:rPr>
          <w:sz w:val="24"/>
          <w:szCs w:val="24"/>
        </w:rPr>
        <w:t xml:space="preserve"> ju</w:t>
      </w:r>
      <w:r w:rsidR="007B40B5">
        <w:rPr>
          <w:sz w:val="24"/>
          <w:szCs w:val="24"/>
        </w:rPr>
        <w:t>n</w:t>
      </w:r>
      <w:r w:rsidRPr="00290B40">
        <w:rPr>
          <w:sz w:val="24"/>
          <w:szCs w:val="24"/>
        </w:rPr>
        <w:t>.</w:t>
      </w:r>
      <w:r w:rsidR="00307562">
        <w:rPr>
          <w:sz w:val="24"/>
          <w:szCs w:val="24"/>
        </w:rPr>
        <w:t xml:space="preserve"> </w:t>
      </w:r>
      <w:r w:rsidRPr="00290B40">
        <w:rPr>
          <w:sz w:val="24"/>
          <w:szCs w:val="24"/>
        </w:rPr>
        <w:t>2025.</w:t>
      </w:r>
    </w:p>
    <w:p w14:paraId="38276CE9" w14:textId="77777777" w:rsidR="004C3203" w:rsidRDefault="004C3203" w:rsidP="00540AD9">
      <w:pPr>
        <w:spacing w:after="200" w:line="360" w:lineRule="auto"/>
        <w:jc w:val="both"/>
        <w:rPr>
          <w:rFonts w:eastAsia="Calibri"/>
          <w:bCs/>
          <w:sz w:val="24"/>
          <w:szCs w:val="24"/>
        </w:rPr>
      </w:pPr>
      <w:r w:rsidRPr="004C3203">
        <w:rPr>
          <w:rFonts w:eastAsia="Calibri"/>
          <w:bCs/>
          <w:sz w:val="24"/>
          <w:szCs w:val="24"/>
        </w:rPr>
        <w:t xml:space="preserve">BRIGHENTI, Clovis </w:t>
      </w:r>
      <w:proofErr w:type="spellStart"/>
      <w:r w:rsidRPr="004C3203">
        <w:rPr>
          <w:rFonts w:eastAsia="Calibri"/>
          <w:bCs/>
          <w:sz w:val="24"/>
          <w:szCs w:val="24"/>
        </w:rPr>
        <w:t>Antonio</w:t>
      </w:r>
      <w:proofErr w:type="spellEnd"/>
      <w:r w:rsidRPr="004C3203">
        <w:rPr>
          <w:rFonts w:eastAsia="Calibri"/>
          <w:bCs/>
          <w:sz w:val="24"/>
          <w:szCs w:val="24"/>
        </w:rPr>
        <w:t xml:space="preserve">. </w:t>
      </w:r>
      <w:proofErr w:type="spellStart"/>
      <w:r w:rsidRPr="004C3203">
        <w:rPr>
          <w:rFonts w:eastAsia="Calibri"/>
          <w:b/>
          <w:sz w:val="24"/>
          <w:szCs w:val="24"/>
        </w:rPr>
        <w:t>Colonialidade</w:t>
      </w:r>
      <w:proofErr w:type="spellEnd"/>
      <w:r w:rsidRPr="004C3203">
        <w:rPr>
          <w:rFonts w:eastAsia="Calibri"/>
          <w:b/>
          <w:sz w:val="24"/>
          <w:szCs w:val="24"/>
        </w:rPr>
        <w:t xml:space="preserve"> do poder e a violência contra os povos indígenas</w:t>
      </w:r>
      <w:r w:rsidRPr="004C3203">
        <w:rPr>
          <w:rFonts w:eastAsia="Calibri"/>
          <w:bCs/>
          <w:sz w:val="24"/>
          <w:szCs w:val="24"/>
        </w:rPr>
        <w:t xml:space="preserve">. Revista </w:t>
      </w:r>
      <w:proofErr w:type="spellStart"/>
      <w:r w:rsidRPr="004C3203">
        <w:rPr>
          <w:rFonts w:eastAsia="Calibri"/>
          <w:bCs/>
          <w:sz w:val="24"/>
          <w:szCs w:val="24"/>
        </w:rPr>
        <w:t>PerCursos</w:t>
      </w:r>
      <w:proofErr w:type="spellEnd"/>
      <w:r w:rsidRPr="004C3203">
        <w:rPr>
          <w:rFonts w:eastAsia="Calibri"/>
          <w:bCs/>
          <w:sz w:val="24"/>
          <w:szCs w:val="24"/>
        </w:rPr>
        <w:t>, Florianópolis, v. 16, n. 32, p. 103–120, set./dez. 2015. Disponível em: &lt;</w:t>
      </w:r>
      <w:r w:rsidR="004516B3" w:rsidRPr="004516B3">
        <w:t xml:space="preserve"> </w:t>
      </w:r>
      <w:hyperlink r:id="rId12" w:history="1">
        <w:r w:rsidR="00307562" w:rsidRPr="00FC7301">
          <w:rPr>
            <w:rStyle w:val="Hyperlink"/>
            <w:rFonts w:eastAsia="Calibri"/>
            <w:bCs/>
            <w:sz w:val="24"/>
            <w:szCs w:val="24"/>
          </w:rPr>
          <w:t>https://www.periodicos.udesc.br/index.php/percursos/article/view/1984724616322015103/pdf_33</w:t>
        </w:r>
      </w:hyperlink>
      <w:r w:rsidRPr="004C3203">
        <w:rPr>
          <w:rFonts w:eastAsia="Calibri"/>
          <w:bCs/>
          <w:sz w:val="24"/>
          <w:szCs w:val="24"/>
        </w:rPr>
        <w:t>&gt;.</w:t>
      </w:r>
      <w:r w:rsidR="00307562">
        <w:rPr>
          <w:rFonts w:eastAsia="Calibri"/>
          <w:bCs/>
          <w:sz w:val="24"/>
          <w:szCs w:val="24"/>
        </w:rPr>
        <w:t xml:space="preserve"> Acesso em: </w:t>
      </w:r>
      <w:r w:rsidR="00C856B7">
        <w:rPr>
          <w:rFonts w:eastAsia="Calibri"/>
          <w:bCs/>
          <w:sz w:val="24"/>
          <w:szCs w:val="24"/>
        </w:rPr>
        <w:t>18</w:t>
      </w:r>
      <w:r w:rsidRPr="004C3203">
        <w:rPr>
          <w:rFonts w:eastAsia="Calibri"/>
          <w:bCs/>
          <w:sz w:val="24"/>
          <w:szCs w:val="24"/>
        </w:rPr>
        <w:t xml:space="preserve"> ju</w:t>
      </w:r>
      <w:r w:rsidR="00C856B7">
        <w:rPr>
          <w:rFonts w:eastAsia="Calibri"/>
          <w:bCs/>
          <w:sz w:val="24"/>
          <w:szCs w:val="24"/>
        </w:rPr>
        <w:t>n</w:t>
      </w:r>
      <w:r w:rsidRPr="004C3203">
        <w:rPr>
          <w:rFonts w:eastAsia="Calibri"/>
          <w:bCs/>
          <w:sz w:val="24"/>
          <w:szCs w:val="24"/>
        </w:rPr>
        <w:t>.2025</w:t>
      </w:r>
    </w:p>
    <w:p w14:paraId="5B89F924" w14:textId="77777777" w:rsidR="006834E1" w:rsidRPr="00E93658" w:rsidRDefault="006834E1" w:rsidP="00540AD9">
      <w:pPr>
        <w:spacing w:after="200" w:line="360" w:lineRule="auto"/>
        <w:jc w:val="both"/>
        <w:rPr>
          <w:rFonts w:eastAsia="Calibri"/>
          <w:bCs/>
          <w:sz w:val="24"/>
          <w:szCs w:val="24"/>
        </w:rPr>
      </w:pPr>
      <w:r w:rsidRPr="006834E1">
        <w:rPr>
          <w:rFonts w:eastAsia="Calibri"/>
          <w:bCs/>
          <w:sz w:val="24"/>
          <w:szCs w:val="24"/>
        </w:rPr>
        <w:t xml:space="preserve">SILVA, Leandro Araújo da. </w:t>
      </w:r>
      <w:r w:rsidRPr="006834E1">
        <w:rPr>
          <w:rFonts w:eastAsia="Calibri"/>
          <w:b/>
          <w:sz w:val="24"/>
          <w:szCs w:val="24"/>
        </w:rPr>
        <w:t xml:space="preserve">Morte e luta, silêncio e voz: o caso do assassinato do guardião indígena Paulo Paulino </w:t>
      </w:r>
      <w:proofErr w:type="spellStart"/>
      <w:r w:rsidRPr="006834E1">
        <w:rPr>
          <w:rFonts w:eastAsia="Calibri"/>
          <w:b/>
          <w:sz w:val="24"/>
          <w:szCs w:val="24"/>
        </w:rPr>
        <w:t>Guajajara</w:t>
      </w:r>
      <w:proofErr w:type="spellEnd"/>
      <w:r w:rsidRPr="006834E1">
        <w:rPr>
          <w:rFonts w:eastAsia="Calibri"/>
          <w:b/>
          <w:sz w:val="24"/>
          <w:szCs w:val="24"/>
        </w:rPr>
        <w:t>, no Maranhão</w:t>
      </w:r>
      <w:r w:rsidRPr="006834E1">
        <w:rPr>
          <w:rFonts w:eastAsia="Calibri"/>
          <w:bCs/>
          <w:sz w:val="24"/>
          <w:szCs w:val="24"/>
        </w:rPr>
        <w:t xml:space="preserve">. Revista </w:t>
      </w:r>
      <w:proofErr w:type="spellStart"/>
      <w:r w:rsidRPr="006834E1">
        <w:rPr>
          <w:rFonts w:eastAsia="Calibri"/>
          <w:bCs/>
          <w:sz w:val="24"/>
          <w:szCs w:val="24"/>
        </w:rPr>
        <w:t>Antropolítica</w:t>
      </w:r>
      <w:proofErr w:type="spellEnd"/>
      <w:r w:rsidRPr="006834E1">
        <w:rPr>
          <w:rFonts w:eastAsia="Calibri"/>
          <w:bCs/>
          <w:sz w:val="24"/>
          <w:szCs w:val="24"/>
        </w:rPr>
        <w:t xml:space="preserve">, Niterói, v. 56, n. 1, e56278, p. 1–22, jan./abr. 2024. Disponível em: &lt;arquivo pessoal fornecido pelo usuário&gt;. Acesso em: </w:t>
      </w:r>
      <w:r w:rsidR="00CA0020">
        <w:rPr>
          <w:rFonts w:eastAsia="Calibri"/>
          <w:bCs/>
          <w:sz w:val="24"/>
          <w:szCs w:val="24"/>
        </w:rPr>
        <w:t xml:space="preserve">21 </w:t>
      </w:r>
      <w:r w:rsidRPr="006834E1">
        <w:rPr>
          <w:rFonts w:eastAsia="Calibri"/>
          <w:bCs/>
          <w:sz w:val="24"/>
          <w:szCs w:val="24"/>
        </w:rPr>
        <w:t>ju</w:t>
      </w:r>
      <w:r w:rsidR="004B6F39">
        <w:rPr>
          <w:rFonts w:eastAsia="Calibri"/>
          <w:bCs/>
          <w:sz w:val="24"/>
          <w:szCs w:val="24"/>
        </w:rPr>
        <w:t>n</w:t>
      </w:r>
      <w:r w:rsidRPr="006834E1">
        <w:rPr>
          <w:rFonts w:eastAsia="Calibri"/>
          <w:bCs/>
          <w:sz w:val="24"/>
          <w:szCs w:val="24"/>
        </w:rPr>
        <w:t>. 2025.</w:t>
      </w:r>
    </w:p>
    <w:sectPr w:rsidR="006834E1" w:rsidRPr="00E93658" w:rsidSect="00A421EF">
      <w:footnotePr>
        <w:pos w:val="beneathText"/>
      </w:footnotePr>
      <w:type w:val="continuous"/>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2C4538" w14:textId="77777777" w:rsidR="00E51D45" w:rsidRDefault="00E51D45">
      <w:pPr>
        <w:spacing w:line="240" w:lineRule="auto"/>
      </w:pPr>
      <w:r>
        <w:separator/>
      </w:r>
    </w:p>
  </w:endnote>
  <w:endnote w:type="continuationSeparator" w:id="0">
    <w:p w14:paraId="4BC9BA39" w14:textId="77777777" w:rsidR="00E51D45" w:rsidRDefault="00E51D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19F0F3" w14:textId="77777777" w:rsidR="00E51D45" w:rsidRDefault="00E51D45">
      <w:pPr>
        <w:spacing w:line="240" w:lineRule="auto"/>
      </w:pPr>
      <w:r>
        <w:separator/>
      </w:r>
    </w:p>
  </w:footnote>
  <w:footnote w:type="continuationSeparator" w:id="0">
    <w:p w14:paraId="461E25C5" w14:textId="77777777" w:rsidR="00E51D45" w:rsidRDefault="00E51D45">
      <w:pPr>
        <w:spacing w:line="240" w:lineRule="auto"/>
      </w:pPr>
      <w:r>
        <w:continuationSeparator/>
      </w:r>
    </w:p>
  </w:footnote>
  <w:footnote w:id="1">
    <w:p w14:paraId="05668370" w14:textId="77777777" w:rsidR="009B1B96" w:rsidRDefault="006352F9">
      <w:pPr>
        <w:pStyle w:val="Textodenotaderodap"/>
      </w:pPr>
      <w:r>
        <w:rPr>
          <w:rStyle w:val="Refdenotaderodap"/>
        </w:rPr>
        <w:footnoteRef/>
      </w:r>
      <w:r>
        <w:t xml:space="preserve"> </w:t>
      </w:r>
      <w:r w:rsidR="00CA69DE">
        <w:t>Universidade CEUMA</w:t>
      </w:r>
      <w:r w:rsidR="005040CF">
        <w:t xml:space="preserve"> – Campus Renascença. </w:t>
      </w:r>
      <w:r w:rsidR="00572CB8">
        <w:t>Graduando</w:t>
      </w:r>
      <w:r w:rsidR="005040CF">
        <w:t xml:space="preserve"> em Direito</w:t>
      </w:r>
      <w:r w:rsidR="00C84A25">
        <w:t>.</w:t>
      </w:r>
      <w:r w:rsidR="004C3287">
        <w:t xml:space="preserve"> E-mail:</w:t>
      </w:r>
      <w:r w:rsidR="00C84A25">
        <w:t xml:space="preserve"> </w:t>
      </w:r>
      <w:hyperlink r:id="rId1" w:history="1">
        <w:r w:rsidR="00C84A25" w:rsidRPr="00DD3FC4">
          <w:rPr>
            <w:rStyle w:val="Hyperlink"/>
          </w:rPr>
          <w:t>gonzaleznoberto48@gmail.com</w:t>
        </w:r>
      </w:hyperlink>
    </w:p>
  </w:footnote>
  <w:footnote w:id="2">
    <w:p w14:paraId="48CD13FD" w14:textId="77777777" w:rsidR="003F4AD2" w:rsidRDefault="003F4AD2">
      <w:pPr>
        <w:pStyle w:val="Textodenotaderodap"/>
      </w:pPr>
      <w:r>
        <w:rPr>
          <w:rStyle w:val="Refdenotaderodap"/>
        </w:rPr>
        <w:footnoteRef/>
      </w:r>
      <w:r>
        <w:t xml:space="preserve"> </w:t>
      </w:r>
      <w:r w:rsidR="00B444DC">
        <w:t xml:space="preserve">Universidade CEUMA – Campus Renascença. Graduando </w:t>
      </w:r>
      <w:r w:rsidR="00D354A4">
        <w:t>em Direito. E-mail:</w:t>
      </w:r>
      <w:r w:rsidR="000725C4">
        <w:t xml:space="preserve"> </w:t>
      </w:r>
      <w:hyperlink r:id="rId2" w:history="1">
        <w:r w:rsidR="004C3287" w:rsidRPr="00DD3FC4">
          <w:rPr>
            <w:rStyle w:val="Hyperlink"/>
          </w:rPr>
          <w:t>sampaio.pedrootavio@gmail.com</w:t>
        </w:r>
      </w:hyperlink>
      <w:r w:rsidR="004C3287">
        <w:t xml:space="preserve"> </w:t>
      </w:r>
    </w:p>
  </w:footnote>
  <w:footnote w:id="3">
    <w:p w14:paraId="7E84AE01" w14:textId="77777777" w:rsidR="00781514" w:rsidRPr="003404F1" w:rsidRDefault="00781514" w:rsidP="0036160E">
      <w:pPr>
        <w:pStyle w:val="Textodenotaderodap"/>
        <w:jc w:val="both"/>
      </w:pPr>
      <w:r>
        <w:rPr>
          <w:rStyle w:val="Refdenotaderodap"/>
        </w:rPr>
        <w:footnoteRef/>
      </w:r>
      <w:r w:rsidR="00C61B80">
        <w:t xml:space="preserve"> </w:t>
      </w:r>
      <w:r w:rsidR="007776B4">
        <w:t xml:space="preserve">Segundo a Comissão Pastoral da Terra (CPT), em 2024 a </w:t>
      </w:r>
      <w:r w:rsidR="003404F1" w:rsidRPr="003404F1">
        <w:t>Amazônia Legal concentr</w:t>
      </w:r>
      <w:r w:rsidR="007776B4">
        <w:t>ou</w:t>
      </w:r>
      <w:r w:rsidR="003404F1" w:rsidRPr="003404F1">
        <w:t xml:space="preserve"> aproximadamente 60% dos casos de conflitos no campo registrados no </w:t>
      </w:r>
      <w:r w:rsidR="007776B4">
        <w:t xml:space="preserve">Brasil </w:t>
      </w:r>
      <w:r w:rsidR="003404F1">
        <w:t>(1310 de 2185 casos)</w:t>
      </w:r>
      <w:r w:rsidR="007776B4">
        <w:t>. Disponível em :</w:t>
      </w:r>
      <w:r w:rsidR="002B2FE7">
        <w:t xml:space="preserve"> &lt;</w:t>
      </w:r>
      <w:r w:rsidR="007776B4" w:rsidRPr="007776B4">
        <w:t>https://cptnacional.org.br/painel/comparacao-dos-conflitos-no-campo-brasil/</w:t>
      </w:r>
      <w:r w:rsidR="002B2FE7">
        <w:t>&gt;</w:t>
      </w:r>
    </w:p>
  </w:footnote>
  <w:footnote w:id="4">
    <w:p w14:paraId="431463D5" w14:textId="77777777" w:rsidR="000E7DBD" w:rsidRDefault="000E7DBD" w:rsidP="0036160E">
      <w:pPr>
        <w:pStyle w:val="Textodenotaderodap"/>
        <w:jc w:val="both"/>
      </w:pPr>
      <w:r>
        <w:rPr>
          <w:rStyle w:val="Refdenotaderodap"/>
        </w:rPr>
        <w:footnoteRef/>
      </w:r>
      <w:r>
        <w:t xml:space="preserve"> </w:t>
      </w:r>
      <w:r w:rsidRPr="00D62516">
        <w:rPr>
          <w:color w:val="000000"/>
        </w:rPr>
        <w:t>Com sede em Belém (PA) a Sudam  é uma autarquia federal vinculada ao Ministério do Desenvolvimento</w:t>
      </w:r>
      <w:r w:rsidRPr="000E7DBD">
        <w:t xml:space="preserve"> Regional cujo compromisso é levar desenvolvimento </w:t>
      </w:r>
      <w:r w:rsidRPr="000E7DBD">
        <w:t xml:space="preserve">includente e sustentável para os mais de 23 milhões de habitantes da Amazônia Legal, buscando oferecer igualdade de oportunidades e autonomia para a população por meio do planejamento, articulação e fomento de políticas públicas. </w:t>
      </w:r>
      <w:r w:rsidR="00893F75">
        <w:t xml:space="preserve">Disponível em: </w:t>
      </w:r>
      <w:r w:rsidRPr="000E7DBD">
        <w:t>https://www.gov.br/sudam/pt-br/composicao/ministro</w:t>
      </w:r>
    </w:p>
  </w:footnote>
  <w:footnote w:id="5">
    <w:p w14:paraId="0046CBCF" w14:textId="77777777" w:rsidR="0071720B" w:rsidRDefault="0071720B" w:rsidP="0036160E">
      <w:pPr>
        <w:pStyle w:val="Textodenotaderodap"/>
        <w:jc w:val="both"/>
      </w:pPr>
      <w:r>
        <w:rPr>
          <w:rStyle w:val="Refdenotaderodap"/>
        </w:rPr>
        <w:footnoteRef/>
      </w:r>
      <w:r>
        <w:t xml:space="preserve"> </w:t>
      </w:r>
      <w:r w:rsidR="005A365C">
        <w:t xml:space="preserve">(IBGE 2022) </w:t>
      </w:r>
      <w:r w:rsidRPr="0071720B">
        <w:t>A maior parte dos indígenas do país (51,25% ou 867,9 mil indígenas) viv</w:t>
      </w:r>
      <w:r w:rsidR="00251ED9">
        <w:t>e</w:t>
      </w:r>
      <w:r w:rsidRPr="0071720B">
        <w:t xml:space="preserve"> na Amazônia Legal, região formada pelos estados do Norte, Mato Grosso e parte do Maranhão.</w:t>
      </w:r>
      <w:r w:rsidR="006968FB">
        <w:t xml:space="preserve"> Disponível em: </w:t>
      </w:r>
      <w:r w:rsidR="000C3EDD" w:rsidRPr="000C3EDD">
        <w:t>https://agenciadenoticias.ibge.gov.br/agencia-noticias/2012-agencia-de-noticias/noticias/37565-brasil-tem-1-7-milhao-de-indigenas-e-mais-da-metade-deles-vive-na-amazonia-legal</w:t>
      </w:r>
    </w:p>
  </w:footnote>
  <w:footnote w:id="6">
    <w:p w14:paraId="3705671E" w14:textId="77777777" w:rsidR="009C1E05" w:rsidRDefault="009C1E05" w:rsidP="00655730">
      <w:pPr>
        <w:pStyle w:val="Textodenotaderodap"/>
        <w:jc w:val="both"/>
      </w:pPr>
      <w:r>
        <w:rPr>
          <w:rStyle w:val="Refdenotaderodap"/>
        </w:rPr>
        <w:footnoteRef/>
      </w:r>
      <w:r>
        <w:t xml:space="preserve"> </w:t>
      </w:r>
      <w:r w:rsidRPr="009C1E05">
        <w:t>Para João Pacheco de Oliveira Filho</w:t>
      </w:r>
      <w:r>
        <w:t xml:space="preserve">, </w:t>
      </w:r>
      <w:r w:rsidRPr="009C1E05">
        <w:t xml:space="preserve">o conceito de </w:t>
      </w:r>
      <w:r w:rsidRPr="009C1E05">
        <w:t>etnogênese inclui tanto o surgimento de novas identidades quanto a reinvenção de etnias já conhecidas</w:t>
      </w:r>
      <w:r w:rsidR="00545F69">
        <w:t>.</w:t>
      </w:r>
      <w:r w:rsidR="0087157F">
        <w:t xml:space="preserve"> </w:t>
      </w:r>
      <w:r w:rsidR="007D3F59">
        <w:t>Disponível em: &lt;</w:t>
      </w:r>
      <w:r w:rsidR="007D3F59" w:rsidRPr="007D3F59">
        <w:t>https://www.scielo.br/j/mana/a/fGbD5TshWKbCXScWRZt9hGH</w:t>
      </w:r>
      <w:r w:rsidR="007D3F59">
        <w:t>&gt;</w:t>
      </w:r>
    </w:p>
  </w:footnote>
  <w:footnote w:id="7">
    <w:p w14:paraId="6551B61A" w14:textId="77777777" w:rsidR="000338E8" w:rsidRDefault="000338E8" w:rsidP="003D7402">
      <w:pPr>
        <w:pStyle w:val="Textodenotaderodap"/>
        <w:jc w:val="both"/>
      </w:pPr>
      <w:r>
        <w:rPr>
          <w:rStyle w:val="Refdenotaderodap"/>
        </w:rPr>
        <w:footnoteRef/>
      </w:r>
      <w:r>
        <w:t xml:space="preserve"> </w:t>
      </w:r>
      <w:r w:rsidR="00A74772">
        <w:t xml:space="preserve">Em </w:t>
      </w:r>
      <w:r w:rsidR="0071269C">
        <w:t>04</w:t>
      </w:r>
      <w:r w:rsidR="000E5834">
        <w:t xml:space="preserve"> de dezembro de </w:t>
      </w:r>
      <w:r w:rsidR="00A74772">
        <w:t xml:space="preserve">2024 o </w:t>
      </w:r>
      <w:r w:rsidR="003E29A6">
        <w:t>e</w:t>
      </w:r>
      <w:r w:rsidR="00EB39E7">
        <w:t>ntão atual govern</w:t>
      </w:r>
      <w:r w:rsidR="0005578C">
        <w:t>o Lula</w:t>
      </w:r>
      <w:r w:rsidR="000B7B63">
        <w:t xml:space="preserve">, </w:t>
      </w:r>
      <w:r w:rsidR="00705D5F">
        <w:t xml:space="preserve">alcançou a marca de </w:t>
      </w:r>
      <w:r w:rsidR="002E0D75">
        <w:t>13 homologações</w:t>
      </w:r>
      <w:r w:rsidR="00746A5C">
        <w:t xml:space="preserve">, número que representou </w:t>
      </w:r>
      <w:r w:rsidR="0078774A">
        <w:t xml:space="preserve">um pouco mais da metade </w:t>
      </w:r>
      <w:r w:rsidR="00C45DD0">
        <w:t xml:space="preserve">do número de assinaturas </w:t>
      </w:r>
      <w:r w:rsidR="00852B4B">
        <w:t xml:space="preserve">homologatórias </w:t>
      </w:r>
      <w:r w:rsidR="002F1D16">
        <w:t>feitas</w:t>
      </w:r>
      <w:r w:rsidR="00366FAE">
        <w:t xml:space="preserve"> somente na sua </w:t>
      </w:r>
      <w:r w:rsidR="004F1D87">
        <w:t>última</w:t>
      </w:r>
      <w:r w:rsidR="00366FAE">
        <w:t xml:space="preserve"> gestão </w:t>
      </w:r>
      <w:r w:rsidR="00DC09B2">
        <w:t>(200</w:t>
      </w:r>
      <w:r w:rsidR="003B3A28">
        <w:t>6</w:t>
      </w:r>
      <w:r w:rsidR="00DC09B2">
        <w:t xml:space="preserve"> </w:t>
      </w:r>
      <w:r w:rsidR="00CC46DA">
        <w:t>–</w:t>
      </w:r>
      <w:r w:rsidR="00DC09B2">
        <w:t xml:space="preserve"> </w:t>
      </w:r>
      <w:r w:rsidR="00CC46DA">
        <w:t>2010</w:t>
      </w:r>
      <w:r w:rsidR="00AF64A4">
        <w:t>)</w:t>
      </w:r>
      <w:r w:rsidR="00864683">
        <w:t>.</w:t>
      </w:r>
      <w:r w:rsidR="0089364B">
        <w:t xml:space="preserve"> </w:t>
      </w:r>
      <w:r w:rsidR="001103EF">
        <w:t xml:space="preserve">Disponível em: </w:t>
      </w:r>
      <w:r w:rsidR="001F644C">
        <w:t>&lt;</w:t>
      </w:r>
      <w:r w:rsidR="001F644C" w:rsidRPr="001F644C">
        <w:t>https://www.socioambiental.org/noticias-socioambientais/governo-federal-homologa-tres-terras-indigenas-saiba-quais-sao</w:t>
      </w:r>
      <w:r w:rsidR="001F644C">
        <w:t>&gt;</w:t>
      </w:r>
    </w:p>
  </w:footnote>
  <w:footnote w:id="8">
    <w:p w14:paraId="0AC3E142" w14:textId="77777777" w:rsidR="0071538B" w:rsidRDefault="0071538B" w:rsidP="00D34BF5">
      <w:pPr>
        <w:pStyle w:val="Textodenotaderodap"/>
        <w:jc w:val="both"/>
      </w:pPr>
      <w:r w:rsidRPr="00DF550F">
        <w:rPr>
          <w:rStyle w:val="Refdenotaderodap"/>
        </w:rPr>
        <w:footnoteRef/>
      </w:r>
      <w:r w:rsidRPr="00DF550F">
        <w:t xml:space="preserve"> O colonialismo contemporâneo — que persiste mesmo após a independência formal dos Estados latino-americanos — se manifesta por meio de práticas econômicas, políticas e jurídicas que subordinam os territórios indígenas às dinâmicas do mercado capitalista.</w:t>
      </w:r>
      <w:r w:rsidR="001C0C1F" w:rsidRPr="00DF550F">
        <w:t xml:space="preserve"> Viveiros de Castro denuncia que o colonialismo atual é ontológico, pois impõe uma visão de mundo capitalista que transforma tudo em mercadoria</w:t>
      </w:r>
      <w:r w:rsidR="002971B2">
        <w:t>.</w:t>
      </w:r>
    </w:p>
  </w:footnote>
  <w:footnote w:id="9">
    <w:p w14:paraId="17A56457" w14:textId="77777777" w:rsidR="0043348C" w:rsidRDefault="0043348C">
      <w:pPr>
        <w:pStyle w:val="Textodenotaderodap"/>
      </w:pPr>
      <w:r>
        <w:rPr>
          <w:rStyle w:val="Refdenotaderodap"/>
        </w:rPr>
        <w:footnoteRef/>
      </w:r>
      <w:r>
        <w:t xml:space="preserve"> </w:t>
      </w:r>
      <w:r w:rsidR="006B7208" w:rsidRPr="006B7208">
        <w:t xml:space="preserve">Criança é morta e outros cinco indígenas ficam feridos em </w:t>
      </w:r>
      <w:r w:rsidR="000B07C6" w:rsidRPr="006B7208">
        <w:t>ataque</w:t>
      </w:r>
      <w:r w:rsidR="000B07C6">
        <w:t xml:space="preserve"> </w:t>
      </w:r>
      <w:r w:rsidR="006B7208" w:rsidRPr="006B7208">
        <w:t>a tiros na Terra Yanomami</w:t>
      </w:r>
      <w:r w:rsidR="0005327C">
        <w:t>.</w:t>
      </w:r>
      <w:r w:rsidR="006B7208">
        <w:t xml:space="preserve"> </w:t>
      </w:r>
      <w:r w:rsidR="0005327C">
        <w:t>D</w:t>
      </w:r>
      <w:r w:rsidR="006B7208">
        <w:t xml:space="preserve">isponível em: </w:t>
      </w:r>
      <w:r w:rsidR="00D637C5">
        <w:t>&lt;</w:t>
      </w:r>
      <w:r w:rsidR="0046460E" w:rsidRPr="0046460E">
        <w:t>https://g1.globo.com/rr/roraima/noticia/2023/07/04/crianca-morre-e-outras-cinco-pessoas-ficam-feridas-em-ataque-a-tiros-na-terra-yanomami.ghtml</w:t>
      </w:r>
      <w:r w:rsidR="00D637C5">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B1F18" w14:textId="77777777" w:rsidR="00FF4348" w:rsidRDefault="0080661C">
    <w:r>
      <w:rPr>
        <w:noProof/>
      </w:rPr>
      <w:drawing>
        <wp:anchor distT="114300" distB="114300" distL="114300" distR="114300" simplePos="0" relativeHeight="251657728" behindDoc="1" locked="0" layoutInCell="1" allowOverlap="1" wp14:anchorId="6C332752" wp14:editId="0178767E">
          <wp:simplePos x="0" y="0"/>
          <wp:positionH relativeFrom="page">
            <wp:posOffset>0</wp:posOffset>
          </wp:positionH>
          <wp:positionV relativeFrom="page">
            <wp:posOffset>-133350</wp:posOffset>
          </wp:positionV>
          <wp:extent cx="7630160" cy="10994390"/>
          <wp:effectExtent l="0" t="0" r="0" b="0"/>
          <wp:wrapNone/>
          <wp:docPr id="1"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0160" cy="1099439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A7529"/>
    <w:multiLevelType w:val="hybridMultilevel"/>
    <w:tmpl w:val="ECFE7D6C"/>
    <w:lvl w:ilvl="0" w:tplc="6C58FF4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F434CE5"/>
    <w:multiLevelType w:val="hybridMultilevel"/>
    <w:tmpl w:val="64D4967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42573F8F"/>
    <w:multiLevelType w:val="hybridMultilevel"/>
    <w:tmpl w:val="0A98D3CE"/>
    <w:lvl w:ilvl="0" w:tplc="48ECF4D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45225FA1"/>
    <w:multiLevelType w:val="hybridMultilevel"/>
    <w:tmpl w:val="EEDE72C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8313476"/>
    <w:multiLevelType w:val="hybridMultilevel"/>
    <w:tmpl w:val="6A465DE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2113239130">
    <w:abstractNumId w:val="3"/>
  </w:num>
  <w:num w:numId="2" w16cid:durableId="1516387169">
    <w:abstractNumId w:val="1"/>
  </w:num>
  <w:num w:numId="3" w16cid:durableId="1888251041">
    <w:abstractNumId w:val="4"/>
  </w:num>
  <w:num w:numId="4" w16cid:durableId="695428647">
    <w:abstractNumId w:val="2"/>
  </w:num>
  <w:num w:numId="5" w16cid:durableId="10494590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50"/>
  <w:proofState w:spelling="clean" w:grammar="clean"/>
  <w:revisionView w:inkAnnotations="0"/>
  <w:defaultTabStop w:val="720"/>
  <w:hyphenationZone w:val="425"/>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0268F"/>
    <w:rsid w:val="00004C39"/>
    <w:rsid w:val="000053D2"/>
    <w:rsid w:val="00007188"/>
    <w:rsid w:val="00007D69"/>
    <w:rsid w:val="0001284F"/>
    <w:rsid w:val="00016334"/>
    <w:rsid w:val="00016A4C"/>
    <w:rsid w:val="00017D76"/>
    <w:rsid w:val="00020E57"/>
    <w:rsid w:val="00022F1A"/>
    <w:rsid w:val="00023D4D"/>
    <w:rsid w:val="00032428"/>
    <w:rsid w:val="000338E8"/>
    <w:rsid w:val="00035FC7"/>
    <w:rsid w:val="0004117D"/>
    <w:rsid w:val="000416F2"/>
    <w:rsid w:val="00042174"/>
    <w:rsid w:val="000451D4"/>
    <w:rsid w:val="000479F0"/>
    <w:rsid w:val="00047ADD"/>
    <w:rsid w:val="0005327C"/>
    <w:rsid w:val="0005578C"/>
    <w:rsid w:val="000575C7"/>
    <w:rsid w:val="00060114"/>
    <w:rsid w:val="00060369"/>
    <w:rsid w:val="0006055D"/>
    <w:rsid w:val="00063C3D"/>
    <w:rsid w:val="0006498B"/>
    <w:rsid w:val="000725C4"/>
    <w:rsid w:val="00072CF5"/>
    <w:rsid w:val="0007555E"/>
    <w:rsid w:val="000805FC"/>
    <w:rsid w:val="000817F2"/>
    <w:rsid w:val="00085158"/>
    <w:rsid w:val="0009100C"/>
    <w:rsid w:val="00092AC6"/>
    <w:rsid w:val="000944D7"/>
    <w:rsid w:val="0009506A"/>
    <w:rsid w:val="000A79D4"/>
    <w:rsid w:val="000B07C6"/>
    <w:rsid w:val="000B4603"/>
    <w:rsid w:val="000B7B63"/>
    <w:rsid w:val="000C3EDD"/>
    <w:rsid w:val="000C45E0"/>
    <w:rsid w:val="000C4A3E"/>
    <w:rsid w:val="000C76B4"/>
    <w:rsid w:val="000D1245"/>
    <w:rsid w:val="000D28A4"/>
    <w:rsid w:val="000D2FBF"/>
    <w:rsid w:val="000D2FEA"/>
    <w:rsid w:val="000D5311"/>
    <w:rsid w:val="000D6691"/>
    <w:rsid w:val="000D6E76"/>
    <w:rsid w:val="000E3B93"/>
    <w:rsid w:val="000E5834"/>
    <w:rsid w:val="000E7DBD"/>
    <w:rsid w:val="000F24EB"/>
    <w:rsid w:val="000F4EAE"/>
    <w:rsid w:val="000F7A80"/>
    <w:rsid w:val="001103EF"/>
    <w:rsid w:val="0011353C"/>
    <w:rsid w:val="00127B50"/>
    <w:rsid w:val="00130A31"/>
    <w:rsid w:val="001340AD"/>
    <w:rsid w:val="0013411F"/>
    <w:rsid w:val="00134F6E"/>
    <w:rsid w:val="001409C4"/>
    <w:rsid w:val="001431C7"/>
    <w:rsid w:val="00151DA2"/>
    <w:rsid w:val="00154823"/>
    <w:rsid w:val="001553E9"/>
    <w:rsid w:val="001620D6"/>
    <w:rsid w:val="001628B9"/>
    <w:rsid w:val="0016579C"/>
    <w:rsid w:val="00165939"/>
    <w:rsid w:val="0016783D"/>
    <w:rsid w:val="00174D54"/>
    <w:rsid w:val="00177BC9"/>
    <w:rsid w:val="00182232"/>
    <w:rsid w:val="0018467F"/>
    <w:rsid w:val="001857B0"/>
    <w:rsid w:val="00186C24"/>
    <w:rsid w:val="00193B68"/>
    <w:rsid w:val="001A14B3"/>
    <w:rsid w:val="001A1959"/>
    <w:rsid w:val="001B191F"/>
    <w:rsid w:val="001B2333"/>
    <w:rsid w:val="001B2C8D"/>
    <w:rsid w:val="001C0C1F"/>
    <w:rsid w:val="001C36C9"/>
    <w:rsid w:val="001C72E8"/>
    <w:rsid w:val="001D531A"/>
    <w:rsid w:val="001E1FE7"/>
    <w:rsid w:val="001E2A54"/>
    <w:rsid w:val="001E2BB1"/>
    <w:rsid w:val="001E52B3"/>
    <w:rsid w:val="001E601A"/>
    <w:rsid w:val="001F1815"/>
    <w:rsid w:val="001F2B8C"/>
    <w:rsid w:val="001F644C"/>
    <w:rsid w:val="00201602"/>
    <w:rsid w:val="00201C0F"/>
    <w:rsid w:val="0020462D"/>
    <w:rsid w:val="00205486"/>
    <w:rsid w:val="00205872"/>
    <w:rsid w:val="00206B9B"/>
    <w:rsid w:val="00210E32"/>
    <w:rsid w:val="00217BC4"/>
    <w:rsid w:val="0022183B"/>
    <w:rsid w:val="002338C3"/>
    <w:rsid w:val="00241726"/>
    <w:rsid w:val="00245A83"/>
    <w:rsid w:val="00251ED9"/>
    <w:rsid w:val="00254B89"/>
    <w:rsid w:val="002573BA"/>
    <w:rsid w:val="00265E57"/>
    <w:rsid w:val="00274386"/>
    <w:rsid w:val="002772C7"/>
    <w:rsid w:val="00290B40"/>
    <w:rsid w:val="00292980"/>
    <w:rsid w:val="00295C51"/>
    <w:rsid w:val="002971B2"/>
    <w:rsid w:val="00297E9B"/>
    <w:rsid w:val="002A1F4F"/>
    <w:rsid w:val="002A6872"/>
    <w:rsid w:val="002A6AD2"/>
    <w:rsid w:val="002A7D71"/>
    <w:rsid w:val="002B135C"/>
    <w:rsid w:val="002B22E3"/>
    <w:rsid w:val="002B2FE7"/>
    <w:rsid w:val="002B4268"/>
    <w:rsid w:val="002B6914"/>
    <w:rsid w:val="002C07A0"/>
    <w:rsid w:val="002C08AD"/>
    <w:rsid w:val="002C686D"/>
    <w:rsid w:val="002C6AB3"/>
    <w:rsid w:val="002D30B6"/>
    <w:rsid w:val="002E0D75"/>
    <w:rsid w:val="002E23F7"/>
    <w:rsid w:val="002E4E5A"/>
    <w:rsid w:val="002E51D6"/>
    <w:rsid w:val="002E5C94"/>
    <w:rsid w:val="002E68A2"/>
    <w:rsid w:val="002E7CA0"/>
    <w:rsid w:val="002F043C"/>
    <w:rsid w:val="002F0AB8"/>
    <w:rsid w:val="002F184E"/>
    <w:rsid w:val="002F1D16"/>
    <w:rsid w:val="002F4CAC"/>
    <w:rsid w:val="002F6D43"/>
    <w:rsid w:val="00300EA5"/>
    <w:rsid w:val="00302B6D"/>
    <w:rsid w:val="003034AB"/>
    <w:rsid w:val="0030746B"/>
    <w:rsid w:val="00307562"/>
    <w:rsid w:val="0031496F"/>
    <w:rsid w:val="00314C5A"/>
    <w:rsid w:val="00314F8E"/>
    <w:rsid w:val="00327FCF"/>
    <w:rsid w:val="00331C5A"/>
    <w:rsid w:val="003404F1"/>
    <w:rsid w:val="003526FC"/>
    <w:rsid w:val="0035367F"/>
    <w:rsid w:val="00356025"/>
    <w:rsid w:val="00356E0A"/>
    <w:rsid w:val="00357C69"/>
    <w:rsid w:val="00360D4B"/>
    <w:rsid w:val="0036160E"/>
    <w:rsid w:val="00364600"/>
    <w:rsid w:val="00366FAE"/>
    <w:rsid w:val="00367B6F"/>
    <w:rsid w:val="003719B1"/>
    <w:rsid w:val="003756A5"/>
    <w:rsid w:val="00375B61"/>
    <w:rsid w:val="00375D76"/>
    <w:rsid w:val="00376A81"/>
    <w:rsid w:val="00380375"/>
    <w:rsid w:val="00385676"/>
    <w:rsid w:val="00392969"/>
    <w:rsid w:val="00392A9D"/>
    <w:rsid w:val="003A01F3"/>
    <w:rsid w:val="003A1AF5"/>
    <w:rsid w:val="003A373E"/>
    <w:rsid w:val="003A4B8C"/>
    <w:rsid w:val="003A5DB2"/>
    <w:rsid w:val="003A70E0"/>
    <w:rsid w:val="003A73BA"/>
    <w:rsid w:val="003B08F1"/>
    <w:rsid w:val="003B25B8"/>
    <w:rsid w:val="003B3A28"/>
    <w:rsid w:val="003B5650"/>
    <w:rsid w:val="003B6B32"/>
    <w:rsid w:val="003C0ECA"/>
    <w:rsid w:val="003D1D0F"/>
    <w:rsid w:val="003D7402"/>
    <w:rsid w:val="003E1C15"/>
    <w:rsid w:val="003E29A6"/>
    <w:rsid w:val="003E2ACB"/>
    <w:rsid w:val="003E2EBA"/>
    <w:rsid w:val="003E66EE"/>
    <w:rsid w:val="003E7CF6"/>
    <w:rsid w:val="003F1AA6"/>
    <w:rsid w:val="003F33BE"/>
    <w:rsid w:val="003F4AD2"/>
    <w:rsid w:val="003F595A"/>
    <w:rsid w:val="004054B2"/>
    <w:rsid w:val="00411995"/>
    <w:rsid w:val="0041287D"/>
    <w:rsid w:val="0042455D"/>
    <w:rsid w:val="0042761F"/>
    <w:rsid w:val="0043348C"/>
    <w:rsid w:val="00433F66"/>
    <w:rsid w:val="00444999"/>
    <w:rsid w:val="004465CD"/>
    <w:rsid w:val="00447CDB"/>
    <w:rsid w:val="004516B3"/>
    <w:rsid w:val="00453BEA"/>
    <w:rsid w:val="00454512"/>
    <w:rsid w:val="00461072"/>
    <w:rsid w:val="004613C4"/>
    <w:rsid w:val="0046393F"/>
    <w:rsid w:val="0046460E"/>
    <w:rsid w:val="00470829"/>
    <w:rsid w:val="004807EE"/>
    <w:rsid w:val="00485258"/>
    <w:rsid w:val="00496035"/>
    <w:rsid w:val="00497508"/>
    <w:rsid w:val="004A0AD8"/>
    <w:rsid w:val="004A1089"/>
    <w:rsid w:val="004A11E2"/>
    <w:rsid w:val="004A27A7"/>
    <w:rsid w:val="004B2441"/>
    <w:rsid w:val="004B2533"/>
    <w:rsid w:val="004B6F39"/>
    <w:rsid w:val="004B754C"/>
    <w:rsid w:val="004C3203"/>
    <w:rsid w:val="004C3287"/>
    <w:rsid w:val="004C5175"/>
    <w:rsid w:val="004C70BE"/>
    <w:rsid w:val="004D1735"/>
    <w:rsid w:val="004D42E2"/>
    <w:rsid w:val="004D499D"/>
    <w:rsid w:val="004D7E07"/>
    <w:rsid w:val="004E0682"/>
    <w:rsid w:val="004E5B7B"/>
    <w:rsid w:val="004F1D87"/>
    <w:rsid w:val="004F776F"/>
    <w:rsid w:val="0050155A"/>
    <w:rsid w:val="005040CF"/>
    <w:rsid w:val="00504C86"/>
    <w:rsid w:val="005153C6"/>
    <w:rsid w:val="00522D19"/>
    <w:rsid w:val="00523674"/>
    <w:rsid w:val="005244E1"/>
    <w:rsid w:val="0053655C"/>
    <w:rsid w:val="00537C74"/>
    <w:rsid w:val="00540636"/>
    <w:rsid w:val="00540AD9"/>
    <w:rsid w:val="00545F69"/>
    <w:rsid w:val="005534B4"/>
    <w:rsid w:val="00553839"/>
    <w:rsid w:val="005558EE"/>
    <w:rsid w:val="0055780D"/>
    <w:rsid w:val="0056051A"/>
    <w:rsid w:val="00560DEB"/>
    <w:rsid w:val="00563352"/>
    <w:rsid w:val="00564DAE"/>
    <w:rsid w:val="005652D3"/>
    <w:rsid w:val="00571C40"/>
    <w:rsid w:val="00572CB8"/>
    <w:rsid w:val="00575798"/>
    <w:rsid w:val="00577F22"/>
    <w:rsid w:val="00586C9E"/>
    <w:rsid w:val="00597B40"/>
    <w:rsid w:val="005A1543"/>
    <w:rsid w:val="005A2988"/>
    <w:rsid w:val="005A365C"/>
    <w:rsid w:val="005A3A9D"/>
    <w:rsid w:val="005A7409"/>
    <w:rsid w:val="005B1363"/>
    <w:rsid w:val="005B255D"/>
    <w:rsid w:val="005B2886"/>
    <w:rsid w:val="005B3CFF"/>
    <w:rsid w:val="005B53B6"/>
    <w:rsid w:val="005B7265"/>
    <w:rsid w:val="005C1D9F"/>
    <w:rsid w:val="005C4655"/>
    <w:rsid w:val="005C71F7"/>
    <w:rsid w:val="005D3EE2"/>
    <w:rsid w:val="005D52BB"/>
    <w:rsid w:val="005E3384"/>
    <w:rsid w:val="005E6ACC"/>
    <w:rsid w:val="005F3FB2"/>
    <w:rsid w:val="005F5ED7"/>
    <w:rsid w:val="00604994"/>
    <w:rsid w:val="00604E77"/>
    <w:rsid w:val="00610278"/>
    <w:rsid w:val="0061483B"/>
    <w:rsid w:val="006155D7"/>
    <w:rsid w:val="00630367"/>
    <w:rsid w:val="0063469B"/>
    <w:rsid w:val="006352F9"/>
    <w:rsid w:val="00640958"/>
    <w:rsid w:val="00647F7A"/>
    <w:rsid w:val="006520B3"/>
    <w:rsid w:val="00654843"/>
    <w:rsid w:val="00655730"/>
    <w:rsid w:val="006603AA"/>
    <w:rsid w:val="006613C8"/>
    <w:rsid w:val="00662211"/>
    <w:rsid w:val="00664A8A"/>
    <w:rsid w:val="00666F63"/>
    <w:rsid w:val="00667BF2"/>
    <w:rsid w:val="00670521"/>
    <w:rsid w:val="00671A0A"/>
    <w:rsid w:val="006735E1"/>
    <w:rsid w:val="00676D7F"/>
    <w:rsid w:val="00676EDD"/>
    <w:rsid w:val="006834E1"/>
    <w:rsid w:val="0068668E"/>
    <w:rsid w:val="00693095"/>
    <w:rsid w:val="006944C1"/>
    <w:rsid w:val="006968FB"/>
    <w:rsid w:val="00696B70"/>
    <w:rsid w:val="006A2A95"/>
    <w:rsid w:val="006A2E82"/>
    <w:rsid w:val="006A3FCC"/>
    <w:rsid w:val="006A6BC0"/>
    <w:rsid w:val="006A6E19"/>
    <w:rsid w:val="006B2005"/>
    <w:rsid w:val="006B3894"/>
    <w:rsid w:val="006B7208"/>
    <w:rsid w:val="006C00C0"/>
    <w:rsid w:val="006C0134"/>
    <w:rsid w:val="006C279A"/>
    <w:rsid w:val="006C474F"/>
    <w:rsid w:val="006C69CD"/>
    <w:rsid w:val="006D052A"/>
    <w:rsid w:val="006D4FBC"/>
    <w:rsid w:val="006E2E90"/>
    <w:rsid w:val="006E2FB6"/>
    <w:rsid w:val="006E3C97"/>
    <w:rsid w:val="006F142B"/>
    <w:rsid w:val="006F2BEE"/>
    <w:rsid w:val="006F6D38"/>
    <w:rsid w:val="00705D5F"/>
    <w:rsid w:val="00711AAD"/>
    <w:rsid w:val="0071203B"/>
    <w:rsid w:val="0071269C"/>
    <w:rsid w:val="007142E0"/>
    <w:rsid w:val="0071538B"/>
    <w:rsid w:val="0071720B"/>
    <w:rsid w:val="00721D14"/>
    <w:rsid w:val="00724AC5"/>
    <w:rsid w:val="0072656B"/>
    <w:rsid w:val="007333D9"/>
    <w:rsid w:val="0073762D"/>
    <w:rsid w:val="00745E23"/>
    <w:rsid w:val="00746A5C"/>
    <w:rsid w:val="00762726"/>
    <w:rsid w:val="00766921"/>
    <w:rsid w:val="00770386"/>
    <w:rsid w:val="00770A09"/>
    <w:rsid w:val="00771939"/>
    <w:rsid w:val="00771969"/>
    <w:rsid w:val="00774C43"/>
    <w:rsid w:val="007776B4"/>
    <w:rsid w:val="007802BA"/>
    <w:rsid w:val="00781514"/>
    <w:rsid w:val="00784E8B"/>
    <w:rsid w:val="0078774A"/>
    <w:rsid w:val="007902DC"/>
    <w:rsid w:val="007A07BC"/>
    <w:rsid w:val="007A71E2"/>
    <w:rsid w:val="007B40B5"/>
    <w:rsid w:val="007B413B"/>
    <w:rsid w:val="007C515C"/>
    <w:rsid w:val="007C7699"/>
    <w:rsid w:val="007D3F59"/>
    <w:rsid w:val="007D6416"/>
    <w:rsid w:val="007D6AC7"/>
    <w:rsid w:val="007D6BF6"/>
    <w:rsid w:val="007D79EA"/>
    <w:rsid w:val="007F0B91"/>
    <w:rsid w:val="007F18AB"/>
    <w:rsid w:val="007F7310"/>
    <w:rsid w:val="007F79E3"/>
    <w:rsid w:val="00801B04"/>
    <w:rsid w:val="0080661C"/>
    <w:rsid w:val="00814611"/>
    <w:rsid w:val="0081674C"/>
    <w:rsid w:val="00820DF0"/>
    <w:rsid w:val="00824690"/>
    <w:rsid w:val="00827147"/>
    <w:rsid w:val="00827BF2"/>
    <w:rsid w:val="0083115B"/>
    <w:rsid w:val="00831490"/>
    <w:rsid w:val="00833298"/>
    <w:rsid w:val="00840B1C"/>
    <w:rsid w:val="0084391D"/>
    <w:rsid w:val="0084651B"/>
    <w:rsid w:val="0084778B"/>
    <w:rsid w:val="00847DE7"/>
    <w:rsid w:val="00852B4B"/>
    <w:rsid w:val="00860013"/>
    <w:rsid w:val="008608AC"/>
    <w:rsid w:val="00864297"/>
    <w:rsid w:val="00864683"/>
    <w:rsid w:val="00865C3D"/>
    <w:rsid w:val="008676B5"/>
    <w:rsid w:val="0087157F"/>
    <w:rsid w:val="00873DC8"/>
    <w:rsid w:val="008800D0"/>
    <w:rsid w:val="00887F33"/>
    <w:rsid w:val="008932A1"/>
    <w:rsid w:val="0089364B"/>
    <w:rsid w:val="00893F75"/>
    <w:rsid w:val="0089723F"/>
    <w:rsid w:val="008A68F0"/>
    <w:rsid w:val="008B2798"/>
    <w:rsid w:val="008B2AF9"/>
    <w:rsid w:val="008B60E8"/>
    <w:rsid w:val="008C07F3"/>
    <w:rsid w:val="008C67F0"/>
    <w:rsid w:val="008E1199"/>
    <w:rsid w:val="008E3436"/>
    <w:rsid w:val="008E38FA"/>
    <w:rsid w:val="008F0149"/>
    <w:rsid w:val="008F7928"/>
    <w:rsid w:val="00900BBC"/>
    <w:rsid w:val="00904FCE"/>
    <w:rsid w:val="00906864"/>
    <w:rsid w:val="00910A16"/>
    <w:rsid w:val="00913362"/>
    <w:rsid w:val="00914513"/>
    <w:rsid w:val="0091766B"/>
    <w:rsid w:val="00917C7C"/>
    <w:rsid w:val="009226CB"/>
    <w:rsid w:val="00922A26"/>
    <w:rsid w:val="00922F67"/>
    <w:rsid w:val="009234E3"/>
    <w:rsid w:val="00925D9A"/>
    <w:rsid w:val="0093133B"/>
    <w:rsid w:val="009321EF"/>
    <w:rsid w:val="00934C72"/>
    <w:rsid w:val="009364D7"/>
    <w:rsid w:val="00937847"/>
    <w:rsid w:val="009428D7"/>
    <w:rsid w:val="00943A0C"/>
    <w:rsid w:val="00943BF5"/>
    <w:rsid w:val="00945B3A"/>
    <w:rsid w:val="009476BE"/>
    <w:rsid w:val="009533BD"/>
    <w:rsid w:val="00954311"/>
    <w:rsid w:val="00961876"/>
    <w:rsid w:val="00963520"/>
    <w:rsid w:val="00964428"/>
    <w:rsid w:val="00973090"/>
    <w:rsid w:val="00973B73"/>
    <w:rsid w:val="00975AB7"/>
    <w:rsid w:val="00976C0A"/>
    <w:rsid w:val="0098741B"/>
    <w:rsid w:val="009A0D39"/>
    <w:rsid w:val="009A0EB5"/>
    <w:rsid w:val="009A551D"/>
    <w:rsid w:val="009A5DDD"/>
    <w:rsid w:val="009A7297"/>
    <w:rsid w:val="009B1B96"/>
    <w:rsid w:val="009B1EA6"/>
    <w:rsid w:val="009C028A"/>
    <w:rsid w:val="009C18F5"/>
    <w:rsid w:val="009C1E05"/>
    <w:rsid w:val="009C4A8E"/>
    <w:rsid w:val="009C56D5"/>
    <w:rsid w:val="009C6D90"/>
    <w:rsid w:val="009D02BB"/>
    <w:rsid w:val="009D2D53"/>
    <w:rsid w:val="009E6554"/>
    <w:rsid w:val="009F4089"/>
    <w:rsid w:val="009F4C68"/>
    <w:rsid w:val="009F6FE4"/>
    <w:rsid w:val="00A01418"/>
    <w:rsid w:val="00A03A37"/>
    <w:rsid w:val="00A0502C"/>
    <w:rsid w:val="00A067C7"/>
    <w:rsid w:val="00A120D9"/>
    <w:rsid w:val="00A1631C"/>
    <w:rsid w:val="00A30C03"/>
    <w:rsid w:val="00A3118F"/>
    <w:rsid w:val="00A35773"/>
    <w:rsid w:val="00A358FC"/>
    <w:rsid w:val="00A37465"/>
    <w:rsid w:val="00A421EF"/>
    <w:rsid w:val="00A435BF"/>
    <w:rsid w:val="00A60EAB"/>
    <w:rsid w:val="00A669C2"/>
    <w:rsid w:val="00A67B52"/>
    <w:rsid w:val="00A70176"/>
    <w:rsid w:val="00A716DC"/>
    <w:rsid w:val="00A71A84"/>
    <w:rsid w:val="00A72F10"/>
    <w:rsid w:val="00A74772"/>
    <w:rsid w:val="00A82716"/>
    <w:rsid w:val="00A84207"/>
    <w:rsid w:val="00A85BFD"/>
    <w:rsid w:val="00A921A8"/>
    <w:rsid w:val="00AA2FF9"/>
    <w:rsid w:val="00AA3AB8"/>
    <w:rsid w:val="00AA6B89"/>
    <w:rsid w:val="00AB3E66"/>
    <w:rsid w:val="00AC3902"/>
    <w:rsid w:val="00AC5324"/>
    <w:rsid w:val="00AD19BC"/>
    <w:rsid w:val="00AD6C5F"/>
    <w:rsid w:val="00AD7476"/>
    <w:rsid w:val="00AE3B2D"/>
    <w:rsid w:val="00AF1296"/>
    <w:rsid w:val="00AF2011"/>
    <w:rsid w:val="00AF204B"/>
    <w:rsid w:val="00AF2EA3"/>
    <w:rsid w:val="00AF4D47"/>
    <w:rsid w:val="00AF64A4"/>
    <w:rsid w:val="00AF674F"/>
    <w:rsid w:val="00AF75A2"/>
    <w:rsid w:val="00B005EF"/>
    <w:rsid w:val="00B00B23"/>
    <w:rsid w:val="00B060E2"/>
    <w:rsid w:val="00B10465"/>
    <w:rsid w:val="00B13112"/>
    <w:rsid w:val="00B16D3E"/>
    <w:rsid w:val="00B21468"/>
    <w:rsid w:val="00B357CC"/>
    <w:rsid w:val="00B36D59"/>
    <w:rsid w:val="00B42D80"/>
    <w:rsid w:val="00B444DC"/>
    <w:rsid w:val="00B47542"/>
    <w:rsid w:val="00B570A9"/>
    <w:rsid w:val="00B6134E"/>
    <w:rsid w:val="00B62C28"/>
    <w:rsid w:val="00B63682"/>
    <w:rsid w:val="00B64978"/>
    <w:rsid w:val="00B75B59"/>
    <w:rsid w:val="00B769F6"/>
    <w:rsid w:val="00B77162"/>
    <w:rsid w:val="00B8198B"/>
    <w:rsid w:val="00B81C85"/>
    <w:rsid w:val="00B81D54"/>
    <w:rsid w:val="00B8366A"/>
    <w:rsid w:val="00B837CA"/>
    <w:rsid w:val="00B85F02"/>
    <w:rsid w:val="00B86CDB"/>
    <w:rsid w:val="00B907CB"/>
    <w:rsid w:val="00B90CE2"/>
    <w:rsid w:val="00B94A71"/>
    <w:rsid w:val="00BA0165"/>
    <w:rsid w:val="00BA118F"/>
    <w:rsid w:val="00BA259B"/>
    <w:rsid w:val="00BB06AC"/>
    <w:rsid w:val="00BB3390"/>
    <w:rsid w:val="00BB4C29"/>
    <w:rsid w:val="00BB7D88"/>
    <w:rsid w:val="00BC1AC8"/>
    <w:rsid w:val="00BC356F"/>
    <w:rsid w:val="00BC7C70"/>
    <w:rsid w:val="00BD04F6"/>
    <w:rsid w:val="00BD27E5"/>
    <w:rsid w:val="00BD6A38"/>
    <w:rsid w:val="00BE471F"/>
    <w:rsid w:val="00C0286F"/>
    <w:rsid w:val="00C03C49"/>
    <w:rsid w:val="00C05AD2"/>
    <w:rsid w:val="00C20FD2"/>
    <w:rsid w:val="00C26147"/>
    <w:rsid w:val="00C265A8"/>
    <w:rsid w:val="00C335EF"/>
    <w:rsid w:val="00C35DBE"/>
    <w:rsid w:val="00C410C3"/>
    <w:rsid w:val="00C42986"/>
    <w:rsid w:val="00C45DD0"/>
    <w:rsid w:val="00C46AF3"/>
    <w:rsid w:val="00C53655"/>
    <w:rsid w:val="00C55B42"/>
    <w:rsid w:val="00C605BE"/>
    <w:rsid w:val="00C61A1D"/>
    <w:rsid w:val="00C61B80"/>
    <w:rsid w:val="00C64AC5"/>
    <w:rsid w:val="00C66C01"/>
    <w:rsid w:val="00C71A6D"/>
    <w:rsid w:val="00C722CD"/>
    <w:rsid w:val="00C84253"/>
    <w:rsid w:val="00C84A25"/>
    <w:rsid w:val="00C856B7"/>
    <w:rsid w:val="00C87FB4"/>
    <w:rsid w:val="00C93E93"/>
    <w:rsid w:val="00C93EEF"/>
    <w:rsid w:val="00C94D7A"/>
    <w:rsid w:val="00CA0020"/>
    <w:rsid w:val="00CA1A2A"/>
    <w:rsid w:val="00CA1C20"/>
    <w:rsid w:val="00CA50AF"/>
    <w:rsid w:val="00CA69DE"/>
    <w:rsid w:val="00CB3CAC"/>
    <w:rsid w:val="00CB5770"/>
    <w:rsid w:val="00CB5B9C"/>
    <w:rsid w:val="00CB78E5"/>
    <w:rsid w:val="00CB7D5E"/>
    <w:rsid w:val="00CC46DA"/>
    <w:rsid w:val="00CC6234"/>
    <w:rsid w:val="00CD2C9F"/>
    <w:rsid w:val="00CD43AE"/>
    <w:rsid w:val="00CE4EAD"/>
    <w:rsid w:val="00CF09E2"/>
    <w:rsid w:val="00D05E24"/>
    <w:rsid w:val="00D05F66"/>
    <w:rsid w:val="00D06890"/>
    <w:rsid w:val="00D21057"/>
    <w:rsid w:val="00D245C3"/>
    <w:rsid w:val="00D34BF5"/>
    <w:rsid w:val="00D3527B"/>
    <w:rsid w:val="00D354A4"/>
    <w:rsid w:val="00D356E6"/>
    <w:rsid w:val="00D41B50"/>
    <w:rsid w:val="00D50E8B"/>
    <w:rsid w:val="00D51ECE"/>
    <w:rsid w:val="00D62516"/>
    <w:rsid w:val="00D637C5"/>
    <w:rsid w:val="00D63EB8"/>
    <w:rsid w:val="00D7177A"/>
    <w:rsid w:val="00D71AAE"/>
    <w:rsid w:val="00D72051"/>
    <w:rsid w:val="00D733BD"/>
    <w:rsid w:val="00D746E3"/>
    <w:rsid w:val="00D76355"/>
    <w:rsid w:val="00D90580"/>
    <w:rsid w:val="00D9211F"/>
    <w:rsid w:val="00D92956"/>
    <w:rsid w:val="00DA17AE"/>
    <w:rsid w:val="00DA4A7D"/>
    <w:rsid w:val="00DB09B4"/>
    <w:rsid w:val="00DB48A0"/>
    <w:rsid w:val="00DC09B2"/>
    <w:rsid w:val="00DC5364"/>
    <w:rsid w:val="00DC6AB1"/>
    <w:rsid w:val="00DD4B95"/>
    <w:rsid w:val="00DD5FA3"/>
    <w:rsid w:val="00DD6AF3"/>
    <w:rsid w:val="00DE0BCA"/>
    <w:rsid w:val="00DF1950"/>
    <w:rsid w:val="00DF550F"/>
    <w:rsid w:val="00DF6B7B"/>
    <w:rsid w:val="00E00393"/>
    <w:rsid w:val="00E1138B"/>
    <w:rsid w:val="00E227A1"/>
    <w:rsid w:val="00E2491B"/>
    <w:rsid w:val="00E3547A"/>
    <w:rsid w:val="00E45882"/>
    <w:rsid w:val="00E46183"/>
    <w:rsid w:val="00E50D4D"/>
    <w:rsid w:val="00E51D45"/>
    <w:rsid w:val="00E526B9"/>
    <w:rsid w:val="00E52A00"/>
    <w:rsid w:val="00E538DA"/>
    <w:rsid w:val="00E5413A"/>
    <w:rsid w:val="00E5531A"/>
    <w:rsid w:val="00E60AAD"/>
    <w:rsid w:val="00E638EE"/>
    <w:rsid w:val="00E64E46"/>
    <w:rsid w:val="00E6640F"/>
    <w:rsid w:val="00E6687B"/>
    <w:rsid w:val="00E66DFC"/>
    <w:rsid w:val="00E66E81"/>
    <w:rsid w:val="00E73038"/>
    <w:rsid w:val="00E77AC8"/>
    <w:rsid w:val="00E81718"/>
    <w:rsid w:val="00E92470"/>
    <w:rsid w:val="00E93658"/>
    <w:rsid w:val="00E94F7F"/>
    <w:rsid w:val="00EA1677"/>
    <w:rsid w:val="00EA7E19"/>
    <w:rsid w:val="00EB2BEB"/>
    <w:rsid w:val="00EB39E7"/>
    <w:rsid w:val="00EB71D0"/>
    <w:rsid w:val="00EC02E8"/>
    <w:rsid w:val="00EC0459"/>
    <w:rsid w:val="00EC4837"/>
    <w:rsid w:val="00ED2D66"/>
    <w:rsid w:val="00ED65F7"/>
    <w:rsid w:val="00EF0E61"/>
    <w:rsid w:val="00EF630B"/>
    <w:rsid w:val="00EF7852"/>
    <w:rsid w:val="00F017E3"/>
    <w:rsid w:val="00F0208E"/>
    <w:rsid w:val="00F027AE"/>
    <w:rsid w:val="00F14556"/>
    <w:rsid w:val="00F21B3B"/>
    <w:rsid w:val="00F244CE"/>
    <w:rsid w:val="00F25405"/>
    <w:rsid w:val="00F25D55"/>
    <w:rsid w:val="00F26762"/>
    <w:rsid w:val="00F26E73"/>
    <w:rsid w:val="00F2735F"/>
    <w:rsid w:val="00F36382"/>
    <w:rsid w:val="00F40CB7"/>
    <w:rsid w:val="00F43307"/>
    <w:rsid w:val="00F45098"/>
    <w:rsid w:val="00F51995"/>
    <w:rsid w:val="00F55166"/>
    <w:rsid w:val="00F55548"/>
    <w:rsid w:val="00F558E9"/>
    <w:rsid w:val="00F72454"/>
    <w:rsid w:val="00F82313"/>
    <w:rsid w:val="00F82735"/>
    <w:rsid w:val="00FA09D3"/>
    <w:rsid w:val="00FA3790"/>
    <w:rsid w:val="00FA3810"/>
    <w:rsid w:val="00FA41AF"/>
    <w:rsid w:val="00FA6936"/>
    <w:rsid w:val="00FB2547"/>
    <w:rsid w:val="00FB32D9"/>
    <w:rsid w:val="00FB5B32"/>
    <w:rsid w:val="00FD422D"/>
    <w:rsid w:val="00FD5A71"/>
    <w:rsid w:val="00FD6861"/>
    <w:rsid w:val="00FE2815"/>
    <w:rsid w:val="00FE502E"/>
    <w:rsid w:val="00FE6522"/>
    <w:rsid w:val="00FE7FC6"/>
    <w:rsid w:val="00FF409D"/>
    <w:rsid w:val="00FF4348"/>
    <w:rsid w:val="00FF57E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0ECDA"/>
  <w15:docId w15:val="{3DDE9DB0-9E8B-44E2-B1C7-23785A915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paragraph" w:styleId="Textodenotaderodap">
    <w:name w:val="footnote text"/>
    <w:basedOn w:val="Normal"/>
    <w:link w:val="TextodenotaderodapChar"/>
    <w:uiPriority w:val="99"/>
    <w:semiHidden/>
    <w:unhideWhenUsed/>
    <w:rsid w:val="00781514"/>
    <w:rPr>
      <w:sz w:val="20"/>
      <w:szCs w:val="20"/>
    </w:rPr>
  </w:style>
  <w:style w:type="character" w:customStyle="1" w:styleId="TextodenotaderodapChar">
    <w:name w:val="Texto de nota de rodapé Char"/>
    <w:basedOn w:val="Fontepargpadro"/>
    <w:link w:val="Textodenotaderodap"/>
    <w:uiPriority w:val="99"/>
    <w:semiHidden/>
    <w:rsid w:val="00781514"/>
  </w:style>
  <w:style w:type="character" w:styleId="Refdenotaderodap">
    <w:name w:val="footnote reference"/>
    <w:uiPriority w:val="99"/>
    <w:semiHidden/>
    <w:unhideWhenUsed/>
    <w:rsid w:val="00781514"/>
    <w:rPr>
      <w:vertAlign w:val="superscript"/>
    </w:rPr>
  </w:style>
  <w:style w:type="character" w:styleId="Hyperlink">
    <w:name w:val="Hyperlink"/>
    <w:uiPriority w:val="99"/>
    <w:unhideWhenUsed/>
    <w:rsid w:val="0022183B"/>
    <w:rPr>
      <w:color w:val="467886"/>
      <w:u w:val="single"/>
    </w:rPr>
  </w:style>
  <w:style w:type="character" w:styleId="MenoPendente">
    <w:name w:val="Unresolved Mention"/>
    <w:uiPriority w:val="99"/>
    <w:semiHidden/>
    <w:unhideWhenUsed/>
    <w:rsid w:val="0022183B"/>
    <w:rPr>
      <w:color w:val="605E5C"/>
      <w:shd w:val="clear" w:color="auto" w:fill="E1DFDD"/>
    </w:rPr>
  </w:style>
  <w:style w:type="table" w:customStyle="1" w:styleId="TableNormal1">
    <w:name w:val="Table Normal1"/>
    <w:rsid w:val="00CB7D5E"/>
    <w:pPr>
      <w:spacing w:line="276" w:lineRule="auto"/>
    </w:pPr>
    <w:rPr>
      <w:sz w:val="22"/>
      <w:szCs w:val="22"/>
    </w:rPr>
    <w:tblPr>
      <w:tblCellMar>
        <w:top w:w="0" w:type="dxa"/>
        <w:left w:w="0" w:type="dxa"/>
        <w:bottom w:w="0" w:type="dxa"/>
        <w:right w:w="0" w:type="dxa"/>
      </w:tblCellMar>
    </w:tblPr>
  </w:style>
  <w:style w:type="character" w:styleId="HiperlinkVisitado">
    <w:name w:val="FollowedHyperlink"/>
    <w:uiPriority w:val="99"/>
    <w:semiHidden/>
    <w:unhideWhenUsed/>
    <w:rsid w:val="00610278"/>
    <w:rPr>
      <w:color w:val="96607D"/>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 /><Relationship Id="rId13" Type="http://schemas.openxmlformats.org/officeDocument/2006/relationships/fontTable" Target="fontTable.xml" /><Relationship Id="rId3" Type="http://schemas.openxmlformats.org/officeDocument/2006/relationships/customXml" Target="../customXml/item3.xml" /><Relationship Id="rId7" Type="http://schemas.openxmlformats.org/officeDocument/2006/relationships/settings" Target="settings.xml" /><Relationship Id="rId12" Type="http://schemas.openxmlformats.org/officeDocument/2006/relationships/hyperlink" Target="https://www.periodicos.udesc.br/index.php/percursos/article/view/1984724616322015103/pdf_33" TargetMode="External" /><Relationship Id="rId2" Type="http://schemas.openxmlformats.org/officeDocument/2006/relationships/customXml" Target="../customXml/item2.xml" /><Relationship Id="rId1" Type="http://schemas.openxmlformats.org/officeDocument/2006/relationships/customXml" Target="../customXml/item1.xml" /><Relationship Id="rId6" Type="http://schemas.openxmlformats.org/officeDocument/2006/relationships/styles" Target="styles.xml" /><Relationship Id="rId11" Type="http://schemas.openxmlformats.org/officeDocument/2006/relationships/header" Target="header1.xml" /><Relationship Id="rId5" Type="http://schemas.openxmlformats.org/officeDocument/2006/relationships/numbering" Target="numbering.xml" /><Relationship Id="rId10" Type="http://schemas.openxmlformats.org/officeDocument/2006/relationships/endnotes" Target="endnotes.xml" /><Relationship Id="rId4" Type="http://schemas.openxmlformats.org/officeDocument/2006/relationships/customXml" Target="../customXml/item4.xml" /><Relationship Id="rId9" Type="http://schemas.openxmlformats.org/officeDocument/2006/relationships/footnotes" Target="footnotes.xml" /><Relationship Id="rId14" Type="http://schemas.openxmlformats.org/officeDocument/2006/relationships/theme" Target="theme/theme1.xml" /></Relationships>
</file>

<file path=word/_rels/footnotes.xml.rels><?xml version="1.0" encoding="UTF-8" standalone="yes"?>
<Relationships xmlns="http://schemas.openxmlformats.org/package/2006/relationships"><Relationship Id="rId2" Type="http://schemas.openxmlformats.org/officeDocument/2006/relationships/hyperlink" Target="mailto:sampaio.pedrootavio@gmail.com" TargetMode="External" /><Relationship Id="rId1" Type="http://schemas.openxmlformats.org/officeDocument/2006/relationships/hyperlink" Target="mailto:gonzaleznoberto48@gmail.com" TargetMode="External" /></Relationships>
</file>

<file path=word/_rels/header1.xml.rels><?xml version="1.0" encoding="UTF-8" standalone="yes"?>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79FB84859A49BE4E83522C28D5FF6B3B" ma:contentTypeVersion="6" ma:contentTypeDescription="Crie um novo documento." ma:contentTypeScope="" ma:versionID="45303e8fbbdb0eeb2f185115e26aac48">
  <xsd:schema xmlns:xsd="http://www.w3.org/2001/XMLSchema" xmlns:xs="http://www.w3.org/2001/XMLSchema" xmlns:p="http://schemas.microsoft.com/office/2006/metadata/properties" xmlns:ns3="f03051ce-820c-46cc-8871-8cffdcacd854" targetNamespace="http://schemas.microsoft.com/office/2006/metadata/properties" ma:root="true" ma:fieldsID="cbf539f21b99b64f63e0bec1761b10e4" ns3:_="">
    <xsd:import namespace="f03051ce-820c-46cc-8871-8cffdcacd854"/>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3051ce-820c-46cc-8871-8cffdcacd8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f03051ce-820c-46cc-8871-8cffdcacd854" xsi:nil="true"/>
  </documentManagement>
</p:properties>
</file>

<file path=customXml/itemProps1.xml><?xml version="1.0" encoding="utf-8"?>
<ds:datastoreItem xmlns:ds="http://schemas.openxmlformats.org/officeDocument/2006/customXml" ds:itemID="{8709BC8A-6F29-470D-A202-F40128C8C151}">
  <ds:schemaRefs>
    <ds:schemaRef ds:uri="http://schemas.microsoft.com/sharepoint/v3/contenttype/forms"/>
  </ds:schemaRefs>
</ds:datastoreItem>
</file>

<file path=customXml/itemProps2.xml><?xml version="1.0" encoding="utf-8"?>
<ds:datastoreItem xmlns:ds="http://schemas.openxmlformats.org/officeDocument/2006/customXml" ds:itemID="{1B264599-306F-44E2-B6FF-59DB8F63E920}">
  <ds:schemaRefs>
    <ds:schemaRef ds:uri="http://schemas.microsoft.com/office/2006/metadata/contentType"/>
    <ds:schemaRef ds:uri="http://schemas.microsoft.com/office/2006/metadata/properties/metaAttributes"/>
    <ds:schemaRef ds:uri="http://www.w3.org/2000/xmlns/"/>
    <ds:schemaRef ds:uri="http://www.w3.org/2001/XMLSchema"/>
    <ds:schemaRef ds:uri="f03051ce-820c-46cc-8871-8cffdcacd854"/>
  </ds:schemaRefs>
</ds:datastoreItem>
</file>

<file path=customXml/itemProps3.xml><?xml version="1.0" encoding="utf-8"?>
<ds:datastoreItem xmlns:ds="http://schemas.openxmlformats.org/officeDocument/2006/customXml" ds:itemID="{C2C8BBDE-8C0C-41A9-89E3-47B5CCD7EA87}">
  <ds:schemaRefs>
    <ds:schemaRef ds:uri="http://schemas.openxmlformats.org/officeDocument/2006/bibliography"/>
    <ds:schemaRef ds:uri="http://www.w3.org/2000/xmlns/"/>
  </ds:schemaRefs>
</ds:datastoreItem>
</file>

<file path=customXml/itemProps4.xml><?xml version="1.0" encoding="utf-8"?>
<ds:datastoreItem xmlns:ds="http://schemas.openxmlformats.org/officeDocument/2006/customXml" ds:itemID="{03B0DA08-7C60-41B4-97AD-CEB4A0360D84}">
  <ds:schemaRefs>
    <ds:schemaRef ds:uri="http://schemas.microsoft.com/office/2006/metadata/properties"/>
    <ds:schemaRef ds:uri="http://www.w3.org/2000/xmlns/"/>
    <ds:schemaRef ds:uri="f03051ce-820c-46cc-8871-8cffdcacd854"/>
    <ds:schemaRef ds:uri="http://www.w3.org/2001/XMLSchema-instan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3362</Words>
  <Characters>18156</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21476</CharactersWithSpaces>
  <SharedDoc>false</SharedDoc>
  <HLinks>
    <vt:vector size="12" baseType="variant">
      <vt:variant>
        <vt:i4>105</vt:i4>
      </vt:variant>
      <vt:variant>
        <vt:i4>3</vt:i4>
      </vt:variant>
      <vt:variant>
        <vt:i4>0</vt:i4>
      </vt:variant>
      <vt:variant>
        <vt:i4>5</vt:i4>
      </vt:variant>
      <vt:variant>
        <vt:lpwstr>mailto:sampaio.pedrootavio@gmail.com</vt:lpwstr>
      </vt:variant>
      <vt:variant>
        <vt:lpwstr/>
      </vt:variant>
      <vt:variant>
        <vt:i4>2228230</vt:i4>
      </vt:variant>
      <vt:variant>
        <vt:i4>0</vt:i4>
      </vt:variant>
      <vt:variant>
        <vt:i4>0</vt:i4>
      </vt:variant>
      <vt:variant>
        <vt:i4>5</vt:i4>
      </vt:variant>
      <vt:variant>
        <vt:lpwstr>mailto:gonzaleznoberto48@gmail.com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Noberto Gonzalez</cp:lastModifiedBy>
  <cp:revision>2</cp:revision>
  <cp:lastPrinted>2025-07-01T03:00:00Z</cp:lastPrinted>
  <dcterms:created xsi:type="dcterms:W3CDTF">2025-07-06T17:42:00Z</dcterms:created>
  <dcterms:modified xsi:type="dcterms:W3CDTF">2025-07-06T17:42:00Z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0x01010079FB84859A49BE4E83522C28D5FF6B3B</vt:lpwstr>
  </property>
</Properties>
</file>