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PIXOTE E A TENDÊNCIA ANTISSOCIAL: </w:t>
      </w:r>
      <w:r w:rsidDel="00000000" w:rsidR="00000000" w:rsidRPr="00000000">
        <w:rPr>
          <w:sz w:val="24"/>
          <w:szCs w:val="24"/>
          <w:rtl w:val="0"/>
        </w:rPr>
        <w:t xml:space="preserve">a função paternal do Estado</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Clara Mariani Oliveira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sz w:val="24"/>
          <w:szCs w:val="24"/>
        </w:rPr>
      </w:pPr>
      <w:r w:rsidDel="00000000" w:rsidR="00000000" w:rsidRPr="00000000">
        <w:rPr>
          <w:sz w:val="24"/>
          <w:szCs w:val="24"/>
          <w:rtl w:val="0"/>
        </w:rPr>
        <w:t xml:space="preserve">Layla Maria Nunes Freire</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360" w:lineRule="auto"/>
        <w:jc w:val="right"/>
        <w:rPr>
          <w:sz w:val="24"/>
          <w:szCs w:val="24"/>
        </w:rPr>
      </w:pPr>
      <w:r w:rsidDel="00000000" w:rsidR="00000000" w:rsidRPr="00000000">
        <w:rPr>
          <w:sz w:val="24"/>
          <w:szCs w:val="24"/>
          <w:rtl w:val="0"/>
        </w:rPr>
        <w:t xml:space="preserve">Mateus</w:t>
      </w:r>
      <w:r w:rsidDel="00000000" w:rsidR="00000000" w:rsidRPr="00000000">
        <w:rPr>
          <w:sz w:val="24"/>
          <w:szCs w:val="24"/>
          <w:rtl w:val="0"/>
        </w:rPr>
        <w:t xml:space="preserve"> Procópio Moura</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360" w:lineRule="auto"/>
        <w:jc w:val="right"/>
        <w:rPr>
          <w:sz w:val="24"/>
          <w:szCs w:val="24"/>
        </w:rPr>
      </w:pPr>
      <w:r w:rsidDel="00000000" w:rsidR="00000000" w:rsidRPr="00000000">
        <w:rPr>
          <w:sz w:val="24"/>
          <w:szCs w:val="24"/>
          <w:rtl w:val="0"/>
        </w:rPr>
        <w:t xml:space="preserve">Thierry Renan Costa Nascimento</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Analisa-se o filme Pixote, a Lei do Mais Fraco (1981) à perspectiva da teoria de Winnicott, com foco nos conceitos de tendência antissocial e função paterna do Estado. Utilizando a metodologia de análise de conteúdo, foram examinadas cenas que ilustram a falha do Estado brasileiro em prover um ambiente benéfico e confortável para crianças internadas em reformatórios, correlacionando-as com a teoria winnicottiana de que a delinquência surge como um pedido de reparação diante de rachaduras precoces no cuidado. O artigo demonstra que a trajetória de Pixote, reflete à privação de relações estáveis, corroborando com a ótica de que a tendência antissocial manifesta o reconhecimento social diante das mazelas ambientais. Conclui-se que políticas socioeducativas atuais ainda reproduzem lógicas punitivas como as da época do filme lançado em 1981 em vez de oferecer continuidade relacional e melhor qualidade de vida, perpetuando ciclos de violência e criminalidade.  </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T</w:t>
      </w:r>
      <w:r w:rsidDel="00000000" w:rsidR="00000000" w:rsidRPr="00000000">
        <w:rPr>
          <w:sz w:val="20"/>
          <w:szCs w:val="20"/>
          <w:vertAlign w:val="baseline"/>
          <w:rtl w:val="0"/>
        </w:rPr>
        <w:t xml:space="preserve">endência antissocial; função paterna;</w:t>
      </w:r>
      <w:r w:rsidDel="00000000" w:rsidR="00000000" w:rsidRPr="00000000">
        <w:rPr>
          <w:sz w:val="20"/>
          <w:szCs w:val="20"/>
          <w:rtl w:val="0"/>
        </w:rPr>
        <w:t xml:space="preserve"> </w:t>
      </w:r>
      <w:r w:rsidDel="00000000" w:rsidR="00000000" w:rsidRPr="00000000">
        <w:rPr>
          <w:sz w:val="20"/>
          <w:szCs w:val="20"/>
          <w:vertAlign w:val="baseline"/>
          <w:rtl w:val="0"/>
        </w:rPr>
        <w:t xml:space="preserve">políticas públicas.</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sz w:val="20"/>
          <w:szCs w:val="20"/>
          <w:rtl w:val="0"/>
        </w:rPr>
        <w:t xml:space="preserve">The film Pixote: The Law of the Weakest (1981) is analyzed from the perspective of Winnicott, focusing on the concepts of antisocial tendency and the paternal function of the state. Using content analysis methodology, scenes illustrating the failure of the Brazilian state to provide a sufficiently good and nurturing environment for children institutionalized in reformatories were examined, correlating them with Winnicott’s theory that delinquency arises as a plea for reparation in response to early failures in caregiving. The article demonstrates that Pixote’s trajectory, reflects the deprivation of stable relationships, corroborating the view that the antisocial tendency expresses social acknowledgment of environmental failures. It is concluded that current socio-educational policies still reproduce punitive logics similar to those at the time of the film, released in 1981, instead of offering relational continuity and better quality of life, thus perpetuating cycles of violence and criminality.</w:t>
      </w:r>
      <w:r w:rsidDel="00000000" w:rsidR="00000000" w:rsidRPr="00000000">
        <w:rPr>
          <w:rtl w:val="0"/>
        </w:rPr>
      </w:r>
    </w:p>
    <w:p w:rsidR="00000000" w:rsidDel="00000000" w:rsidP="00000000" w:rsidRDefault="00000000" w:rsidRPr="00000000" w14:paraId="0000000F">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Antisocial tendency; paternal function; public policies.</w:t>
      </w: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4">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5">
      <w:pPr>
        <w:spacing w:line="360" w:lineRule="auto"/>
        <w:jc w:val="both"/>
        <w:rPr>
          <w:sz w:val="26"/>
          <w:szCs w:val="26"/>
        </w:rPr>
      </w:pPr>
      <w:r w:rsidDel="00000000" w:rsidR="00000000" w:rsidRPr="00000000">
        <w:rPr>
          <w:sz w:val="24"/>
          <w:szCs w:val="24"/>
          <w:rtl w:val="0"/>
        </w:rPr>
        <w:tab/>
        <w:t xml:space="preserve">Este artigo tem como proposta analisar o filme  “Pixote, a Lei do Mais Fraco</w:t>
      </w:r>
      <w:r w:rsidDel="00000000" w:rsidR="00000000" w:rsidRPr="00000000">
        <w:rPr>
          <w:sz w:val="24"/>
          <w:szCs w:val="24"/>
          <w:rtl w:val="0"/>
        </w:rPr>
        <w:t xml:space="preserve">” </w:t>
      </w:r>
      <w:r w:rsidDel="00000000" w:rsidR="00000000" w:rsidRPr="00000000">
        <w:rPr>
          <w:sz w:val="24"/>
          <w:szCs w:val="24"/>
          <w:rtl w:val="0"/>
        </w:rPr>
        <w:t xml:space="preserve">(1981) sob a ótica de conceitos do psicanalista Winnicott (1987; </w:t>
      </w:r>
      <w:r w:rsidDel="00000000" w:rsidR="00000000" w:rsidRPr="00000000">
        <w:rPr>
          <w:sz w:val="24"/>
          <w:szCs w:val="24"/>
          <w:rtl w:val="0"/>
        </w:rPr>
        <w:t xml:space="preserve">1983; 2023</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tendo como objetivo geral a</w:t>
      </w:r>
      <w:r w:rsidDel="00000000" w:rsidR="00000000" w:rsidRPr="00000000">
        <w:rPr>
          <w:sz w:val="24"/>
          <w:szCs w:val="24"/>
          <w:rtl w:val="0"/>
        </w:rPr>
        <w:t xml:space="preserve">nalisar a política de medida socioeducativa no filme sob a ótica dos conceitos winnicottianos, principalmente os de delinquência, tendência antissocial e função paterna. Além disso, o artigo pretende comparar criticamente as políticas públicas atuais com a da época do filme.</w:t>
      </w:r>
      <w:r w:rsidDel="00000000" w:rsidR="00000000" w:rsidRPr="00000000">
        <w:rPr>
          <w:rtl w:val="0"/>
        </w:rPr>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Para a produção deste trabalho foi analisada a obra cinematográfica, pertencente ao movimento do Cinema Novo nacional, “</w:t>
      </w:r>
      <w:r w:rsidDel="00000000" w:rsidR="00000000" w:rsidRPr="00000000">
        <w:rPr>
          <w:sz w:val="24"/>
          <w:szCs w:val="24"/>
          <w:rtl w:val="0"/>
        </w:rPr>
        <w:t xml:space="preserve">Pixote: a lei do mais fraco”</w:t>
      </w:r>
      <w:r w:rsidDel="00000000" w:rsidR="00000000" w:rsidRPr="00000000">
        <w:rPr>
          <w:i w:val="1"/>
          <w:sz w:val="24"/>
          <w:szCs w:val="24"/>
          <w:rtl w:val="0"/>
        </w:rPr>
        <w:t xml:space="preserve"> </w:t>
      </w:r>
      <w:r w:rsidDel="00000000" w:rsidR="00000000" w:rsidRPr="00000000">
        <w:rPr>
          <w:sz w:val="24"/>
          <w:szCs w:val="24"/>
          <w:rtl w:val="0"/>
        </w:rPr>
        <w:t xml:space="preserve">(1981)</w:t>
      </w:r>
      <w:r w:rsidDel="00000000" w:rsidR="00000000" w:rsidRPr="00000000">
        <w:rPr>
          <w:sz w:val="24"/>
          <w:szCs w:val="24"/>
          <w:rtl w:val="0"/>
        </w:rPr>
        <w:t xml:space="preserve">, dirigida por Hector Babenco, a qual apresenta a história de Pixote, um menino de 10 anos enviado para um reformatório em São Paulo. É sob esse cenário que o personagem principal enfrenta uma série de abusos e negligências não só por parte de outras crianças institucionalizadas, mas também dos funcionários e guardas daquele local que, em tese, deveriam proteger a integridade física, mental e social daquelas crianças.  </w:t>
      </w:r>
    </w:p>
    <w:p w:rsidR="00000000" w:rsidDel="00000000" w:rsidP="00000000" w:rsidRDefault="00000000" w:rsidRPr="00000000" w14:paraId="00000017">
      <w:pPr>
        <w:spacing w:line="360" w:lineRule="auto"/>
        <w:jc w:val="both"/>
        <w:rPr>
          <w:sz w:val="24"/>
          <w:szCs w:val="24"/>
        </w:rPr>
      </w:pPr>
      <w:r w:rsidDel="00000000" w:rsidR="00000000" w:rsidRPr="00000000">
        <w:rPr>
          <w:sz w:val="24"/>
          <w:szCs w:val="24"/>
          <w:rtl w:val="0"/>
        </w:rPr>
        <w:tab/>
        <w:t xml:space="preserve">Com o passar do tempo Pixote estabeleceu laços com outras pessoas dentro do reformatório, e são esses amigos que, juntamente a ele, fogem da instituição na esperança de uma vida melhor. Lilica, Dito, Chico e Pixote viajam de São Paulo até o Rio de Janeiro em busca de uma qualidade de vida digna e, ao longo desse percurso, deparam-se com situações perigosas para a infância, a exemplo do tráfico de drogas, da prostituição e do porte de armas. São essas situações que fortalecem a visão de que o Estado falhou na proteção de crianças e adolescentes em situação de vulnerabilidade como a retratada na obra.</w:t>
      </w:r>
    </w:p>
    <w:p w:rsidR="00000000" w:rsidDel="00000000" w:rsidP="00000000" w:rsidRDefault="00000000" w:rsidRPr="00000000" w14:paraId="00000018">
      <w:pPr>
        <w:spacing w:line="360" w:lineRule="auto"/>
        <w:jc w:val="both"/>
        <w:rPr>
          <w:sz w:val="24"/>
          <w:szCs w:val="24"/>
        </w:rPr>
      </w:pPr>
      <w:r w:rsidDel="00000000" w:rsidR="00000000" w:rsidRPr="00000000">
        <w:rPr>
          <w:sz w:val="24"/>
          <w:szCs w:val="24"/>
          <w:rtl w:val="0"/>
        </w:rPr>
        <w:tab/>
        <w:t xml:space="preserve">Este trabalho pretende seguir a análise fílmica baseando-se em conceitos winnicottianos. Dessa forma, </w:t>
      </w:r>
      <w:r w:rsidDel="00000000" w:rsidR="00000000" w:rsidRPr="00000000">
        <w:rPr>
          <w:sz w:val="24"/>
          <w:szCs w:val="24"/>
          <w:rtl w:val="0"/>
        </w:rPr>
        <w:t xml:space="preserve">objetiva</w:t>
      </w:r>
      <w:r w:rsidDel="00000000" w:rsidR="00000000" w:rsidRPr="00000000">
        <w:rPr>
          <w:sz w:val="24"/>
          <w:szCs w:val="24"/>
          <w:rtl w:val="0"/>
        </w:rPr>
        <w:t xml:space="preserve">-se correlacionar  a vivência abusiva das crianças no filme “Pixote, a Lei do Mais Fraco” (1981) com os conceitos psicanalíticos de Winnicott. </w:t>
      </w:r>
    </w:p>
    <w:p w:rsidR="00000000" w:rsidDel="00000000" w:rsidP="00000000" w:rsidRDefault="00000000" w:rsidRPr="00000000" w14:paraId="00000019">
      <w:pPr>
        <w:spacing w:before="0" w:line="360" w:lineRule="auto"/>
        <w:ind w:firstLine="700"/>
        <w:jc w:val="both"/>
        <w:rPr>
          <w:sz w:val="24"/>
          <w:szCs w:val="24"/>
        </w:rPr>
      </w:pPr>
      <w:r w:rsidDel="00000000" w:rsidR="00000000" w:rsidRPr="00000000">
        <w:rPr>
          <w:sz w:val="24"/>
          <w:szCs w:val="24"/>
          <w:rtl w:val="0"/>
        </w:rPr>
        <w:t xml:space="preserve">A abordagem metodológica adotada foi a da análise de conteúdo devido ao seu caráter sistêmico e categórico, bem como seu conjunto de técnicas que permitem uma análise precisa e metódica do conteúdo de uma obra, neste caso o filme “Pixote, a Lei do Mais Fraco” (1981). Assim, Bardin (2016) define a análise de conteúdo como:</w:t>
      </w:r>
    </w:p>
    <w:p w:rsidR="00000000" w:rsidDel="00000000" w:rsidP="00000000" w:rsidRDefault="00000000" w:rsidRPr="00000000" w14:paraId="0000001A">
      <w:pPr>
        <w:spacing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B">
      <w:pPr>
        <w:spacing w:line="240" w:lineRule="auto"/>
        <w:ind w:left="2260" w:firstLine="0"/>
        <w:jc w:val="both"/>
        <w:rPr>
          <w:sz w:val="20"/>
          <w:szCs w:val="20"/>
        </w:rPr>
      </w:pPr>
      <w:r w:rsidDel="00000000" w:rsidR="00000000" w:rsidRPr="00000000">
        <w:rPr>
          <w:sz w:val="20"/>
          <w:szCs w:val="20"/>
          <w:rtl w:val="0"/>
        </w:rPr>
        <w:t xml:space="preserve">Um conjunto de técnicas de análise das comunicações visando obter, por procedimentos sistemáticos e objetivos de descrição do conteúdo das mensagens, indicadores (quantitativos ou não) que permitam a inferência de conhecimentos relativos às condições de produção/recepção (variáveis inferidas) destas mensagens (Bardin, 2016, pág. 48).</w:t>
      </w:r>
    </w:p>
    <w:p w:rsidR="00000000" w:rsidDel="00000000" w:rsidP="00000000" w:rsidRDefault="00000000" w:rsidRPr="00000000" w14:paraId="0000001C">
      <w:pPr>
        <w:spacing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D">
      <w:pPr>
        <w:spacing w:before="0" w:line="360" w:lineRule="auto"/>
        <w:ind w:firstLine="700"/>
        <w:jc w:val="both"/>
        <w:rPr>
          <w:sz w:val="24"/>
          <w:szCs w:val="24"/>
        </w:rPr>
      </w:pPr>
      <w:r w:rsidDel="00000000" w:rsidR="00000000" w:rsidRPr="00000000">
        <w:rPr>
          <w:sz w:val="24"/>
          <w:szCs w:val="24"/>
          <w:rtl w:val="0"/>
        </w:rPr>
        <w:t xml:space="preserve">Nesse viés, a análise de conteúdo pode ter seu processo metodológico dividido em três grandes etapas: pré-análise, exploração do material e tratamento dos resultados (Bardin, 2016).</w:t>
      </w:r>
    </w:p>
    <w:p w:rsidR="00000000" w:rsidDel="00000000" w:rsidP="00000000" w:rsidRDefault="00000000" w:rsidRPr="00000000" w14:paraId="0000001E">
      <w:pPr>
        <w:spacing w:before="0" w:line="360" w:lineRule="auto"/>
        <w:ind w:firstLine="700"/>
        <w:jc w:val="both"/>
        <w:rPr>
          <w:sz w:val="24"/>
          <w:szCs w:val="24"/>
        </w:rPr>
      </w:pPr>
      <w:r w:rsidDel="00000000" w:rsidR="00000000" w:rsidRPr="00000000">
        <w:rPr>
          <w:sz w:val="24"/>
          <w:szCs w:val="24"/>
          <w:rtl w:val="0"/>
        </w:rPr>
        <w:t xml:space="preserve">A primeira etapa consistiu na escolha da obra, na formulação e definição dos objetivos e do problema de pesquisa, bem como estruturar o que se espera discutir sobre a obra à luz do referencial de Winnicott (1987; 1983; 2023). Em seguida, a segunda etapa consistiu na definição de qual seria o nível de análise da obra (neste caso, cenas) e de quais indicadores as cenas deveriam conter, sendo 3 escolhidos: tendência antissocial; função paterna; política pública. Nesse sentido, foram escolhidas para serem analisadas as cenas que possuíam pelo menos um dos indicadores.</w:t>
      </w:r>
    </w:p>
    <w:p w:rsidR="00000000" w:rsidDel="00000000" w:rsidP="00000000" w:rsidRDefault="00000000" w:rsidRPr="00000000" w14:paraId="0000001F">
      <w:pPr>
        <w:spacing w:before="0" w:line="360" w:lineRule="auto"/>
        <w:ind w:firstLine="700"/>
        <w:jc w:val="both"/>
        <w:rPr>
          <w:sz w:val="24"/>
          <w:szCs w:val="24"/>
        </w:rPr>
      </w:pPr>
      <w:r w:rsidDel="00000000" w:rsidR="00000000" w:rsidRPr="00000000">
        <w:rPr>
          <w:sz w:val="24"/>
          <w:szCs w:val="24"/>
          <w:rtl w:val="0"/>
        </w:rPr>
        <w:t xml:space="preserve">Por fim, a terceira etapa consiste na inferência e análise do que está presente nas cenas escolhidas, a partir da utilização de Winnicott (1987) como referencial teórico, para formular uma discussão entre a obra, a teoria psicanalítica e a política pública brasileira.</w:t>
      </w:r>
    </w:p>
    <w:p w:rsidR="00000000" w:rsidDel="00000000" w:rsidP="00000000" w:rsidRDefault="00000000" w:rsidRPr="00000000" w14:paraId="00000020">
      <w:pPr>
        <w:spacing w:before="0" w:line="360" w:lineRule="auto"/>
        <w:ind w:firstLine="700"/>
        <w:jc w:val="both"/>
        <w:rPr>
          <w:sz w:val="24"/>
          <w:szCs w:val="24"/>
        </w:rPr>
      </w:pPr>
      <w:r w:rsidDel="00000000" w:rsidR="00000000" w:rsidRPr="00000000">
        <w:rPr>
          <w:sz w:val="24"/>
          <w:szCs w:val="24"/>
          <w:rtl w:val="0"/>
        </w:rPr>
        <w:t xml:space="preserve">Sendo assim, este artigo pretende responder a questão norteadora: Como pode-se elucidar a teoria de Winnicott a partir do filme “Pixote, a Lei do Mais Fraco” (1981) e as políticas públicas infantis?</w:t>
      </w:r>
    </w:p>
    <w:p w:rsidR="00000000" w:rsidDel="00000000" w:rsidP="00000000" w:rsidRDefault="00000000" w:rsidRPr="00000000" w14:paraId="00000021">
      <w:pPr>
        <w:spacing w:line="36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22">
      <w:pPr>
        <w:spacing w:line="360" w:lineRule="auto"/>
        <w:jc w:val="both"/>
        <w:rPr>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DESENVOLVIMENTO </w:t>
      </w:r>
      <w:r w:rsidDel="00000000" w:rsidR="00000000" w:rsidRPr="00000000">
        <w:rPr>
          <w:rtl w:val="0"/>
        </w:rPr>
      </w:r>
    </w:p>
    <w:p w:rsidR="00000000" w:rsidDel="00000000" w:rsidP="00000000" w:rsidRDefault="00000000" w:rsidRPr="00000000" w14:paraId="0000002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4">
      <w:pPr>
        <w:spacing w:line="360" w:lineRule="auto"/>
        <w:jc w:val="both"/>
        <w:rPr>
          <w:b w:val="0"/>
          <w:sz w:val="24"/>
          <w:szCs w:val="24"/>
          <w:vertAlign w:val="baseline"/>
        </w:rPr>
      </w:pPr>
      <w:r w:rsidDel="00000000" w:rsidR="00000000" w:rsidRPr="00000000">
        <w:rPr>
          <w:b w:val="1"/>
          <w:sz w:val="24"/>
          <w:szCs w:val="24"/>
          <w:vertAlign w:val="baseline"/>
          <w:rtl w:val="0"/>
        </w:rPr>
        <w:t xml:space="preserve">2.1</w:t>
        <w:tab/>
      </w:r>
      <w:r w:rsidDel="00000000" w:rsidR="00000000" w:rsidRPr="00000000">
        <w:rPr>
          <w:b w:val="1"/>
          <w:sz w:val="24"/>
          <w:szCs w:val="24"/>
          <w:rtl w:val="0"/>
        </w:rPr>
        <w:t xml:space="preserve">Tendência antissocial</w:t>
      </w:r>
      <w:r w:rsidDel="00000000" w:rsidR="00000000" w:rsidRPr="00000000">
        <w:rPr>
          <w:rtl w:val="0"/>
        </w:rPr>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Winnicott (1987), em alguns de seus textos, discorreu acerca da tendência antissocial e da delinquência diferenciando-as. Na tendência antissocial, por meio de pequenas infrações, por exemplo, esses jovens, inconscientemente, pedem socorro ao ambiente ao seu redor, seria um sinal de esperança, o que psicanalista via como a tentativa de reencontrar algo bom que foi anteriormente vivido. Tudo isso decorreria de uma privação ocorrida nos primeiros anos de vida da criança, acarretando em ações materializadas de duas formas: a busca pelo objeto (roubos e furtos) e a destrutividade. São esses gestos que demonstram a necessidade de figuras de acolhimento e atenção para os infratores </w:t>
      </w:r>
      <w:r w:rsidDel="00000000" w:rsidR="00000000" w:rsidRPr="00000000">
        <w:rPr>
          <w:sz w:val="24"/>
          <w:szCs w:val="24"/>
          <w:rtl w:val="0"/>
        </w:rPr>
        <w:t xml:space="preserve">(Onocko-campos, 2018)</w:t>
      </w:r>
      <w:r w:rsidDel="00000000" w:rsidR="00000000" w:rsidRPr="00000000">
        <w:rPr>
          <w:sz w:val="24"/>
          <w:szCs w:val="24"/>
          <w:rtl w:val="0"/>
        </w:rPr>
        <w:t xml:space="preserve">.</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Já na delinquência desenvolvida, haveria a necessidade de uma figura paterna rigorosa, que consiga impor limites à criança, somente assim ela consegue recuperar seus impulsos amorosos e a vontade de corrigir a si mesma (Onocko-campos, 2018). Visto isso, apesar das pequenas diferenças, a tendência antissocial e a delinquência são fenômenos que podem ser observados em diversas infâncias. Por esse motivo, ao analisar a obra cinematográfica</w:t>
      </w:r>
      <w:r w:rsidDel="00000000" w:rsidR="00000000" w:rsidRPr="00000000">
        <w:rPr>
          <w:i w:val="1"/>
          <w:sz w:val="24"/>
          <w:szCs w:val="24"/>
          <w:rtl w:val="0"/>
        </w:rPr>
        <w:t xml:space="preserve"> </w:t>
      </w:r>
      <w:r w:rsidDel="00000000" w:rsidR="00000000" w:rsidRPr="00000000">
        <w:rPr>
          <w:sz w:val="24"/>
          <w:szCs w:val="24"/>
          <w:rtl w:val="0"/>
        </w:rPr>
        <w:t xml:space="preserve">“Pixote, a Lei do Mais Fraco” (1981)</w:t>
      </w:r>
      <w:r w:rsidDel="00000000" w:rsidR="00000000" w:rsidRPr="00000000">
        <w:rPr>
          <w:i w:val="1"/>
          <w:sz w:val="24"/>
          <w:szCs w:val="24"/>
          <w:rtl w:val="0"/>
        </w:rPr>
        <w:t xml:space="preserve">, </w:t>
      </w:r>
      <w:r w:rsidDel="00000000" w:rsidR="00000000" w:rsidRPr="00000000">
        <w:rPr>
          <w:sz w:val="24"/>
          <w:szCs w:val="24"/>
          <w:rtl w:val="0"/>
        </w:rPr>
        <w:t xml:space="preserve">foi possível traçar paralelos entre a teoria winnicottiana e o filme.</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Nesse sentido, uma cena em específico foi escolhida para a análise de conteúdo por encaixar-se na temática. Após a fuga do reformatório, Pixote, Dito, Chico e Lilica se encontravam livres pelas ruas de São Paulo. No meio do caos urbano os amigos planejavam e executavam furtos pelo centro da cidade e, logo em seguida dos saques bem sucedidos, são mostrados Pixote e Chico brincando dentro de uma fonte pública. Tendo em vista tal cenário, os comportamentos descritos podem ser percebidos como infrações que caracterizam a tendência antissocial e a </w:t>
      </w:r>
      <w:r w:rsidDel="00000000" w:rsidR="00000000" w:rsidRPr="00000000">
        <w:rPr>
          <w:sz w:val="24"/>
          <w:szCs w:val="24"/>
          <w:rtl w:val="0"/>
        </w:rPr>
        <w:t xml:space="preserve">delinquência</w:t>
      </w:r>
      <w:r w:rsidDel="00000000" w:rsidR="00000000" w:rsidRPr="00000000">
        <w:rPr>
          <w:sz w:val="24"/>
          <w:szCs w:val="24"/>
          <w:rtl w:val="0"/>
        </w:rPr>
        <w:t xml:space="preserve">.</w:t>
      </w:r>
    </w:p>
    <w:p w:rsidR="00000000" w:rsidDel="00000000" w:rsidP="00000000" w:rsidRDefault="00000000" w:rsidRPr="00000000" w14:paraId="00000028">
      <w:pPr>
        <w:spacing w:line="360" w:lineRule="auto"/>
        <w:jc w:val="both"/>
        <w:rPr>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sz w:val="24"/>
          <w:szCs w:val="24"/>
          <w:rtl w:val="0"/>
        </w:rPr>
        <w:t xml:space="preserve">Como explicado por Winnicott e explicitado no longa-metragem, em decorrência da privação de um ambiente suficientemente bom para a criança nos primeiros anos de vida, comportamentos que desafiam as regras sociais podem surgir como sintoma desse contexto de falta, da mesma maneira que se vê na cena descrita. Os furtos, juntamente dos outros atos transgressores cometidos pelos amigos, soam como um grito por socorro ao ambiente, demonstrando toda essa necessidade inconsciente de alguma figura que esteja preparada para promover um espaço de acolhimento que um dia lhes foi negado pela situação social em que estavam inseridos, já que muitos não possuíam tais figuras, a exemplo do próprio Pixote que perdeu o pai na infância (Onocko-campos, 2018).</w:t>
      </w:r>
    </w:p>
    <w:p w:rsidR="00000000" w:rsidDel="00000000" w:rsidP="00000000" w:rsidRDefault="00000000" w:rsidRPr="00000000" w14:paraId="00000029">
      <w:pPr>
        <w:spacing w:line="360" w:lineRule="auto"/>
        <w:jc w:val="both"/>
        <w:rPr>
          <w:sz w:val="24"/>
          <w:szCs w:val="24"/>
        </w:rPr>
      </w:pPr>
      <w:r w:rsidDel="00000000" w:rsidR="00000000" w:rsidRPr="00000000">
        <w:rPr>
          <w:sz w:val="24"/>
          <w:szCs w:val="24"/>
          <w:rtl w:val="0"/>
        </w:rPr>
        <w:tab/>
        <w:t xml:space="preserve">Não somente de uma figura amorosa precisam essas crianças, mas também de uma espécie de figura paterna que, além de afetuosa, seja, sobretudo, forte e rigorosa, podendo, por exemplo, ser representada pelo Estado, disposta a impor limites. Dessa forma, se presente de maneira adequada, tal figura poderia proporcionar aos personagens da obra cinematográfica uma atmosfera favorável ao desenvolvimento do desejo de correção das ações transgressoras retratadas na cena do cenário urbano, assim como à recuperação dos impulsos de amor e de culpa (Onocko-campos, 2018).</w:t>
      </w:r>
    </w:p>
    <w:p w:rsidR="00000000" w:rsidDel="00000000" w:rsidP="00000000" w:rsidRDefault="00000000" w:rsidRPr="00000000" w14:paraId="0000002A">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B">
      <w:pPr>
        <w:spacing w:line="360" w:lineRule="auto"/>
        <w:jc w:val="both"/>
        <w:rPr>
          <w:sz w:val="24"/>
          <w:szCs w:val="24"/>
        </w:rPr>
      </w:pPr>
      <w:r w:rsidDel="00000000" w:rsidR="00000000" w:rsidRPr="00000000">
        <w:rPr>
          <w:b w:val="1"/>
          <w:sz w:val="24"/>
          <w:szCs w:val="24"/>
          <w:rtl w:val="0"/>
        </w:rPr>
        <w:t xml:space="preserve">2.2</w:t>
        <w:tab/>
        <w:t xml:space="preserve">Função paterna</w:t>
      </w:r>
      <w:r w:rsidDel="00000000" w:rsidR="00000000" w:rsidRPr="00000000">
        <w:rPr>
          <w:rtl w:val="0"/>
        </w:rPr>
      </w:r>
    </w:p>
    <w:p w:rsidR="00000000" w:rsidDel="00000000" w:rsidP="00000000" w:rsidRDefault="00000000" w:rsidRPr="00000000" w14:paraId="0000002C">
      <w:pPr>
        <w:spacing w:line="360" w:lineRule="auto"/>
        <w:jc w:val="both"/>
        <w:rPr>
          <w:sz w:val="24"/>
          <w:szCs w:val="24"/>
        </w:rPr>
      </w:pPr>
      <w:r w:rsidDel="00000000" w:rsidR="00000000" w:rsidRPr="00000000">
        <w:rPr>
          <w:rtl w:val="0"/>
        </w:rPr>
      </w:r>
    </w:p>
    <w:p w:rsidR="00000000" w:rsidDel="00000000" w:rsidP="00000000" w:rsidRDefault="00000000" w:rsidRPr="00000000" w14:paraId="0000002D">
      <w:pPr>
        <w:spacing w:before="0" w:line="360" w:lineRule="auto"/>
        <w:jc w:val="both"/>
        <w:rPr>
          <w:sz w:val="24"/>
          <w:szCs w:val="24"/>
        </w:rPr>
      </w:pPr>
      <w:r w:rsidDel="00000000" w:rsidR="00000000" w:rsidRPr="00000000">
        <w:rPr>
          <w:sz w:val="24"/>
          <w:szCs w:val="24"/>
          <w:rtl w:val="0"/>
        </w:rPr>
        <w:t xml:space="preserve">            No filme  “Pixote, a Lei do Mais Fraco” (1981), o conceito da função paterna, do psicanalista Winnicott (1983; 2023), está presente simbolicamente. Este conceito é entendido como o papel estrutural e de suporte emocional que o pai desempenha na díade mãe-bebê, com o pai sendo um modelo de identificação e uma figura de mediação entre o mundo interno da criança e a socialização progressiva no mundo externo. </w:t>
      </w:r>
    </w:p>
    <w:p w:rsidR="00000000" w:rsidDel="00000000" w:rsidP="00000000" w:rsidRDefault="00000000" w:rsidRPr="00000000" w14:paraId="0000002E">
      <w:pPr>
        <w:spacing w:before="0" w:line="360" w:lineRule="auto"/>
        <w:ind w:firstLine="720"/>
        <w:jc w:val="both"/>
        <w:rPr>
          <w:sz w:val="24"/>
          <w:szCs w:val="24"/>
        </w:rPr>
      </w:pPr>
      <w:r w:rsidDel="00000000" w:rsidR="00000000" w:rsidRPr="00000000">
        <w:rPr>
          <w:sz w:val="24"/>
          <w:szCs w:val="24"/>
          <w:rtl w:val="0"/>
        </w:rPr>
        <w:t xml:space="preserve">Assim, o Estado pode ser entendido, de forma simbólica, como uma figura da função paterna no campo social e institucional, haja vista que ele desempenha esse papel de figura reguladora e mediadora dos limites e conflitos, bem como busca regular, através das leis e das instituições, o desejo individual em prol do bem comum.</w:t>
      </w:r>
      <w:r w:rsidDel="00000000" w:rsidR="00000000" w:rsidRPr="00000000">
        <w:rPr>
          <w:rtl w:val="0"/>
        </w:rPr>
      </w:r>
    </w:p>
    <w:p w:rsidR="00000000" w:rsidDel="00000000" w:rsidP="00000000" w:rsidRDefault="00000000" w:rsidRPr="00000000" w14:paraId="0000002F">
      <w:pPr>
        <w:spacing w:before="0" w:line="360" w:lineRule="auto"/>
        <w:jc w:val="both"/>
        <w:rPr>
          <w:sz w:val="24"/>
          <w:szCs w:val="24"/>
        </w:rPr>
      </w:pPr>
      <w:r w:rsidDel="00000000" w:rsidR="00000000" w:rsidRPr="00000000">
        <w:rPr>
          <w:sz w:val="24"/>
          <w:szCs w:val="24"/>
          <w:rtl w:val="0"/>
        </w:rPr>
        <w:t xml:space="preserve">        </w:t>
        <w:tab/>
        <w:t xml:space="preserve">A cena na qual este conceito está presente ocorre quando o personagem Sapatos Brancos, o inspetor-chefe do instituto em que o filme se passa, repudia o estupro que jovens internos cometeram contra um outro jovem, deixando-o em péssimas condições. Nesta cena, Sapatos afirma: “Não sou o pai de ninguém!” e, alguns segundos depois, diz: “Aqui é uma casa”; estas falas são intercaladas por </w:t>
      </w:r>
      <w:r w:rsidDel="00000000" w:rsidR="00000000" w:rsidRPr="00000000">
        <w:rPr>
          <w:sz w:val="24"/>
          <w:szCs w:val="24"/>
          <w:rtl w:val="0"/>
        </w:rPr>
        <w:t xml:space="preserve">frases</w:t>
      </w:r>
      <w:r w:rsidDel="00000000" w:rsidR="00000000" w:rsidRPr="00000000">
        <w:rPr>
          <w:sz w:val="24"/>
          <w:szCs w:val="24"/>
          <w:rtl w:val="0"/>
        </w:rPr>
        <w:t xml:space="preserve"> em que Sapatos diz que ali a ordem deve prevalecer e, se necessário, ele punirá se não denunciarem quem realizou o ato. Desse modo, esta cena pode ser relacionada ao conceito de função paterna </w:t>
      </w:r>
      <w:r w:rsidDel="00000000" w:rsidR="00000000" w:rsidRPr="00000000">
        <w:rPr>
          <w:sz w:val="24"/>
          <w:szCs w:val="24"/>
          <w:rtl w:val="0"/>
        </w:rPr>
        <w:t xml:space="preserve">(Winnicott, </w:t>
      </w:r>
      <w:r w:rsidDel="00000000" w:rsidR="00000000" w:rsidRPr="00000000">
        <w:rPr>
          <w:sz w:val="24"/>
          <w:szCs w:val="24"/>
          <w:rtl w:val="0"/>
        </w:rPr>
        <w:t xml:space="preserve">1983; 2023</w:t>
      </w:r>
      <w:r w:rsidDel="00000000" w:rsidR="00000000" w:rsidRPr="00000000">
        <w:rPr>
          <w:sz w:val="24"/>
          <w:szCs w:val="24"/>
          <w:rtl w:val="0"/>
        </w:rPr>
        <w:t xml:space="preserve">)</w:t>
      </w:r>
      <w:r w:rsidDel="00000000" w:rsidR="00000000" w:rsidRPr="00000000">
        <w:rPr>
          <w:sz w:val="24"/>
          <w:szCs w:val="24"/>
          <w:rtl w:val="0"/>
        </w:rPr>
        <w:t xml:space="preserve">,</w:t>
      </w:r>
      <w:r w:rsidDel="00000000" w:rsidR="00000000" w:rsidRPr="00000000">
        <w:rPr>
          <w:sz w:val="24"/>
          <w:szCs w:val="24"/>
          <w:rtl w:val="0"/>
        </w:rPr>
        <w:t xml:space="preserve"> na medida em que Sapatos desempenha esta função simbólica do pai, contudo não desempenha ela de maneira suficientemente boa, pois está sendo apenas aquele pai rigoroso e punitivo, um legislador, nunca é o pai amoroso e cuidadoso que protege e acolhe seus filhos.</w:t>
      </w:r>
    </w:p>
    <w:p w:rsidR="00000000" w:rsidDel="00000000" w:rsidP="00000000" w:rsidRDefault="00000000" w:rsidRPr="00000000" w14:paraId="00000030">
      <w:pPr>
        <w:spacing w:before="0" w:line="360" w:lineRule="auto"/>
        <w:ind w:firstLine="720"/>
        <w:jc w:val="both"/>
        <w:rPr>
          <w:sz w:val="24"/>
          <w:szCs w:val="24"/>
        </w:rPr>
      </w:pPr>
      <w:r w:rsidDel="00000000" w:rsidR="00000000" w:rsidRPr="00000000">
        <w:rPr>
          <w:sz w:val="24"/>
          <w:szCs w:val="24"/>
          <w:rtl w:val="0"/>
        </w:rPr>
        <w:t xml:space="preserve">De maneira similar, o Estado, o qual deveria exercer uma função paterna suficientemente boa, torna-se ineficaz por não produzir um ambiente acolhedor, tendo em vista que negligencia o bem-estar infantil e não produz políticas públicas ou instituições capazes de acolher os jovens em situações de vulnerabilidade.</w:t>
      </w:r>
    </w:p>
    <w:p w:rsidR="00000000" w:rsidDel="00000000" w:rsidP="00000000" w:rsidRDefault="00000000" w:rsidRPr="00000000" w14:paraId="00000031">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2">
      <w:pPr>
        <w:spacing w:line="360" w:lineRule="auto"/>
        <w:jc w:val="both"/>
        <w:rPr>
          <w:sz w:val="24"/>
          <w:szCs w:val="24"/>
        </w:rPr>
      </w:pPr>
      <w:r w:rsidDel="00000000" w:rsidR="00000000" w:rsidRPr="00000000">
        <w:rPr>
          <w:b w:val="1"/>
          <w:sz w:val="24"/>
          <w:szCs w:val="24"/>
          <w:rtl w:val="0"/>
        </w:rPr>
        <w:t xml:space="preserve">2.3</w:t>
        <w:tab/>
        <w:t xml:space="preserve">Políticas Públicas Direcionadas à Infância  </w:t>
      </w:r>
      <w:r w:rsidDel="00000000" w:rsidR="00000000" w:rsidRPr="00000000">
        <w:rPr>
          <w:rtl w:val="0"/>
        </w:rPr>
      </w:r>
    </w:p>
    <w:p w:rsidR="00000000" w:rsidDel="00000000" w:rsidP="00000000" w:rsidRDefault="00000000" w:rsidRPr="00000000" w14:paraId="00000033">
      <w:pPr>
        <w:spacing w:line="360" w:lineRule="auto"/>
        <w:jc w:val="both"/>
        <w:rPr>
          <w:sz w:val="24"/>
          <w:szCs w:val="24"/>
        </w:rPr>
      </w:pPr>
      <w:r w:rsidDel="00000000" w:rsidR="00000000" w:rsidRPr="00000000">
        <w:rPr>
          <w:sz w:val="24"/>
          <w:szCs w:val="24"/>
          <w:rtl w:val="0"/>
        </w:rPr>
        <w:t xml:space="preserve">        </w:t>
      </w:r>
      <w:r w:rsidDel="00000000" w:rsidR="00000000" w:rsidRPr="00000000">
        <w:rPr>
          <w:sz w:val="24"/>
          <w:szCs w:val="24"/>
          <w:rtl w:val="0"/>
        </w:rPr>
        <w:t xml:space="preserve">A cena escolhida para analisar a relação  entre a negligência estatal se trata do momento em que a equipe de jornal e representante político tentam lidar com a violência infantil retratada no filme, e apesar da nítida revolta dos adultos sobre a situação, nenhuma medida é tomada e não há solução para o ambiente violento vivenciado pelas crianças.</w:t>
      </w:r>
    </w:p>
    <w:p w:rsidR="00000000" w:rsidDel="00000000" w:rsidP="00000000" w:rsidRDefault="00000000" w:rsidRPr="00000000" w14:paraId="00000034">
      <w:pPr>
        <w:spacing w:line="360" w:lineRule="auto"/>
        <w:jc w:val="both"/>
        <w:rPr>
          <w:sz w:val="24"/>
          <w:szCs w:val="24"/>
        </w:rPr>
      </w:pPr>
      <w:r w:rsidDel="00000000" w:rsidR="00000000" w:rsidRPr="00000000">
        <w:rPr>
          <w:sz w:val="24"/>
          <w:szCs w:val="24"/>
          <w:rtl w:val="0"/>
        </w:rPr>
        <w:tab/>
        <w:t xml:space="preserve">Na cena citada anteriormente, é possível observar a negligência estatal e a falta de apoio que as crianças em vulnerabilidade social vivenciam na época. Nessa perspectiva, pretende-se realizar uma análise comparativa entre políticas públicas presentes no momento em que o filme é retratado (por volta dos anos 80) e atuais sobre a infância, para realizar uma reflexão crítica a respeito de como o Estado enxerga os direitos das crianças.</w:t>
      </w:r>
    </w:p>
    <w:p w:rsidR="00000000" w:rsidDel="00000000" w:rsidP="00000000" w:rsidRDefault="00000000" w:rsidRPr="00000000" w14:paraId="00000035">
      <w:pPr>
        <w:spacing w:line="360" w:lineRule="auto"/>
        <w:jc w:val="both"/>
        <w:rPr>
          <w:sz w:val="24"/>
          <w:szCs w:val="24"/>
        </w:rPr>
      </w:pPr>
      <w:r w:rsidDel="00000000" w:rsidR="00000000" w:rsidRPr="00000000">
        <w:rPr>
          <w:sz w:val="24"/>
          <w:szCs w:val="24"/>
          <w:rtl w:val="0"/>
        </w:rPr>
        <w:tab/>
        <w:t xml:space="preserve">Nesse sentido, deve-se ressaltar que as primeiras políticas desenvolvidas do período colonial até o século XIX possuem caráter assistencialista, sem o objetivo de alterar estruturas sociais e com uma ideologia de caridade e relacionadas a instituições religiosas, algo que remetesse ações filantrópicas com a finalidade de uma piedade divina (Cunha, 2016). </w:t>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tl w:val="0"/>
        </w:rPr>
        <w:t xml:space="preserve">Sendo assim, há uma mudança de concepção sobre infância na passagem entre o Estado monárquico e republicano, o que antes era enxergado como insignificante e sem importância, no período republicano passou a representar esperança e necessidade de proteção, apenas se as crianças fossem vistas como educadas e úteis para a sociedade. Ou seja, o cuidado na concepção monárquica tem a finalidade de caridade, enquanto que, para o período republicano deveria ser cuidado para garantir ordem social. Nesse momento, enfatiza-se as figuras de responsabilidade de cuidado das crianças, em que, primeiramente, esperava-se que os pais ocupassem essa posição, se não fosse possível, o Estado teria essa responsabilidade (Cunha, 2016). A partir disso, quais ações o Estado realizou para garantir os cuidados infantis tanto nas políticas e legislações, como nas práticas cotidianas?</w:t>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tl w:val="0"/>
        </w:rPr>
        <w:t xml:space="preserve">Trazendo essa discussão para o tempo histórico retratado no filme, vale destacar que no ano de lançamento, 1981, o Brasil estava sob regime ditatorial, o qual enfatizou um discurso de “segurança nacional” reverberando em diversas políticas públicas, inclusive para as voltadas à infância (Daminelli, 2013). Dessa forma, o cuidado do governo para as crianças partia de uma concepção de controlar a marginalidade e delinquência, com isso, houve a criação da </w:t>
      </w:r>
      <w:r w:rsidDel="00000000" w:rsidR="00000000" w:rsidRPr="00000000">
        <w:rPr>
          <w:sz w:val="24"/>
          <w:szCs w:val="24"/>
          <w:rtl w:val="0"/>
        </w:rPr>
        <w:t xml:space="preserve">Fundação Nacional  do  Bem-Estar do Menor (Brasil, 1974) </w:t>
      </w:r>
      <w:r w:rsidDel="00000000" w:rsidR="00000000" w:rsidRPr="00000000">
        <w:rPr>
          <w:sz w:val="24"/>
          <w:szCs w:val="24"/>
          <w:rtl w:val="0"/>
        </w:rPr>
        <w:t xml:space="preserve">o que, posteriormente, iniciou a </w:t>
      </w:r>
      <w:r w:rsidDel="00000000" w:rsidR="00000000" w:rsidRPr="00000000">
        <w:rPr>
          <w:sz w:val="24"/>
          <w:szCs w:val="24"/>
          <w:rtl w:val="0"/>
        </w:rPr>
        <w:t xml:space="preserve">Fundação Estadual para o Bem-Estar do Menor</w:t>
      </w:r>
      <w:r w:rsidDel="00000000" w:rsidR="00000000" w:rsidRPr="00000000">
        <w:rPr>
          <w:sz w:val="24"/>
          <w:szCs w:val="24"/>
          <w:rtl w:val="0"/>
        </w:rPr>
        <w:t xml:space="preserve"> para cada estado.</w:t>
      </w:r>
      <w:r w:rsidDel="00000000" w:rsidR="00000000" w:rsidRPr="00000000">
        <w:rPr>
          <w:rtl w:val="0"/>
        </w:rPr>
      </w:r>
    </w:p>
    <w:p w:rsidR="00000000" w:rsidDel="00000000" w:rsidP="00000000" w:rsidRDefault="00000000" w:rsidRPr="00000000" w14:paraId="00000038">
      <w:pPr>
        <w:spacing w:line="360" w:lineRule="auto"/>
        <w:ind w:firstLine="720"/>
        <w:jc w:val="both"/>
        <w:rPr>
          <w:sz w:val="24"/>
          <w:szCs w:val="24"/>
          <w:highlight w:val="white"/>
        </w:rPr>
      </w:pPr>
      <w:r w:rsidDel="00000000" w:rsidR="00000000" w:rsidRPr="00000000">
        <w:rPr>
          <w:sz w:val="24"/>
          <w:szCs w:val="24"/>
          <w:rtl w:val="0"/>
        </w:rPr>
        <w:t xml:space="preserve">Além disso, outra política que possivelmente estava vigente na realidade temporal do filme é o </w:t>
      </w:r>
      <w:r w:rsidDel="00000000" w:rsidR="00000000" w:rsidRPr="00000000">
        <w:rPr>
          <w:sz w:val="24"/>
          <w:szCs w:val="24"/>
          <w:rtl w:val="0"/>
        </w:rPr>
        <w:t xml:space="preserve">Código de Menores de 1979 (Brasil, 1979),</w:t>
      </w:r>
      <w:r w:rsidDel="00000000" w:rsidR="00000000" w:rsidRPr="00000000">
        <w:rPr>
          <w:sz w:val="24"/>
          <w:szCs w:val="24"/>
          <w:rtl w:val="0"/>
        </w:rPr>
        <w:t xml:space="preserve"> o qual, por sua vez, influenciado pelo regime ditatorial possui um teor extremamente autoritário e punitivista. Dessa maneira, o Estado está na posição de julgar a irregularidade e apreender os jovens, como dito por Brito (2024), “</w:t>
      </w:r>
      <w:r w:rsidDel="00000000" w:rsidR="00000000" w:rsidRPr="00000000">
        <w:rPr>
          <w:sz w:val="24"/>
          <w:szCs w:val="24"/>
          <w:highlight w:val="white"/>
          <w:rtl w:val="0"/>
        </w:rPr>
        <w:t xml:space="preserve">o</w:t>
      </w:r>
      <w:r w:rsidDel="00000000" w:rsidR="00000000" w:rsidRPr="00000000">
        <w:rPr>
          <w:sz w:val="24"/>
          <w:szCs w:val="24"/>
          <w:highlight w:val="white"/>
          <w:rtl w:val="0"/>
        </w:rPr>
        <w:t xml:space="preserve"> Código, através de dispositivos de intervenção do Estado sobre a família, direciona a uma política de internatos-prisão”. Essas intervenções feitas pelo Estado de maneira repressora tinham o objetivo de sanar problemas de maneira rápida, entretanto, se provou ineficaz uma vez que muitos jovens retornavam à prisão (Brito, 2024).</w:t>
      </w:r>
      <w:r w:rsidDel="00000000" w:rsidR="00000000" w:rsidRPr="00000000">
        <w:rPr>
          <w:rtl w:val="0"/>
        </w:rPr>
      </w:r>
    </w:p>
    <w:p w:rsidR="00000000" w:rsidDel="00000000" w:rsidP="00000000" w:rsidRDefault="00000000" w:rsidRPr="00000000" w14:paraId="00000039">
      <w:pPr>
        <w:spacing w:line="360" w:lineRule="auto"/>
        <w:ind w:left="0" w:firstLine="720"/>
        <w:jc w:val="both"/>
        <w:rPr>
          <w:sz w:val="24"/>
          <w:szCs w:val="24"/>
        </w:rPr>
      </w:pPr>
      <w:r w:rsidDel="00000000" w:rsidR="00000000" w:rsidRPr="00000000">
        <w:rPr>
          <w:sz w:val="24"/>
          <w:szCs w:val="24"/>
          <w:rtl w:val="0"/>
        </w:rPr>
        <w:t xml:space="preserve">Nessa perspectiva, é importante citar o </w:t>
      </w:r>
      <w:r w:rsidDel="00000000" w:rsidR="00000000" w:rsidRPr="00000000">
        <w:rPr>
          <w:sz w:val="24"/>
          <w:szCs w:val="24"/>
          <w:rtl w:val="0"/>
        </w:rPr>
        <w:t xml:space="preserve">Movimento Nacional de Meninos e Meninas de Rua (MNMMR) criado em 1985,</w:t>
      </w:r>
      <w:r w:rsidDel="00000000" w:rsidR="00000000" w:rsidRPr="00000000">
        <w:rPr>
          <w:sz w:val="24"/>
          <w:szCs w:val="24"/>
          <w:rtl w:val="0"/>
        </w:rPr>
        <w:t xml:space="preserve"> o qual representa uma articulação da sociedade civil e entidades estatais não apenas por ressignificar o caminho feito por ONGs (Organizações Não Governamentais), mas também por ser uma resposta a políticas públicas da época ditatorial voltadas apenas para o controle (Nicodemos, 2020). Sendo assim, esse movimento também contribuiu para que fossem construídas concepções político-pedagógicas, ou seja:</w:t>
      </w:r>
    </w:p>
    <w:p w:rsidR="00000000" w:rsidDel="00000000" w:rsidP="00000000" w:rsidRDefault="00000000" w:rsidRPr="00000000" w14:paraId="0000003A">
      <w:pPr>
        <w:spacing w:line="360" w:lineRule="auto"/>
        <w:ind w:left="0" w:firstLine="720"/>
        <w:jc w:val="both"/>
        <w:rPr>
          <w:sz w:val="24"/>
          <w:szCs w:val="24"/>
        </w:rPr>
      </w:pPr>
      <w:r w:rsidDel="00000000" w:rsidR="00000000" w:rsidRPr="00000000">
        <w:rPr>
          <w:rtl w:val="0"/>
        </w:rPr>
      </w:r>
    </w:p>
    <w:p w:rsidR="00000000" w:rsidDel="00000000" w:rsidP="00000000" w:rsidRDefault="00000000" w:rsidRPr="00000000" w14:paraId="0000003B">
      <w:pPr>
        <w:spacing w:line="240" w:lineRule="auto"/>
        <w:ind w:left="2160" w:firstLine="0"/>
        <w:jc w:val="both"/>
        <w:rPr>
          <w:sz w:val="20"/>
          <w:szCs w:val="20"/>
          <w:highlight w:val="white"/>
        </w:rPr>
      </w:pPr>
      <w:r w:rsidDel="00000000" w:rsidR="00000000" w:rsidRPr="00000000">
        <w:rPr>
          <w:sz w:val="20"/>
          <w:szCs w:val="20"/>
          <w:highlight w:val="white"/>
          <w:rtl w:val="0"/>
        </w:rPr>
        <w:t xml:space="preserve">O MNMMR estruturou-se em oposição ao modelo de natureza  assistencialista  e  repressor  da  política  oficial do  período anterior. Sua concepção   político-pedagógica   pretendia   que   a   criança   e   o   adolescente   se constituíssem   como protagonistas,   sujeitos   históricos   do   seu   processo de crescimento   e   elementos   ativos   na   defesa   dos   seus   direitos   de   cidadania. Defendia, ainda, a garantia da participação popular na elaboração e na gestão da política para as crianças e os adolescentes no Brasil (Nicodemos, 2020, p.14).</w:t>
      </w:r>
    </w:p>
    <w:p w:rsidR="00000000" w:rsidDel="00000000" w:rsidP="00000000" w:rsidRDefault="00000000" w:rsidRPr="00000000" w14:paraId="0000003C">
      <w:pPr>
        <w:spacing w:line="360" w:lineRule="auto"/>
        <w:ind w:left="0" w:firstLine="720"/>
        <w:jc w:val="both"/>
        <w:rPr>
          <w:sz w:val="24"/>
          <w:szCs w:val="24"/>
        </w:rPr>
      </w:pPr>
      <w:r w:rsidDel="00000000" w:rsidR="00000000" w:rsidRPr="00000000">
        <w:rPr>
          <w:rtl w:val="0"/>
        </w:rPr>
      </w:r>
    </w:p>
    <w:p w:rsidR="00000000" w:rsidDel="00000000" w:rsidP="00000000" w:rsidRDefault="00000000" w:rsidRPr="00000000" w14:paraId="0000003D">
      <w:pPr>
        <w:spacing w:line="360" w:lineRule="auto"/>
        <w:ind w:firstLine="720"/>
        <w:jc w:val="both"/>
        <w:rPr>
          <w:sz w:val="24"/>
          <w:szCs w:val="24"/>
        </w:rPr>
      </w:pPr>
      <w:r w:rsidDel="00000000" w:rsidR="00000000" w:rsidRPr="00000000">
        <w:rPr>
          <w:sz w:val="24"/>
          <w:szCs w:val="24"/>
          <w:rtl w:val="0"/>
        </w:rPr>
        <w:t xml:space="preserve">Na atualidade, </w:t>
      </w:r>
      <w:r w:rsidDel="00000000" w:rsidR="00000000" w:rsidRPr="00000000">
        <w:rPr>
          <w:sz w:val="24"/>
          <w:szCs w:val="24"/>
          <w:rtl w:val="0"/>
        </w:rPr>
        <w:t xml:space="preserve">o Estatuto da Criança e do Adolescente (Brasil, 1990)</w:t>
      </w:r>
      <w:r w:rsidDel="00000000" w:rsidR="00000000" w:rsidRPr="00000000">
        <w:rPr>
          <w:sz w:val="24"/>
          <w:szCs w:val="24"/>
          <w:rtl w:val="0"/>
        </w:rPr>
        <w:t xml:space="preserve"> produziu mudanças profundas e redirecionou o caminho das políticas públicas infantis no Brasil, tendo em vista que foi resultado de lutas sociais e ampliou e deu importância para o bem-estar e os direitos de jovens e crianças, além de retratar o caráter pejorativo usado em legislações anteriores como “delinquência”, sendo trocados por “ato infracional”. Entretanto, apesar da importância do Estatuto, vale ressaltar que ainda é apontado um caráter punitivo e a perpetuação do problema de infrações juvenis, tendo como conclusão que se trata de um fenômeno social de longo prazo. (Martins; Braga, 2024).</w:t>
      </w:r>
    </w:p>
    <w:p w:rsidR="00000000" w:rsidDel="00000000" w:rsidP="00000000" w:rsidRDefault="00000000" w:rsidRPr="00000000" w14:paraId="0000003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F">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40">
      <w:pPr>
        <w:spacing w:line="360" w:lineRule="auto"/>
        <w:jc w:val="both"/>
        <w:rPr>
          <w:sz w:val="24"/>
          <w:szCs w:val="24"/>
        </w:rPr>
      </w:pPr>
      <w:r w:rsidDel="00000000" w:rsidR="00000000" w:rsidRPr="00000000">
        <w:rPr>
          <w:rtl w:val="0"/>
        </w:rPr>
      </w:r>
    </w:p>
    <w:p w:rsidR="00000000" w:rsidDel="00000000" w:rsidP="00000000" w:rsidRDefault="00000000" w:rsidRPr="00000000" w14:paraId="00000041">
      <w:pPr>
        <w:spacing w:line="360" w:lineRule="auto"/>
        <w:jc w:val="both"/>
        <w:rPr>
          <w:sz w:val="24"/>
          <w:szCs w:val="24"/>
        </w:rPr>
      </w:pPr>
      <w:r w:rsidDel="00000000" w:rsidR="00000000" w:rsidRPr="00000000">
        <w:rPr>
          <w:sz w:val="24"/>
          <w:szCs w:val="24"/>
          <w:rtl w:val="0"/>
        </w:rPr>
        <w:tab/>
        <w:t xml:space="preserve">O estudo de “Pixote, a Lei do Mais Fraco” (1981) sob a perspectiva de Winnicott (1983; 1987; 2023) revela que a tendência antissocial dos personagens constitui um pedido de reconhecimento diante da privação ambiental. A cena da brincadeira na fonte, logo após o furto, sintetiza essa dualidade: o ato infracional é, ao mesmo tempo, uma manifestação desesperada de restauração do ambiente suficientemente bom perdido. Essa dinâmica expõe a falência dupla das figuras paternas.</w:t>
      </w:r>
    </w:p>
    <w:p w:rsidR="00000000" w:rsidDel="00000000" w:rsidP="00000000" w:rsidRDefault="00000000" w:rsidRPr="00000000" w14:paraId="00000042">
      <w:pPr>
        <w:spacing w:line="360" w:lineRule="auto"/>
        <w:ind w:firstLine="720"/>
        <w:jc w:val="both"/>
        <w:rPr>
          <w:sz w:val="24"/>
          <w:szCs w:val="24"/>
        </w:rPr>
      </w:pPr>
      <w:r w:rsidDel="00000000" w:rsidR="00000000" w:rsidRPr="00000000">
        <w:rPr>
          <w:sz w:val="24"/>
          <w:szCs w:val="24"/>
          <w:rtl w:val="0"/>
        </w:rPr>
        <w:t xml:space="preserve">No âmbito simbólico, o Estado e as instituições, como o reformatório, assumem uma função paterna degenerada, exemplificada na fala do personagem Sapato: “não sou pai de ninguém”. Já no plano real, políticas como o Código de Menores (1979) ao tratar crianças e adolescentes em situação de vulnerabilidade como potenciais infratores, em vez de sujeitos de direitos, tendem a </w:t>
      </w:r>
      <w:r w:rsidDel="00000000" w:rsidR="00000000" w:rsidRPr="00000000">
        <w:rPr>
          <w:sz w:val="24"/>
          <w:szCs w:val="24"/>
          <w:rtl w:val="0"/>
        </w:rPr>
        <w:t xml:space="preserve">patologiza</w:t>
      </w:r>
      <w:r w:rsidDel="00000000" w:rsidR="00000000" w:rsidRPr="00000000">
        <w:rPr>
          <w:sz w:val="24"/>
          <w:szCs w:val="24"/>
          <w:rtl w:val="0"/>
        </w:rPr>
        <w:t xml:space="preserve">r a pobreza, convertendo demandas por cuidado em controle da delinquência, logo, agrava-se o confinamento de crianças em instituições que funcionavam mais como depósitos do que como espaços de educação ou ressocialização.</w:t>
      </w:r>
    </w:p>
    <w:p w:rsidR="00000000" w:rsidDel="00000000" w:rsidP="00000000" w:rsidRDefault="00000000" w:rsidRPr="00000000" w14:paraId="00000043">
      <w:pPr>
        <w:spacing w:line="360" w:lineRule="auto"/>
        <w:ind w:firstLine="720"/>
        <w:jc w:val="both"/>
        <w:rPr>
          <w:sz w:val="24"/>
          <w:szCs w:val="24"/>
        </w:rPr>
      </w:pPr>
      <w:r w:rsidDel="00000000" w:rsidR="00000000" w:rsidRPr="00000000">
        <w:rPr>
          <w:sz w:val="24"/>
          <w:szCs w:val="24"/>
          <w:rtl w:val="0"/>
        </w:rPr>
        <w:t xml:space="preserve">A persistência de lógicas asilares e punitivistas nas medidas socioeducativas, mesmo após o ECA (1990), demonstra que o Estado continua falhando em exercer uma função paterna integrada, aquela que, para Winnicott, equilibra limites firmes e sustento emocional.</w:t>
      </w:r>
    </w:p>
    <w:p w:rsidR="00000000" w:rsidDel="00000000" w:rsidP="00000000" w:rsidRDefault="00000000" w:rsidRPr="00000000" w14:paraId="00000044">
      <w:pPr>
        <w:spacing w:line="360" w:lineRule="auto"/>
        <w:ind w:firstLine="720"/>
        <w:jc w:val="both"/>
        <w:rPr>
          <w:sz w:val="24"/>
          <w:szCs w:val="24"/>
        </w:rPr>
      </w:pPr>
      <w:r w:rsidDel="00000000" w:rsidR="00000000" w:rsidRPr="00000000">
        <w:rPr>
          <w:sz w:val="24"/>
          <w:szCs w:val="24"/>
          <w:rtl w:val="0"/>
        </w:rPr>
        <w:t xml:space="preserve">Propõe-se, portanto, substituir a custódia por espaços potenciais: instituições configuradas como ambientes transicionais não prisionais, onde o gesto espontâneo possa emergir sem repressão. Defende-se reposicionar o Estado como um “pai presente”, capaz de garantir continuidade relacional, vínculos estáveis e respostas não retaliadoras à destrutividade. </w:t>
      </w:r>
    </w:p>
    <w:p w:rsidR="00000000" w:rsidDel="00000000" w:rsidP="00000000" w:rsidRDefault="00000000" w:rsidRPr="00000000" w14:paraId="00000045">
      <w:pPr>
        <w:spacing w:line="360" w:lineRule="auto"/>
        <w:ind w:firstLine="720"/>
        <w:jc w:val="both"/>
        <w:rPr>
          <w:sz w:val="24"/>
          <w:szCs w:val="24"/>
        </w:rPr>
      </w:pPr>
      <w:r w:rsidDel="00000000" w:rsidR="00000000" w:rsidRPr="00000000">
        <w:rPr>
          <w:sz w:val="24"/>
          <w:szCs w:val="24"/>
          <w:rtl w:val="0"/>
        </w:rPr>
        <w:t xml:space="preserve">Por fim, é fundamental descentralizar o cuidado, fortalecendo redes comunitárias que oferecem apoio preventivo antes da solidificação da tendência antissocial e da criminalidade presente na vida de crianças e adolescentes precarizados pelo sistema.</w:t>
      </w:r>
    </w:p>
    <w:p w:rsidR="00000000" w:rsidDel="00000000" w:rsidP="00000000" w:rsidRDefault="00000000" w:rsidRPr="00000000" w14:paraId="00000046">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7">
      <w:pPr>
        <w:spacing w:line="360" w:lineRule="auto"/>
        <w:jc w:val="center"/>
        <w:rPr>
          <w:b w:val="1"/>
          <w:sz w:val="24"/>
          <w:szCs w:val="24"/>
          <w:vertAlign w:val="baseline"/>
        </w:rPr>
      </w:pPr>
      <w:r w:rsidDel="00000000" w:rsidR="00000000" w:rsidRPr="00000000">
        <w:rPr>
          <w:b w:val="1"/>
          <w:sz w:val="24"/>
          <w:szCs w:val="24"/>
          <w:vertAlign w:val="baseline"/>
          <w:rtl w:val="0"/>
        </w:rPr>
        <w:t xml:space="preserve">REFERÊNCIAS</w:t>
      </w:r>
    </w:p>
    <w:p w:rsidR="00000000" w:rsidDel="00000000" w:rsidP="00000000" w:rsidRDefault="00000000" w:rsidRPr="00000000" w14:paraId="00000048">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49">
      <w:pPr>
        <w:spacing w:line="360" w:lineRule="auto"/>
        <w:rPr>
          <w:sz w:val="24"/>
          <w:szCs w:val="24"/>
        </w:rPr>
      </w:pPr>
      <w:r w:rsidDel="00000000" w:rsidR="00000000" w:rsidRPr="00000000">
        <w:rPr>
          <w:sz w:val="24"/>
          <w:szCs w:val="24"/>
          <w:rtl w:val="0"/>
        </w:rPr>
        <w:t xml:space="preserve">BARDIN, Laurence. </w:t>
      </w:r>
      <w:r w:rsidDel="00000000" w:rsidR="00000000" w:rsidRPr="00000000">
        <w:rPr>
          <w:b w:val="1"/>
          <w:sz w:val="24"/>
          <w:szCs w:val="24"/>
          <w:rtl w:val="0"/>
        </w:rPr>
        <w:t xml:space="preserve">Análise de conteúdo</w:t>
      </w:r>
      <w:r w:rsidDel="00000000" w:rsidR="00000000" w:rsidRPr="00000000">
        <w:rPr>
          <w:sz w:val="24"/>
          <w:szCs w:val="24"/>
          <w:rtl w:val="0"/>
        </w:rPr>
        <w:t xml:space="preserve">. Edição revista e ampliada. São Paulo: Edições 70, 2016.</w:t>
      </w:r>
    </w:p>
    <w:p w:rsidR="00000000" w:rsidDel="00000000" w:rsidP="00000000" w:rsidRDefault="00000000" w:rsidRPr="00000000" w14:paraId="0000004A">
      <w:pPr>
        <w:spacing w:line="360" w:lineRule="auto"/>
        <w:rPr>
          <w:sz w:val="24"/>
          <w:szCs w:val="24"/>
        </w:rPr>
      </w:pPr>
      <w:r w:rsidDel="00000000" w:rsidR="00000000" w:rsidRPr="00000000">
        <w:rPr>
          <w:rtl w:val="0"/>
        </w:rPr>
      </w:r>
    </w:p>
    <w:p w:rsidR="00000000" w:rsidDel="00000000" w:rsidP="00000000" w:rsidRDefault="00000000" w:rsidRPr="00000000" w14:paraId="0000004B">
      <w:pPr>
        <w:spacing w:line="360" w:lineRule="auto"/>
        <w:rPr>
          <w:sz w:val="24"/>
          <w:szCs w:val="24"/>
        </w:rPr>
      </w:pPr>
      <w:r w:rsidDel="00000000" w:rsidR="00000000" w:rsidRPr="00000000">
        <w:rPr>
          <w:sz w:val="24"/>
          <w:szCs w:val="24"/>
          <w:rtl w:val="0"/>
        </w:rPr>
        <w:t xml:space="preserve">BRASIL. Lei nº 8.069, de 13 de julho de 1990.</w:t>
      </w:r>
      <w:r w:rsidDel="00000000" w:rsidR="00000000" w:rsidRPr="00000000">
        <w:rPr>
          <w:b w:val="1"/>
          <w:sz w:val="24"/>
          <w:szCs w:val="24"/>
          <w:rtl w:val="0"/>
        </w:rPr>
        <w:t xml:space="preserve"> </w:t>
      </w:r>
      <w:r w:rsidDel="00000000" w:rsidR="00000000" w:rsidRPr="00000000">
        <w:rPr>
          <w:sz w:val="24"/>
          <w:szCs w:val="24"/>
          <w:rtl w:val="0"/>
        </w:rPr>
        <w:t xml:space="preserve">Dispõe sobre o Estatuto da Criança e do Adolescente</w:t>
      </w:r>
      <w:r w:rsidDel="00000000" w:rsidR="00000000" w:rsidRPr="00000000">
        <w:rPr>
          <w:b w:val="1"/>
          <w:sz w:val="24"/>
          <w:szCs w:val="24"/>
          <w:rtl w:val="0"/>
        </w:rPr>
        <w:t xml:space="preserve">. Diário Oficial [da] República Federativa do Brasil</w:t>
      </w:r>
      <w:r w:rsidDel="00000000" w:rsidR="00000000" w:rsidRPr="00000000">
        <w:rPr>
          <w:sz w:val="24"/>
          <w:szCs w:val="24"/>
          <w:rtl w:val="0"/>
        </w:rPr>
        <w:t xml:space="preserve">, Brasília, DF, 16 jul. 1990. Disponível em: </w:t>
      </w:r>
      <w:hyperlink r:id="rId8">
        <w:r w:rsidDel="00000000" w:rsidR="00000000" w:rsidRPr="00000000">
          <w:rPr>
            <w:color w:val="1155cc"/>
            <w:sz w:val="24"/>
            <w:szCs w:val="24"/>
            <w:u w:val="single"/>
            <w:rtl w:val="0"/>
          </w:rPr>
          <w:t xml:space="preserve">https://www.planalto.gov.br/ccivil_03/leis/l8069.htm</w:t>
        </w:r>
      </w:hyperlink>
      <w:r w:rsidDel="00000000" w:rsidR="00000000" w:rsidRPr="00000000">
        <w:rPr>
          <w:sz w:val="24"/>
          <w:szCs w:val="24"/>
          <w:rtl w:val="0"/>
        </w:rPr>
        <w:t xml:space="preserve">.  Acesso em: 30 jun. 2025.</w:t>
      </w:r>
    </w:p>
    <w:p w:rsidR="00000000" w:rsidDel="00000000" w:rsidP="00000000" w:rsidRDefault="00000000" w:rsidRPr="00000000" w14:paraId="0000004C">
      <w:pPr>
        <w:spacing w:line="360" w:lineRule="auto"/>
        <w:rPr>
          <w:sz w:val="24"/>
          <w:szCs w:val="24"/>
        </w:rPr>
      </w:pPr>
      <w:r w:rsidDel="00000000" w:rsidR="00000000" w:rsidRPr="00000000">
        <w:rPr>
          <w:rtl w:val="0"/>
        </w:rPr>
      </w:r>
    </w:p>
    <w:p w:rsidR="00000000" w:rsidDel="00000000" w:rsidP="00000000" w:rsidRDefault="00000000" w:rsidRPr="00000000" w14:paraId="0000004D">
      <w:pPr>
        <w:spacing w:line="360" w:lineRule="auto"/>
        <w:rPr>
          <w:sz w:val="24"/>
          <w:szCs w:val="24"/>
        </w:rPr>
      </w:pPr>
      <w:r w:rsidDel="00000000" w:rsidR="00000000" w:rsidRPr="00000000">
        <w:rPr>
          <w:sz w:val="24"/>
          <w:szCs w:val="24"/>
          <w:rtl w:val="0"/>
        </w:rPr>
        <w:t xml:space="preserve">BRASIL. Lei n° 6.697, de 10 de outubro de 1979. Institui o Código de Menores. </w:t>
      </w:r>
      <w:r w:rsidDel="00000000" w:rsidR="00000000" w:rsidRPr="00000000">
        <w:rPr>
          <w:b w:val="1"/>
          <w:sz w:val="24"/>
          <w:szCs w:val="24"/>
          <w:rtl w:val="0"/>
        </w:rPr>
        <w:t xml:space="preserve"> Diário Oficial [da] República Federativa do Brasil</w:t>
      </w:r>
      <w:r w:rsidDel="00000000" w:rsidR="00000000" w:rsidRPr="00000000">
        <w:rPr>
          <w:sz w:val="24"/>
          <w:szCs w:val="24"/>
          <w:rtl w:val="0"/>
        </w:rPr>
        <w:t xml:space="preserve">, Brasília, DF. Disponível em: </w:t>
      </w:r>
      <w:hyperlink r:id="rId9">
        <w:r w:rsidDel="00000000" w:rsidR="00000000" w:rsidRPr="00000000">
          <w:rPr>
            <w:color w:val="1155cc"/>
            <w:sz w:val="24"/>
            <w:szCs w:val="24"/>
            <w:u w:val="single"/>
            <w:rtl w:val="0"/>
          </w:rPr>
          <w:t xml:space="preserve">https://www.planalto.gov.br/ccivil_03/leis/l8069.htm</w:t>
        </w:r>
      </w:hyperlink>
      <w:r w:rsidDel="00000000" w:rsidR="00000000" w:rsidRPr="00000000">
        <w:rPr>
          <w:sz w:val="24"/>
          <w:szCs w:val="24"/>
          <w:rtl w:val="0"/>
        </w:rPr>
        <w:t xml:space="preserve">.  Acesso em: 30 jun. 2025.</w:t>
      </w:r>
    </w:p>
    <w:p w:rsidR="00000000" w:rsidDel="00000000" w:rsidP="00000000" w:rsidRDefault="00000000" w:rsidRPr="00000000" w14:paraId="0000004E">
      <w:pPr>
        <w:spacing w:line="360" w:lineRule="auto"/>
        <w:rPr>
          <w:sz w:val="24"/>
          <w:szCs w:val="24"/>
        </w:rPr>
      </w:pPr>
      <w:r w:rsidDel="00000000" w:rsidR="00000000" w:rsidRPr="00000000">
        <w:rPr>
          <w:rtl w:val="0"/>
        </w:rPr>
      </w:r>
    </w:p>
    <w:p w:rsidR="00000000" w:rsidDel="00000000" w:rsidP="00000000" w:rsidRDefault="00000000" w:rsidRPr="00000000" w14:paraId="0000004F">
      <w:pPr>
        <w:spacing w:line="360" w:lineRule="auto"/>
        <w:rPr>
          <w:color w:val="800000"/>
          <w:sz w:val="24"/>
          <w:szCs w:val="24"/>
        </w:rPr>
      </w:pPr>
      <w:r w:rsidDel="00000000" w:rsidR="00000000" w:rsidRPr="00000000">
        <w:rPr>
          <w:sz w:val="24"/>
          <w:szCs w:val="24"/>
          <w:rtl w:val="0"/>
        </w:rPr>
        <w:t xml:space="preserve">BRASIL. Lei n° 6.037, de 02 de maio de 1974. Estende às Fundações Nacional e Estaduais do Bem-Estar do Menor a isenção de que trata a Lei n° 3.577, de 4 de julho de 1959. </w:t>
      </w:r>
      <w:r w:rsidDel="00000000" w:rsidR="00000000" w:rsidRPr="00000000">
        <w:rPr>
          <w:b w:val="1"/>
          <w:sz w:val="24"/>
          <w:szCs w:val="24"/>
          <w:rtl w:val="0"/>
        </w:rPr>
        <w:t xml:space="preserve">Diário Oficial [da] República Federativa do Brasil</w:t>
      </w:r>
      <w:r w:rsidDel="00000000" w:rsidR="00000000" w:rsidRPr="00000000">
        <w:rPr>
          <w:sz w:val="24"/>
          <w:szCs w:val="24"/>
          <w:rtl w:val="0"/>
        </w:rPr>
        <w:t xml:space="preserve">, Brasília, DF, 3 maio de 1974. Disponível em: </w:t>
      </w:r>
      <w:hyperlink r:id="rId10">
        <w:r w:rsidDel="00000000" w:rsidR="00000000" w:rsidRPr="00000000">
          <w:rPr>
            <w:color w:val="1155cc"/>
            <w:sz w:val="24"/>
            <w:szCs w:val="24"/>
            <w:u w:val="single"/>
            <w:rtl w:val="0"/>
          </w:rPr>
          <w:t xml:space="preserve">https://www.planalto.gov.br/ccivil_03/leis/1970-1979/L6037.htm#:~:text=LEI%20N%C2%BA%206.037%2C%20DE%202,Independ%C3%AAncia%20e%2086%C2%BA%20da%20Rep%C3%BAblica</w:t>
        </w:r>
      </w:hyperlink>
      <w:r w:rsidDel="00000000" w:rsidR="00000000" w:rsidRPr="00000000">
        <w:rPr>
          <w:sz w:val="24"/>
          <w:szCs w:val="24"/>
          <w:rtl w:val="0"/>
        </w:rPr>
        <w:t xml:space="preserve">.. Acesso em: 30 jun. 2025.</w:t>
      </w:r>
      <w:r w:rsidDel="00000000" w:rsidR="00000000" w:rsidRPr="00000000">
        <w:rPr>
          <w:rtl w:val="0"/>
        </w:rPr>
      </w:r>
    </w:p>
    <w:p w:rsidR="00000000" w:rsidDel="00000000" w:rsidP="00000000" w:rsidRDefault="00000000" w:rsidRPr="00000000" w14:paraId="00000050">
      <w:pPr>
        <w:spacing w:line="360" w:lineRule="auto"/>
        <w:rPr>
          <w:sz w:val="24"/>
          <w:szCs w:val="24"/>
        </w:rPr>
      </w:pPr>
      <w:r w:rsidDel="00000000" w:rsidR="00000000" w:rsidRPr="00000000">
        <w:rPr>
          <w:rtl w:val="0"/>
        </w:rPr>
      </w:r>
    </w:p>
    <w:p w:rsidR="00000000" w:rsidDel="00000000" w:rsidP="00000000" w:rsidRDefault="00000000" w:rsidRPr="00000000" w14:paraId="00000051">
      <w:pPr>
        <w:spacing w:line="360" w:lineRule="auto"/>
        <w:rPr>
          <w:sz w:val="24"/>
          <w:szCs w:val="24"/>
        </w:rPr>
      </w:pPr>
      <w:r w:rsidDel="00000000" w:rsidR="00000000" w:rsidRPr="00000000">
        <w:rPr>
          <w:sz w:val="24"/>
          <w:szCs w:val="24"/>
          <w:rtl w:val="0"/>
        </w:rPr>
        <w:t xml:space="preserve">BRITO, Magno. (2024). </w:t>
      </w:r>
      <w:r w:rsidDel="00000000" w:rsidR="00000000" w:rsidRPr="00000000">
        <w:rPr>
          <w:sz w:val="24"/>
          <w:szCs w:val="24"/>
          <w:rtl w:val="0"/>
        </w:rPr>
        <w:t xml:space="preserve">Análise comparativa entre o Código de Menores de 1927 e o Código de Menores de 1979: aspectos políticos, sociais e jurídicos. Jusbrasil. Disponível em: </w:t>
      </w:r>
      <w:hyperlink r:id="rId11">
        <w:r w:rsidDel="00000000" w:rsidR="00000000" w:rsidRPr="00000000">
          <w:rPr>
            <w:color w:val="1155cc"/>
            <w:sz w:val="24"/>
            <w:szCs w:val="24"/>
            <w:u w:val="single"/>
            <w:rtl w:val="0"/>
          </w:rPr>
          <w:t xml:space="preserve">https://www.jusbrasil.com.br/artigos/analise-comparativa-entre-o-codigo-de-menores-de-1927-e-o-codigo-de-menores-de-1979-aspectos-politicos-sociais-e-juridicos/2352366660</w:t>
        </w:r>
      </w:hyperlink>
      <w:r w:rsidDel="00000000" w:rsidR="00000000" w:rsidRPr="00000000">
        <w:rPr>
          <w:sz w:val="24"/>
          <w:szCs w:val="24"/>
          <w:rtl w:val="0"/>
        </w:rPr>
        <w:t xml:space="preserve">. Acesso em: 30 jun. 2025.</w:t>
      </w:r>
    </w:p>
    <w:p w:rsidR="00000000" w:rsidDel="00000000" w:rsidP="00000000" w:rsidRDefault="00000000" w:rsidRPr="00000000" w14:paraId="00000052">
      <w:pPr>
        <w:spacing w:line="360" w:lineRule="auto"/>
        <w:rPr>
          <w:sz w:val="24"/>
          <w:szCs w:val="24"/>
        </w:rPr>
      </w:pPr>
      <w:r w:rsidDel="00000000" w:rsidR="00000000" w:rsidRPr="00000000">
        <w:rPr>
          <w:rtl w:val="0"/>
        </w:rPr>
      </w:r>
    </w:p>
    <w:p w:rsidR="00000000" w:rsidDel="00000000" w:rsidP="00000000" w:rsidRDefault="00000000" w:rsidRPr="00000000" w14:paraId="00000053">
      <w:pPr>
        <w:spacing w:line="360" w:lineRule="auto"/>
        <w:rPr>
          <w:sz w:val="24"/>
          <w:szCs w:val="24"/>
        </w:rPr>
      </w:pPr>
      <w:r w:rsidDel="00000000" w:rsidR="00000000" w:rsidRPr="00000000">
        <w:rPr>
          <w:sz w:val="24"/>
          <w:szCs w:val="24"/>
          <w:rtl w:val="0"/>
        </w:rPr>
        <w:t xml:space="preserve">CUNHA, Ione da Silva. A EVOLUÇÃO DAS POLÍTICAS DE ATENDIMENTO À INFÂNCIA NO BRASIL: ENTRE CONCESSÕES E O RECONHECIMENTO DE DIREITOS.</w:t>
      </w:r>
      <w:r w:rsidDel="00000000" w:rsidR="00000000" w:rsidRPr="00000000">
        <w:rPr>
          <w:b w:val="1"/>
          <w:sz w:val="24"/>
          <w:szCs w:val="24"/>
          <w:rtl w:val="0"/>
        </w:rPr>
        <w:t xml:space="preserve"> REAe - Revista de Estudos Aplicados em Educação. </w:t>
      </w:r>
      <w:r w:rsidDel="00000000" w:rsidR="00000000" w:rsidRPr="00000000">
        <w:rPr>
          <w:sz w:val="24"/>
          <w:szCs w:val="24"/>
          <w:rtl w:val="0"/>
        </w:rPr>
        <w:t xml:space="preserve">v.1, n.2, ago./dez. 2016. </w:t>
      </w:r>
    </w:p>
    <w:p w:rsidR="00000000" w:rsidDel="00000000" w:rsidP="00000000" w:rsidRDefault="00000000" w:rsidRPr="00000000" w14:paraId="00000054">
      <w:pPr>
        <w:spacing w:line="360" w:lineRule="auto"/>
        <w:rPr>
          <w:sz w:val="24"/>
          <w:szCs w:val="24"/>
        </w:rPr>
      </w:pPr>
      <w:r w:rsidDel="00000000" w:rsidR="00000000" w:rsidRPr="00000000">
        <w:rPr>
          <w:rtl w:val="0"/>
        </w:rPr>
      </w:r>
    </w:p>
    <w:p w:rsidR="00000000" w:rsidDel="00000000" w:rsidP="00000000" w:rsidRDefault="00000000" w:rsidRPr="00000000" w14:paraId="00000055">
      <w:pPr>
        <w:spacing w:line="360" w:lineRule="auto"/>
        <w:rPr>
          <w:sz w:val="24"/>
          <w:szCs w:val="24"/>
          <w:highlight w:val="white"/>
        </w:rPr>
      </w:pPr>
      <w:r w:rsidDel="00000000" w:rsidR="00000000" w:rsidRPr="00000000">
        <w:rPr>
          <w:sz w:val="24"/>
          <w:szCs w:val="24"/>
          <w:highlight w:val="white"/>
          <w:rtl w:val="0"/>
        </w:rPr>
        <w:t xml:space="preserve">DAMINELLI, Camila Serafim. O governo da população infantojuvenil no Brasil durante a ditadura civil-militar: apontamentos entre o nacional e o local. </w:t>
      </w:r>
      <w:r w:rsidDel="00000000" w:rsidR="00000000" w:rsidRPr="00000000">
        <w:rPr>
          <w:b w:val="1"/>
          <w:sz w:val="24"/>
          <w:szCs w:val="24"/>
          <w:highlight w:val="white"/>
          <w:rtl w:val="0"/>
        </w:rPr>
        <w:t xml:space="preserve">Temporalidades</w:t>
      </w:r>
      <w:r w:rsidDel="00000000" w:rsidR="00000000" w:rsidRPr="00000000">
        <w:rPr>
          <w:sz w:val="24"/>
          <w:szCs w:val="24"/>
          <w:highlight w:val="white"/>
          <w:rtl w:val="0"/>
        </w:rPr>
        <w:t xml:space="preserve">, Belo Horizonte, v. 5, n. 2, p. 86–110, 2013. Disponível em: </w:t>
      </w:r>
      <w:hyperlink r:id="rId12">
        <w:r w:rsidDel="00000000" w:rsidR="00000000" w:rsidRPr="00000000">
          <w:rPr>
            <w:sz w:val="24"/>
            <w:szCs w:val="24"/>
            <w:highlight w:val="white"/>
            <w:u w:val="single"/>
            <w:rtl w:val="0"/>
          </w:rPr>
          <w:t xml:space="preserve">https://periodicos.ufmg.br/index.php/temporalidades/article/view/5477</w:t>
        </w:r>
      </w:hyperlink>
      <w:r w:rsidDel="00000000" w:rsidR="00000000" w:rsidRPr="00000000">
        <w:rPr>
          <w:sz w:val="24"/>
          <w:szCs w:val="24"/>
          <w:highlight w:val="white"/>
          <w:rtl w:val="0"/>
        </w:rPr>
        <w:t xml:space="preserve">. Acesso em: 9 jun. 2025.</w:t>
      </w:r>
    </w:p>
    <w:p w:rsidR="00000000" w:rsidDel="00000000" w:rsidP="00000000" w:rsidRDefault="00000000" w:rsidRPr="00000000" w14:paraId="00000056">
      <w:pPr>
        <w:spacing w:line="360" w:lineRule="auto"/>
        <w:rPr>
          <w:sz w:val="24"/>
          <w:szCs w:val="24"/>
          <w:highlight w:val="white"/>
        </w:rPr>
      </w:pPr>
      <w:r w:rsidDel="00000000" w:rsidR="00000000" w:rsidRPr="00000000">
        <w:rPr>
          <w:rtl w:val="0"/>
        </w:rPr>
      </w:r>
    </w:p>
    <w:p w:rsidR="00000000" w:rsidDel="00000000" w:rsidP="00000000" w:rsidRDefault="00000000" w:rsidRPr="00000000" w14:paraId="00000057">
      <w:pPr>
        <w:spacing w:line="360" w:lineRule="auto"/>
        <w:rPr>
          <w:sz w:val="24"/>
          <w:szCs w:val="24"/>
          <w:highlight w:val="white"/>
        </w:rPr>
      </w:pPr>
      <w:r w:rsidDel="00000000" w:rsidR="00000000" w:rsidRPr="00000000">
        <w:rPr>
          <w:sz w:val="24"/>
          <w:szCs w:val="24"/>
          <w:highlight w:val="white"/>
          <w:rtl w:val="0"/>
        </w:rPr>
        <w:t xml:space="preserve">MARTINS, S. B.; BRAGA, M. Ângela F. O PANORAMA DA DELINQUÊNCIA JUVENIL NO BRASIL: QUEM SÃO OS JOVENS EM CONFLITO COM A LEI?. </w:t>
      </w:r>
      <w:r w:rsidDel="00000000" w:rsidR="00000000" w:rsidRPr="00000000">
        <w:rPr>
          <w:b w:val="1"/>
          <w:sz w:val="24"/>
          <w:szCs w:val="24"/>
          <w:highlight w:val="white"/>
          <w:rtl w:val="0"/>
        </w:rPr>
        <w:t xml:space="preserve">REVISTA FOCO</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[S. l.]</w:t>
      </w:r>
      <w:r w:rsidDel="00000000" w:rsidR="00000000" w:rsidRPr="00000000">
        <w:rPr>
          <w:sz w:val="24"/>
          <w:szCs w:val="24"/>
          <w:highlight w:val="white"/>
          <w:rtl w:val="0"/>
        </w:rPr>
        <w:t xml:space="preserve">, v. 17, n. 10, p. e6541, 2024. DOI: 10.54751/revistafoco.v17n10-094. Disponível em: https://ojs.focopublicacoes.com.br/foco/article/view/6541. Acesso em: 30 jun. 2025.</w:t>
      </w:r>
    </w:p>
    <w:p w:rsidR="00000000" w:rsidDel="00000000" w:rsidP="00000000" w:rsidRDefault="00000000" w:rsidRPr="00000000" w14:paraId="00000058">
      <w:pPr>
        <w:spacing w:line="360" w:lineRule="auto"/>
        <w:rPr>
          <w:color w:val="333333"/>
          <w:sz w:val="24"/>
          <w:szCs w:val="24"/>
          <w:highlight w:val="white"/>
        </w:rPr>
      </w:pPr>
      <w:r w:rsidDel="00000000" w:rsidR="00000000" w:rsidRPr="00000000">
        <w:rPr>
          <w:rtl w:val="0"/>
        </w:rPr>
      </w:r>
    </w:p>
    <w:p w:rsidR="00000000" w:rsidDel="00000000" w:rsidP="00000000" w:rsidRDefault="00000000" w:rsidRPr="00000000" w14:paraId="00000059">
      <w:pPr>
        <w:spacing w:line="360" w:lineRule="auto"/>
        <w:rPr>
          <w:sz w:val="24"/>
          <w:szCs w:val="24"/>
          <w:highlight w:val="white"/>
        </w:rPr>
      </w:pPr>
      <w:r w:rsidDel="00000000" w:rsidR="00000000" w:rsidRPr="00000000">
        <w:rPr>
          <w:sz w:val="24"/>
          <w:szCs w:val="24"/>
          <w:highlight w:val="white"/>
          <w:rtl w:val="0"/>
        </w:rPr>
        <w:t xml:space="preserve">NICODEMOS, Alessandra. Movimento Nacional de Meninos e Meninas de Rua: : aspectos históricos e conceituais na defesa dos Direitos da Criança e do Adolescente no Brasil. </w:t>
      </w:r>
      <w:r w:rsidDel="00000000" w:rsidR="00000000" w:rsidRPr="00000000">
        <w:rPr>
          <w:b w:val="1"/>
          <w:sz w:val="24"/>
          <w:szCs w:val="24"/>
          <w:highlight w:val="white"/>
          <w:rtl w:val="0"/>
        </w:rPr>
        <w:t xml:space="preserve">Revista Brasileira de História &amp; Ciências Sociais</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[S. l.]</w:t>
      </w:r>
      <w:r w:rsidDel="00000000" w:rsidR="00000000" w:rsidRPr="00000000">
        <w:rPr>
          <w:sz w:val="24"/>
          <w:szCs w:val="24"/>
          <w:highlight w:val="white"/>
          <w:rtl w:val="0"/>
        </w:rPr>
        <w:t xml:space="preserve">, v. 12, n. 24, p. 170–197, 2020. DOI: 10.14295/rbhcs.v12i24.11892. Disponível em: https://periodicos.furg.br/rbhcs/article/view/11892. Acesso em: 30 jun. 2025.</w:t>
      </w:r>
      <w:r w:rsidDel="00000000" w:rsidR="00000000" w:rsidRPr="00000000">
        <w:rPr>
          <w:rtl w:val="0"/>
        </w:rPr>
      </w:r>
    </w:p>
    <w:p w:rsidR="00000000" w:rsidDel="00000000" w:rsidP="00000000" w:rsidRDefault="00000000" w:rsidRPr="00000000" w14:paraId="0000005A">
      <w:pPr>
        <w:spacing w:line="360" w:lineRule="auto"/>
        <w:rPr>
          <w:sz w:val="24"/>
          <w:szCs w:val="24"/>
        </w:rPr>
      </w:pPr>
      <w:r w:rsidDel="00000000" w:rsidR="00000000" w:rsidRPr="00000000">
        <w:rPr>
          <w:rtl w:val="0"/>
        </w:rPr>
      </w:r>
    </w:p>
    <w:p w:rsidR="00000000" w:rsidDel="00000000" w:rsidP="00000000" w:rsidRDefault="00000000" w:rsidRPr="00000000" w14:paraId="0000005B">
      <w:pPr>
        <w:spacing w:after="0" w:line="360" w:lineRule="auto"/>
        <w:rPr>
          <w:sz w:val="24"/>
          <w:szCs w:val="24"/>
        </w:rPr>
      </w:pPr>
      <w:r w:rsidDel="00000000" w:rsidR="00000000" w:rsidRPr="00000000">
        <w:rPr>
          <w:sz w:val="24"/>
          <w:szCs w:val="24"/>
          <w:rtl w:val="0"/>
        </w:rPr>
        <w:t xml:space="preserve">ONOCKO-CAMPOS, R. Comportamento antissocial nos jovens como sequela da privação: contribuições da clínica winnicottiana para as políticas públicas. </w:t>
      </w:r>
      <w:r w:rsidDel="00000000" w:rsidR="00000000" w:rsidRPr="00000000">
        <w:rPr>
          <w:b w:val="1"/>
          <w:sz w:val="24"/>
          <w:szCs w:val="24"/>
          <w:rtl w:val="0"/>
        </w:rPr>
        <w:t xml:space="preserve">Interface - Comunicação, Saúde, Educação</w:t>
      </w:r>
      <w:r w:rsidDel="00000000" w:rsidR="00000000" w:rsidRPr="00000000">
        <w:rPr>
          <w:sz w:val="24"/>
          <w:szCs w:val="24"/>
          <w:rtl w:val="0"/>
        </w:rPr>
        <w:t xml:space="preserve">, v. 22, n. 67, p. 1091–1098, dez. 2018.</w:t>
      </w:r>
    </w:p>
    <w:p w:rsidR="00000000" w:rsidDel="00000000" w:rsidP="00000000" w:rsidRDefault="00000000" w:rsidRPr="00000000" w14:paraId="0000005C">
      <w:pPr>
        <w:spacing w:after="0" w:line="360" w:lineRule="auto"/>
        <w:rPr>
          <w:sz w:val="24"/>
          <w:szCs w:val="24"/>
        </w:rPr>
      </w:pPr>
      <w:r w:rsidDel="00000000" w:rsidR="00000000" w:rsidRPr="00000000">
        <w:rPr>
          <w:rtl w:val="0"/>
        </w:rPr>
      </w:r>
    </w:p>
    <w:p w:rsidR="00000000" w:rsidDel="00000000" w:rsidP="00000000" w:rsidRDefault="00000000" w:rsidRPr="00000000" w14:paraId="0000005D">
      <w:pPr>
        <w:spacing w:after="0" w:line="360" w:lineRule="auto"/>
        <w:rPr>
          <w:sz w:val="24"/>
          <w:szCs w:val="24"/>
        </w:rPr>
      </w:pPr>
      <w:r w:rsidDel="00000000" w:rsidR="00000000" w:rsidRPr="00000000">
        <w:rPr>
          <w:sz w:val="24"/>
          <w:szCs w:val="24"/>
          <w:rtl w:val="0"/>
        </w:rPr>
        <w:t xml:space="preserve">PIXOTE, a Lei do Mais Fraco. Direção de Hector Babenco. São Paulo: Embrafilme, 1981. DVD.</w:t>
      </w:r>
    </w:p>
    <w:p w:rsidR="00000000" w:rsidDel="00000000" w:rsidP="00000000" w:rsidRDefault="00000000" w:rsidRPr="00000000" w14:paraId="0000005E">
      <w:pPr>
        <w:spacing w:after="0" w:line="360" w:lineRule="auto"/>
        <w:rPr>
          <w:sz w:val="24"/>
          <w:szCs w:val="24"/>
        </w:rPr>
      </w:pPr>
      <w:r w:rsidDel="00000000" w:rsidR="00000000" w:rsidRPr="00000000">
        <w:rPr>
          <w:rtl w:val="0"/>
        </w:rPr>
      </w:r>
    </w:p>
    <w:p w:rsidR="00000000" w:rsidDel="00000000" w:rsidP="00000000" w:rsidRDefault="00000000" w:rsidRPr="00000000" w14:paraId="0000005F">
      <w:pPr>
        <w:spacing w:line="360" w:lineRule="auto"/>
        <w:rPr>
          <w:sz w:val="12"/>
          <w:szCs w:val="12"/>
        </w:rPr>
      </w:pPr>
      <w:r w:rsidDel="00000000" w:rsidR="00000000" w:rsidRPr="00000000">
        <w:rPr>
          <w:sz w:val="24"/>
          <w:szCs w:val="24"/>
          <w:rtl w:val="0"/>
        </w:rPr>
        <w:t xml:space="preserve">WINNICOTT, Donald. </w:t>
      </w:r>
      <w:r w:rsidDel="00000000" w:rsidR="00000000" w:rsidRPr="00000000">
        <w:rPr>
          <w:b w:val="1"/>
          <w:sz w:val="24"/>
          <w:szCs w:val="24"/>
          <w:rtl w:val="0"/>
        </w:rPr>
        <w:t xml:space="preserve">O Ambiente e os Processos de Maturação</w:t>
      </w:r>
      <w:r w:rsidDel="00000000" w:rsidR="00000000" w:rsidRPr="00000000">
        <w:rPr>
          <w:sz w:val="24"/>
          <w:szCs w:val="24"/>
          <w:rtl w:val="0"/>
        </w:rPr>
        <w:t xml:space="preserve">. Porto Alegre: Artmed, 1983.</w:t>
      </w:r>
      <w:r w:rsidDel="00000000" w:rsidR="00000000" w:rsidRPr="00000000">
        <w:rPr>
          <w:rtl w:val="0"/>
        </w:rPr>
      </w:r>
    </w:p>
    <w:p w:rsidR="00000000" w:rsidDel="00000000" w:rsidP="00000000" w:rsidRDefault="00000000" w:rsidRPr="00000000" w14:paraId="00000060">
      <w:pPr>
        <w:spacing w:after="0" w:line="360" w:lineRule="auto"/>
        <w:rPr>
          <w:sz w:val="24"/>
          <w:szCs w:val="24"/>
        </w:rPr>
      </w:pPr>
      <w:r w:rsidDel="00000000" w:rsidR="00000000" w:rsidRPr="00000000">
        <w:rPr>
          <w:rtl w:val="0"/>
        </w:rPr>
      </w:r>
    </w:p>
    <w:p w:rsidR="00000000" w:rsidDel="00000000" w:rsidP="00000000" w:rsidRDefault="00000000" w:rsidRPr="00000000" w14:paraId="00000061">
      <w:pPr>
        <w:spacing w:after="0" w:line="360" w:lineRule="auto"/>
        <w:rPr>
          <w:sz w:val="24"/>
          <w:szCs w:val="24"/>
        </w:rPr>
      </w:pPr>
      <w:r w:rsidDel="00000000" w:rsidR="00000000" w:rsidRPr="00000000">
        <w:rPr>
          <w:sz w:val="24"/>
          <w:szCs w:val="24"/>
          <w:rtl w:val="0"/>
        </w:rPr>
        <w:t xml:space="preserve">WINNICOTT, Donald. </w:t>
      </w:r>
      <w:r w:rsidDel="00000000" w:rsidR="00000000" w:rsidRPr="00000000">
        <w:rPr>
          <w:b w:val="1"/>
          <w:sz w:val="24"/>
          <w:szCs w:val="24"/>
          <w:rtl w:val="0"/>
        </w:rPr>
        <w:t xml:space="preserve">Privação e Delinqüência</w:t>
      </w:r>
      <w:r w:rsidDel="00000000" w:rsidR="00000000" w:rsidRPr="00000000">
        <w:rPr>
          <w:sz w:val="24"/>
          <w:szCs w:val="24"/>
          <w:rtl w:val="0"/>
        </w:rPr>
        <w:t xml:space="preserve">. São Paulo: Martins Fontes, 1987</w:t>
      </w:r>
    </w:p>
    <w:p w:rsidR="00000000" w:rsidDel="00000000" w:rsidP="00000000" w:rsidRDefault="00000000" w:rsidRPr="00000000" w14:paraId="00000062">
      <w:pPr>
        <w:spacing w:after="0" w:line="360" w:lineRule="auto"/>
        <w:rPr>
          <w:sz w:val="24"/>
          <w:szCs w:val="24"/>
        </w:rPr>
      </w:pPr>
      <w:r w:rsidDel="00000000" w:rsidR="00000000" w:rsidRPr="00000000">
        <w:rPr>
          <w:rtl w:val="0"/>
        </w:rPr>
      </w:r>
    </w:p>
    <w:p w:rsidR="00000000" w:rsidDel="00000000" w:rsidP="00000000" w:rsidRDefault="00000000" w:rsidRPr="00000000" w14:paraId="00000063">
      <w:pPr>
        <w:spacing w:line="360" w:lineRule="auto"/>
        <w:rPr>
          <w:sz w:val="24"/>
          <w:szCs w:val="24"/>
        </w:rPr>
      </w:pPr>
      <w:r w:rsidDel="00000000" w:rsidR="00000000" w:rsidRPr="00000000">
        <w:rPr>
          <w:sz w:val="24"/>
          <w:szCs w:val="24"/>
          <w:rtl w:val="0"/>
        </w:rPr>
        <w:t xml:space="preserve">WINNICOTT, Donald. </w:t>
      </w:r>
      <w:r w:rsidDel="00000000" w:rsidR="00000000" w:rsidRPr="00000000">
        <w:rPr>
          <w:b w:val="1"/>
          <w:color w:val="0f1111"/>
          <w:sz w:val="24"/>
          <w:szCs w:val="24"/>
          <w:rtl w:val="0"/>
        </w:rPr>
        <w:t xml:space="preserve">Família e desenvolvimento individual</w:t>
      </w:r>
      <w:r w:rsidDel="00000000" w:rsidR="00000000" w:rsidRPr="00000000">
        <w:rPr>
          <w:color w:val="0f1111"/>
          <w:sz w:val="24"/>
          <w:szCs w:val="24"/>
          <w:rtl w:val="0"/>
        </w:rPr>
        <w:t xml:space="preserve">. São Paulo: Ubu, 2023.</w:t>
      </w:r>
      <w:r w:rsidDel="00000000" w:rsidR="00000000" w:rsidRPr="00000000">
        <w:rPr>
          <w:rtl w:val="0"/>
        </w:rPr>
      </w:r>
    </w:p>
    <w:sectPr>
      <w:headerReference r:id="rId13"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de Psicologia da Universidade Federal de Alagoas, </w:t>
      </w:r>
      <w:hyperlink r:id="rId1">
        <w:r w:rsidDel="00000000" w:rsidR="00000000" w:rsidRPr="00000000">
          <w:rPr>
            <w:color w:val="1155cc"/>
            <w:sz w:val="20"/>
            <w:szCs w:val="20"/>
            <w:u w:val="single"/>
            <w:rtl w:val="0"/>
          </w:rPr>
          <w:t xml:space="preserve">clara.oliveira@ip.ufal.br</w:t>
        </w:r>
      </w:hyperlink>
      <w:r w:rsidDel="00000000" w:rsidR="00000000" w:rsidRPr="00000000">
        <w:rPr>
          <w:sz w:val="20"/>
          <w:szCs w:val="20"/>
          <w:rtl w:val="0"/>
        </w:rPr>
        <w:t xml:space="preserve"> </w:t>
      </w:r>
    </w:p>
  </w:footnote>
  <w:footnote w:id="1">
    <w:p w:rsidR="00000000" w:rsidDel="00000000" w:rsidP="00000000" w:rsidRDefault="00000000" w:rsidRPr="00000000" w14:paraId="000000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de Psicologia da Universidade Federal de Alagoas, </w:t>
      </w:r>
      <w:hyperlink r:id="rId2">
        <w:r w:rsidDel="00000000" w:rsidR="00000000" w:rsidRPr="00000000">
          <w:rPr>
            <w:color w:val="1155cc"/>
            <w:sz w:val="20"/>
            <w:szCs w:val="20"/>
            <w:u w:val="single"/>
            <w:rtl w:val="0"/>
          </w:rPr>
          <w:t xml:space="preserve">layla.freire@ip.ufal.br</w:t>
        </w:r>
      </w:hyperlink>
      <w:r w:rsidDel="00000000" w:rsidR="00000000" w:rsidRPr="00000000">
        <w:rPr>
          <w:sz w:val="20"/>
          <w:szCs w:val="20"/>
          <w:rtl w:val="0"/>
        </w:rPr>
        <w:t xml:space="preserve"> </w:t>
      </w:r>
    </w:p>
  </w:footnote>
  <w:footnote w:id="2">
    <w:p w:rsidR="00000000" w:rsidDel="00000000" w:rsidP="00000000" w:rsidRDefault="00000000" w:rsidRPr="00000000" w14:paraId="000000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Graduando de Psicologia da Universidade Federal de Alagoas, </w:t>
      </w:r>
      <w:hyperlink r:id="rId3">
        <w:r w:rsidDel="00000000" w:rsidR="00000000" w:rsidRPr="00000000">
          <w:rPr>
            <w:color w:val="1155cc"/>
            <w:sz w:val="20"/>
            <w:szCs w:val="20"/>
            <w:u w:val="single"/>
            <w:rtl w:val="0"/>
          </w:rPr>
          <w:t xml:space="preserve">mateus.moura@ip.ufal.br</w:t>
        </w:r>
      </w:hyperlink>
      <w:r w:rsidDel="00000000" w:rsidR="00000000" w:rsidRPr="00000000">
        <w:rPr>
          <w:sz w:val="20"/>
          <w:szCs w:val="20"/>
          <w:rtl w:val="0"/>
        </w:rPr>
        <w:t xml:space="preserve"> </w:t>
      </w:r>
    </w:p>
  </w:footnote>
  <w:footnote w:id="3">
    <w:p w:rsidR="00000000" w:rsidDel="00000000" w:rsidP="00000000" w:rsidRDefault="00000000" w:rsidRPr="00000000" w14:paraId="000000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Graduando de Jornalismo da Universidade Federal de Alagoas, </w:t>
      </w:r>
      <w:hyperlink r:id="rId4">
        <w:r w:rsidDel="00000000" w:rsidR="00000000" w:rsidRPr="00000000">
          <w:rPr>
            <w:color w:val="1155cc"/>
            <w:sz w:val="20"/>
            <w:szCs w:val="20"/>
            <w:u w:val="single"/>
            <w:rtl w:val="0"/>
          </w:rPr>
          <w:t xml:space="preserve">thierry.nascimento@ichca.ufal.br</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jusbrasil.com.br/artigos/analise-comparativa-entre-o-codigo-de-menores-de-1927-e-o-codigo-de-menores-de-1979-aspectos-politicos-sociais-e-juridicos/2352366660" TargetMode="External"/><Relationship Id="rId10" Type="http://schemas.openxmlformats.org/officeDocument/2006/relationships/hyperlink" Target="https://www.planalto.gov.br/ccivil_03/leis/1970-1979/L6037.htm#:~:text=LEI%20N%C2%BA%206.037%2C%20DE%202,Independ%C3%AAncia%20e%2086%C2%BA%20da%20Rep%C3%BAblica" TargetMode="External"/><Relationship Id="rId13" Type="http://schemas.openxmlformats.org/officeDocument/2006/relationships/header" Target="header1.xml"/><Relationship Id="rId12" Type="http://schemas.openxmlformats.org/officeDocument/2006/relationships/hyperlink" Target="https://periodicos.ufmg.br/index.php/temporalidades/article/view/547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lanalto.gov.br/ccivil_03/leis/l8069.ht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planalto.gov.br/ccivil_03/leis/l8069.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clara.olieira@ip.ufal.br" TargetMode="External"/><Relationship Id="rId2" Type="http://schemas.openxmlformats.org/officeDocument/2006/relationships/hyperlink" Target="mailto:layla.freire@ip.ufal.br" TargetMode="External"/><Relationship Id="rId3" Type="http://schemas.openxmlformats.org/officeDocument/2006/relationships/hyperlink" Target="mailto:mateus.moura@ip.ufal.br" TargetMode="External"/><Relationship Id="rId4" Type="http://schemas.openxmlformats.org/officeDocument/2006/relationships/hyperlink" Target="mailto:thierry.nascimento@ichca.ufal.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nUQjoCVBL8IazSpJrGxa1SyDQ==">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