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7FB" w:rsidRDefault="009257FB" w:rsidP="009257FB">
      <w:pPr>
        <w:pStyle w:val="normal0"/>
        <w:jc w:val="center"/>
        <w:rPr>
          <w:sz w:val="24"/>
          <w:szCs w:val="24"/>
        </w:rPr>
      </w:pPr>
      <w:r>
        <w:rPr>
          <w:b/>
          <w:sz w:val="24"/>
          <w:szCs w:val="24"/>
        </w:rPr>
        <w:t xml:space="preserve">A POLÍTICA NACIONAL DE ATENÇÃO PSICOSSOCIAL NAS COMUNIDADES ESCOLARES: </w:t>
      </w:r>
      <w:r>
        <w:rPr>
          <w:sz w:val="24"/>
          <w:szCs w:val="24"/>
        </w:rPr>
        <w:t>importância e desafios à sua implementação</w:t>
      </w:r>
    </w:p>
    <w:p w:rsidR="00DB5308" w:rsidRDefault="00DB5308" w:rsidP="009257FB">
      <w:pPr>
        <w:pStyle w:val="normal0"/>
        <w:jc w:val="center"/>
        <w:rPr>
          <w:sz w:val="24"/>
          <w:szCs w:val="24"/>
        </w:rPr>
      </w:pPr>
    </w:p>
    <w:p w:rsidR="00DB5308" w:rsidRPr="00123921" w:rsidRDefault="00DB5308" w:rsidP="00DB5308">
      <w:pPr>
        <w:pStyle w:val="normal0"/>
        <w:jc w:val="right"/>
        <w:rPr>
          <w:sz w:val="24"/>
          <w:szCs w:val="24"/>
        </w:rPr>
      </w:pPr>
      <w:r w:rsidRPr="00123921">
        <w:rPr>
          <w:sz w:val="24"/>
          <w:szCs w:val="24"/>
        </w:rPr>
        <w:t>Tatiany Fernandes Oliveira</w:t>
      </w:r>
      <w:r w:rsidRPr="00123921">
        <w:rPr>
          <w:rStyle w:val="Refdenotaderodap"/>
          <w:sz w:val="24"/>
          <w:szCs w:val="24"/>
        </w:rPr>
        <w:footnoteReference w:id="2"/>
      </w:r>
    </w:p>
    <w:p w:rsidR="009257FB" w:rsidRPr="008A0EBF" w:rsidRDefault="00DB5308" w:rsidP="008A0EBF">
      <w:pPr>
        <w:pStyle w:val="normal0"/>
        <w:jc w:val="right"/>
        <w:rPr>
          <w:sz w:val="24"/>
          <w:szCs w:val="24"/>
        </w:rPr>
      </w:pPr>
      <w:r w:rsidRPr="00123921">
        <w:rPr>
          <w:sz w:val="24"/>
          <w:szCs w:val="24"/>
        </w:rPr>
        <w:t>Gutierrez Alves Lôbo</w:t>
      </w:r>
      <w:r w:rsidR="008A0EBF" w:rsidRPr="00123921">
        <w:rPr>
          <w:rStyle w:val="Refdenotaderodap"/>
          <w:sz w:val="24"/>
          <w:szCs w:val="24"/>
        </w:rPr>
        <w:footnoteReference w:id="3"/>
      </w:r>
    </w:p>
    <w:p w:rsidR="009257FB" w:rsidRDefault="009257FB" w:rsidP="009257FB">
      <w:pPr>
        <w:pStyle w:val="normal0"/>
        <w:spacing w:line="240" w:lineRule="auto"/>
        <w:ind w:left="2835"/>
        <w:jc w:val="both"/>
        <w:rPr>
          <w:sz w:val="20"/>
          <w:szCs w:val="20"/>
        </w:rPr>
      </w:pPr>
    </w:p>
    <w:p w:rsidR="009257FB" w:rsidRDefault="009257FB" w:rsidP="009257FB">
      <w:pPr>
        <w:pStyle w:val="normal0"/>
        <w:spacing w:line="240" w:lineRule="auto"/>
        <w:ind w:left="2835"/>
        <w:jc w:val="both"/>
        <w:rPr>
          <w:sz w:val="20"/>
          <w:szCs w:val="20"/>
        </w:rPr>
      </w:pPr>
      <w:r>
        <w:rPr>
          <w:b/>
          <w:sz w:val="20"/>
          <w:szCs w:val="20"/>
        </w:rPr>
        <w:t>Resumo</w:t>
      </w:r>
    </w:p>
    <w:p w:rsidR="009257FB" w:rsidRDefault="009257FB" w:rsidP="009257FB">
      <w:pPr>
        <w:pStyle w:val="normal0"/>
        <w:spacing w:line="240" w:lineRule="auto"/>
        <w:ind w:left="2835"/>
        <w:jc w:val="both"/>
        <w:rPr>
          <w:sz w:val="20"/>
          <w:szCs w:val="20"/>
        </w:rPr>
      </w:pPr>
      <w:r>
        <w:rPr>
          <w:sz w:val="20"/>
          <w:szCs w:val="20"/>
        </w:rPr>
        <w:t>Este artigo objetiva analisar a importância e os desafios da implementação da Política Nacional de Atenção Psicossocial nas comunidades escolares. A lei foi instituída em janeiro de 2024, mas ainda não possui uma regulamentação, e não há evidências de sua materialização efetiva, seja no contexto público ou privado do sistema educacional no Brasil. Algumas ações ou projetos têm sido fomentados de forma pulverizada, de acordo com a gestão pública em cada município. Percebe-se uma fragmentação de ações, falta de sistematização e descontinuidade quanto a esta questão. A lei busca organizar e orientar, enquanto direito, a atenção psicossocial nas escolas, de forma intersetorial. Preconiza intervenções que abranjam todos os sujeitos envolvidos na comunidade escolar, conectando diferentes políticas sociais. Sua implementação faz-se urgente frente aos fatores de adoecimento psíquico, com desenvolvimento de transtornos mentais ou de comportamento cada vez mais presentes na sociabilidade capitalista, e assim dentro das comunidades escolares.</w:t>
      </w:r>
    </w:p>
    <w:p w:rsidR="009257FB" w:rsidRDefault="009257FB" w:rsidP="009257FB">
      <w:pPr>
        <w:pStyle w:val="normal0"/>
        <w:spacing w:line="240" w:lineRule="auto"/>
        <w:ind w:left="2835"/>
        <w:jc w:val="both"/>
        <w:rPr>
          <w:sz w:val="20"/>
          <w:szCs w:val="20"/>
        </w:rPr>
      </w:pPr>
      <w:r>
        <w:rPr>
          <w:b/>
          <w:sz w:val="20"/>
          <w:szCs w:val="20"/>
        </w:rPr>
        <w:t>Palavras-chave</w:t>
      </w:r>
      <w:r>
        <w:rPr>
          <w:sz w:val="20"/>
          <w:szCs w:val="20"/>
        </w:rPr>
        <w:t>: Atenção Psicossocial; Intersetorialidade; Comunidades escolares.</w:t>
      </w:r>
    </w:p>
    <w:p w:rsidR="009257FB" w:rsidRDefault="009257FB" w:rsidP="009257FB">
      <w:pPr>
        <w:pStyle w:val="normal0"/>
        <w:spacing w:line="240" w:lineRule="auto"/>
        <w:ind w:left="2835"/>
        <w:jc w:val="both"/>
        <w:rPr>
          <w:sz w:val="20"/>
          <w:szCs w:val="20"/>
        </w:rPr>
      </w:pPr>
    </w:p>
    <w:p w:rsidR="009257FB" w:rsidRDefault="009257FB" w:rsidP="009257FB">
      <w:pPr>
        <w:pStyle w:val="normal0"/>
        <w:spacing w:line="240" w:lineRule="auto"/>
        <w:ind w:left="2835"/>
        <w:jc w:val="both"/>
        <w:rPr>
          <w:sz w:val="20"/>
          <w:szCs w:val="20"/>
        </w:rPr>
      </w:pPr>
      <w:r>
        <w:rPr>
          <w:b/>
          <w:sz w:val="20"/>
          <w:szCs w:val="20"/>
        </w:rPr>
        <w:t>Abstract</w:t>
      </w:r>
    </w:p>
    <w:p w:rsidR="009257FB" w:rsidRDefault="009257FB" w:rsidP="009257FB">
      <w:pPr>
        <w:pStyle w:val="normal0"/>
        <w:spacing w:line="240" w:lineRule="auto"/>
        <w:ind w:left="2834"/>
        <w:jc w:val="both"/>
        <w:rPr>
          <w:color w:val="1F1F1F"/>
          <w:sz w:val="20"/>
          <w:szCs w:val="20"/>
        </w:rPr>
      </w:pPr>
      <w:r>
        <w:rPr>
          <w:color w:val="1F1F1F"/>
          <w:sz w:val="20"/>
          <w:szCs w:val="20"/>
        </w:rPr>
        <w:t xml:space="preserve">This article aims to analyze the importance and challenges of implementing the National Policy for Psychosocial Care in school communities. The law was instituted in January 2024, but it does not yet have regulations, and there is no evidence of its effective implementation, either in the public or private context of the educational system in Brazil. Some actions or projects have been promoted in a fragmented manner, according to the public management in each municipality. There is a fragmentation of actions, a lack of systematization, and discontinuity regarding this issue. The law seeks to organize and guide, as a right, psychosocial care in schools, in an intersectoral manner. It advocates interventions that cover all subjects involved in the school community, connecting different social policies. Its implementation is urgent given the factors of mental illness, with the development of mental or behavioral </w:t>
      </w:r>
      <w:r>
        <w:rPr>
          <w:color w:val="1F1F1F"/>
          <w:sz w:val="20"/>
          <w:szCs w:val="20"/>
        </w:rPr>
        <w:lastRenderedPageBreak/>
        <w:t>disorders increasingly present in capitalist sociability, and thus within school communities.</w:t>
      </w:r>
    </w:p>
    <w:p w:rsidR="009257FB" w:rsidRDefault="009257FB" w:rsidP="009257FB">
      <w:pPr>
        <w:pStyle w:val="normal0"/>
        <w:spacing w:line="240" w:lineRule="auto"/>
        <w:ind w:left="2834"/>
        <w:jc w:val="both"/>
        <w:rPr>
          <w:sz w:val="20"/>
          <w:szCs w:val="20"/>
        </w:rPr>
      </w:pPr>
      <w:r>
        <w:rPr>
          <w:b/>
          <w:color w:val="1F1F1F"/>
          <w:sz w:val="20"/>
          <w:szCs w:val="20"/>
        </w:rPr>
        <w:t>Keywords:</w:t>
      </w:r>
      <w:r>
        <w:rPr>
          <w:color w:val="1F1F1F"/>
          <w:sz w:val="20"/>
          <w:szCs w:val="20"/>
        </w:rPr>
        <w:t xml:space="preserve"> Psychosocial Care; Intersectorality; School communities.</w:t>
      </w:r>
    </w:p>
    <w:p w:rsidR="009257FB" w:rsidRDefault="009257FB" w:rsidP="009257FB">
      <w:pPr>
        <w:pStyle w:val="normal0"/>
        <w:spacing w:line="360" w:lineRule="auto"/>
        <w:jc w:val="both"/>
        <w:rPr>
          <w:sz w:val="24"/>
          <w:szCs w:val="24"/>
        </w:rPr>
      </w:pPr>
    </w:p>
    <w:p w:rsidR="009257FB" w:rsidRDefault="009257FB" w:rsidP="009257FB">
      <w:pPr>
        <w:pStyle w:val="normal0"/>
        <w:spacing w:line="360" w:lineRule="auto"/>
        <w:jc w:val="both"/>
        <w:rPr>
          <w:sz w:val="24"/>
          <w:szCs w:val="24"/>
        </w:rPr>
      </w:pPr>
    </w:p>
    <w:p w:rsidR="009257FB" w:rsidRDefault="009257FB" w:rsidP="009257FB">
      <w:pPr>
        <w:pStyle w:val="normal0"/>
        <w:spacing w:line="360" w:lineRule="auto"/>
        <w:rPr>
          <w:b/>
          <w:sz w:val="24"/>
          <w:szCs w:val="24"/>
        </w:rPr>
      </w:pPr>
      <w:r>
        <w:rPr>
          <w:b/>
          <w:sz w:val="24"/>
          <w:szCs w:val="24"/>
        </w:rPr>
        <w:t>1</w:t>
      </w:r>
      <w:r>
        <w:rPr>
          <w:b/>
          <w:sz w:val="24"/>
          <w:szCs w:val="24"/>
        </w:rPr>
        <w:tab/>
        <w:t>INTRODUÇÃO</w:t>
      </w:r>
    </w:p>
    <w:p w:rsidR="009257FB" w:rsidRDefault="009257FB" w:rsidP="009257FB">
      <w:pPr>
        <w:pStyle w:val="normal0"/>
        <w:spacing w:line="360" w:lineRule="auto"/>
        <w:rPr>
          <w:b/>
          <w:sz w:val="24"/>
          <w:szCs w:val="24"/>
        </w:rPr>
      </w:pPr>
    </w:p>
    <w:p w:rsidR="009257FB" w:rsidRDefault="009257FB" w:rsidP="009257FB">
      <w:pPr>
        <w:pStyle w:val="normal0"/>
        <w:spacing w:line="360" w:lineRule="auto"/>
        <w:jc w:val="both"/>
        <w:rPr>
          <w:sz w:val="24"/>
          <w:szCs w:val="24"/>
        </w:rPr>
      </w:pPr>
      <w:r>
        <w:rPr>
          <w:b/>
          <w:sz w:val="24"/>
          <w:szCs w:val="24"/>
        </w:rPr>
        <w:tab/>
      </w:r>
      <w:r>
        <w:rPr>
          <w:sz w:val="24"/>
          <w:szCs w:val="24"/>
        </w:rPr>
        <w:t>As demandas que dizem respeito à atenção psicossocial nas comunidades escolares cresceram exponencialmente depois da pandemia de COVID-19. É perceptível o aumento de atendimentos ligados à saúde mental de sujeitos envolvidos diretamente no cotidiano escolar, sejam discentes, docentes, gestores, técnicos, enfim, toda a comunidade escolar.</w:t>
      </w:r>
    </w:p>
    <w:p w:rsidR="009257FB" w:rsidRDefault="009257FB" w:rsidP="009257FB">
      <w:pPr>
        <w:pStyle w:val="normal0"/>
        <w:spacing w:line="360" w:lineRule="auto"/>
        <w:jc w:val="both"/>
        <w:rPr>
          <w:sz w:val="24"/>
          <w:szCs w:val="24"/>
        </w:rPr>
      </w:pPr>
      <w:r>
        <w:rPr>
          <w:sz w:val="24"/>
          <w:szCs w:val="24"/>
        </w:rPr>
        <w:tab/>
        <w:t>Em meio ao processo da pandemia de COVID 19, já se previa a necessidade urgente do cuidado quanto à saúde mental. Os estudos da Organização Mundial de Saúde (OMS) já apontavam para a emergência quanto a esse cuidado, e a pandemia, para além de questões sanitárias e epidemiológicas, trouxe à tona muitas expressões da questão social, intensificando a problemática da saúde mental.</w:t>
      </w:r>
    </w:p>
    <w:p w:rsidR="009257FB" w:rsidRDefault="009257FB" w:rsidP="009257FB">
      <w:pPr>
        <w:pStyle w:val="normal0"/>
        <w:spacing w:line="360" w:lineRule="auto"/>
        <w:jc w:val="both"/>
        <w:rPr>
          <w:sz w:val="24"/>
          <w:szCs w:val="24"/>
        </w:rPr>
      </w:pPr>
      <w:r>
        <w:rPr>
          <w:sz w:val="24"/>
          <w:szCs w:val="24"/>
        </w:rPr>
        <w:tab/>
        <w:t>De acordo com a OMS, apenas no primeiro ano, os casos de depressão e ansiedade cresceram em 25%. Logo, considerar a saúde mental como uma das questões necessárias ao enfrentamento diante da pandemia de COVID-19, fez-se ainda mais urgente. Se já era uma necessidade urgente olhar com mais afinco e compromisso para as políticas voltadas à saúde mental, muito mais tem sido exigido no pós-pandemia, pois a intensificação dessa problemática constitui-se um dos créditos da COVID-19.</w:t>
      </w:r>
    </w:p>
    <w:p w:rsidR="009257FB" w:rsidRDefault="009257FB" w:rsidP="009257FB">
      <w:pPr>
        <w:pStyle w:val="normal0"/>
        <w:spacing w:line="360" w:lineRule="auto"/>
        <w:jc w:val="both"/>
        <w:rPr>
          <w:sz w:val="24"/>
          <w:szCs w:val="24"/>
        </w:rPr>
      </w:pPr>
      <w:r>
        <w:rPr>
          <w:sz w:val="24"/>
          <w:szCs w:val="24"/>
        </w:rPr>
        <w:tab/>
        <w:t xml:space="preserve">Diante disso, a Lei nº 14.819 de 16 de janeiro de 2024, que institui a Política de Atenção Psicossocial nas Comunidades Escolares, pode ser um importante instrumento legal para integrar as políticas sociais de saúde, assistência social e educação em torno do enfrentamento às questões de saúde mental nas escolas. A Lei preconiza ações de caráter intersetorial que podem mitigar os efeitos do </w:t>
      </w:r>
      <w:r>
        <w:rPr>
          <w:sz w:val="24"/>
          <w:szCs w:val="24"/>
        </w:rPr>
        <w:lastRenderedPageBreak/>
        <w:t>adoecimento psíquico no âmbito escolar entre seus diferentes sujeitos. São ações de promoção e prevenção em torno da atenção psicossocial.</w:t>
      </w:r>
    </w:p>
    <w:p w:rsidR="009257FB" w:rsidRDefault="009257FB" w:rsidP="009257FB">
      <w:pPr>
        <w:pStyle w:val="normal0"/>
        <w:spacing w:line="360" w:lineRule="auto"/>
        <w:jc w:val="both"/>
        <w:rPr>
          <w:sz w:val="24"/>
          <w:szCs w:val="24"/>
        </w:rPr>
      </w:pPr>
      <w:r>
        <w:rPr>
          <w:sz w:val="24"/>
          <w:szCs w:val="24"/>
        </w:rPr>
        <w:tab/>
        <w:t>A Lei promulgada em janeiro, no entanto, ainda não passou por nenhum tipo de regulamentação, e observa-se que os governos de estados e municípios, muitos, não se apropriaram nem mesmo de sua existência.</w:t>
      </w:r>
    </w:p>
    <w:p w:rsidR="009257FB" w:rsidRDefault="009257FB" w:rsidP="009257FB">
      <w:pPr>
        <w:pStyle w:val="normal0"/>
        <w:spacing w:line="360" w:lineRule="auto"/>
        <w:jc w:val="both"/>
        <w:rPr>
          <w:sz w:val="24"/>
          <w:szCs w:val="24"/>
        </w:rPr>
      </w:pPr>
      <w:r>
        <w:rPr>
          <w:sz w:val="24"/>
          <w:szCs w:val="24"/>
        </w:rPr>
        <w:tab/>
        <w:t>A atenção psicossocial nas comunidades escolares, que ganha status de política, tem pela frente o desafio da intersetorialidade. Preconiza-se que o Programa Saúde na Escola (PSE) funcione como uma espécie de condutor das ações planejadas.</w:t>
      </w:r>
    </w:p>
    <w:p w:rsidR="009257FB" w:rsidRDefault="009257FB" w:rsidP="009257FB">
      <w:pPr>
        <w:pStyle w:val="normal0"/>
        <w:spacing w:line="360" w:lineRule="auto"/>
        <w:jc w:val="both"/>
        <w:rPr>
          <w:sz w:val="24"/>
          <w:szCs w:val="24"/>
        </w:rPr>
      </w:pPr>
      <w:r>
        <w:rPr>
          <w:sz w:val="24"/>
          <w:szCs w:val="24"/>
        </w:rPr>
        <w:tab/>
        <w:t>O Programa Saúde na Escola, que estabelece estratégias de atuação entre educação e saúde, dado o seu caráter intersetorial, aparece na governança dos grupos de trabalho intersetoriais propostos na nova política. Além das políticas de educação e saúde, ganha destaque na lei, a política de assistência social, formando uma tríade de políticas articuladas em torno da atenção psicossocial nas comunidades escolares.</w:t>
      </w:r>
    </w:p>
    <w:p w:rsidR="009257FB" w:rsidRDefault="009257FB" w:rsidP="009257FB">
      <w:pPr>
        <w:pStyle w:val="normal0"/>
        <w:spacing w:line="360" w:lineRule="auto"/>
        <w:jc w:val="both"/>
        <w:rPr>
          <w:sz w:val="24"/>
          <w:szCs w:val="24"/>
        </w:rPr>
      </w:pPr>
      <w:bookmarkStart w:id="0" w:name="_9avyl5hiwsfs" w:colFirst="0" w:colLast="0"/>
      <w:bookmarkEnd w:id="0"/>
      <w:r>
        <w:rPr>
          <w:sz w:val="24"/>
          <w:szCs w:val="24"/>
        </w:rPr>
        <w:tab/>
        <w:t xml:space="preserve">A luta antimanicomial requer ações de promoção e prevenção ao adoecimento mental e suas formas de enfrentamento. Isso perpassa por todos os âmbitos da sociabilidade capitalista, a qual, dada a sua estrutura, é extremamente cruel e adoecedora. Entende-se que a Lei nº 14.819 quando, de fato, implementada pode tornar-se um importante mecanismo de combate aos agravos em saúde mental no ambiente escolar. </w:t>
      </w:r>
    </w:p>
    <w:p w:rsidR="009257FB" w:rsidRDefault="009257FB" w:rsidP="009257FB">
      <w:pPr>
        <w:pStyle w:val="normal0"/>
        <w:spacing w:line="360" w:lineRule="auto"/>
        <w:ind w:firstLine="720"/>
        <w:jc w:val="both"/>
        <w:rPr>
          <w:sz w:val="24"/>
          <w:szCs w:val="24"/>
        </w:rPr>
      </w:pPr>
      <w:bookmarkStart w:id="1" w:name="_shx8y7sgncc7" w:colFirst="0" w:colLast="0"/>
      <w:bookmarkEnd w:id="1"/>
      <w:r>
        <w:rPr>
          <w:sz w:val="24"/>
          <w:szCs w:val="24"/>
        </w:rPr>
        <w:t xml:space="preserve">A questão que se coloca, no momento, é como a lei da Política de Atenção Psicossocial nas Comunidades Escolares tem sido pautada nos municípios brasileiros, uma vez que entende-se como urgente sua implementação. Quais os principais desafios enfrentados? Analisar a importância de sua implementação e os desafios que se colocam, a partir das próprias demandas em atenção psicossocial nas comunidades escolares é um dos objetivos nessa discussão. Tal análise parte da do método histórico-dialético, o qual apreende o objeto em sua totalidade, perpassada por contradições inerentes à sociabilidade capitalista. </w:t>
      </w:r>
    </w:p>
    <w:p w:rsidR="009257FB" w:rsidRDefault="009257FB" w:rsidP="009257FB">
      <w:pPr>
        <w:pStyle w:val="normal0"/>
        <w:spacing w:line="360" w:lineRule="auto"/>
        <w:jc w:val="both"/>
        <w:rPr>
          <w:sz w:val="24"/>
          <w:szCs w:val="24"/>
        </w:rPr>
      </w:pPr>
    </w:p>
    <w:p w:rsidR="009257FB" w:rsidRDefault="009257FB" w:rsidP="009257FB">
      <w:pPr>
        <w:pStyle w:val="normal0"/>
        <w:spacing w:line="360" w:lineRule="auto"/>
        <w:jc w:val="both"/>
        <w:rPr>
          <w:sz w:val="24"/>
          <w:szCs w:val="24"/>
        </w:rPr>
      </w:pPr>
      <w:r>
        <w:rPr>
          <w:b/>
          <w:sz w:val="24"/>
          <w:szCs w:val="24"/>
        </w:rPr>
        <w:t>2</w:t>
      </w:r>
      <w:r>
        <w:rPr>
          <w:b/>
          <w:sz w:val="24"/>
          <w:szCs w:val="24"/>
        </w:rPr>
        <w:tab/>
        <w:t>A LUTA ANTIMANICOMIAL NO BRASIL: BREVE INCURSÃO HISTÓRICA</w:t>
      </w:r>
    </w:p>
    <w:p w:rsidR="009257FB" w:rsidRDefault="009257FB" w:rsidP="009257FB">
      <w:pPr>
        <w:pStyle w:val="normal0"/>
        <w:spacing w:line="360" w:lineRule="auto"/>
        <w:jc w:val="both"/>
        <w:rPr>
          <w:sz w:val="24"/>
          <w:szCs w:val="24"/>
        </w:rPr>
      </w:pPr>
    </w:p>
    <w:p w:rsidR="009257FB" w:rsidRDefault="009257FB" w:rsidP="009257FB">
      <w:pPr>
        <w:pStyle w:val="normal0"/>
        <w:spacing w:line="360" w:lineRule="auto"/>
        <w:jc w:val="both"/>
        <w:rPr>
          <w:sz w:val="24"/>
          <w:szCs w:val="24"/>
        </w:rPr>
      </w:pPr>
      <w:r>
        <w:rPr>
          <w:sz w:val="24"/>
          <w:szCs w:val="24"/>
        </w:rPr>
        <w:tab/>
        <w:t>O movimento pela reforma psiquiátrica, iniciada no Brasil ainda nos anos de 1970, pautou no cenário nacional a luta por um cuidado em saúde mental mais humanizado, de combate a estigmas e preconceitos e de prevenção ao adoecimento mental. A luta antimanicomial tem denunciado ao longo dos anos a violação de direitos em relação aos usuários de saúde mental, bem como as violências cometidas em instituições psiquiátricas e a negligência por parte do poder público.</w:t>
      </w:r>
    </w:p>
    <w:p w:rsidR="009257FB" w:rsidRDefault="009257FB" w:rsidP="009257FB">
      <w:pPr>
        <w:pStyle w:val="normal0"/>
        <w:spacing w:line="432" w:lineRule="auto"/>
        <w:jc w:val="both"/>
        <w:rPr>
          <w:sz w:val="24"/>
          <w:szCs w:val="24"/>
        </w:rPr>
      </w:pPr>
      <w:r>
        <w:rPr>
          <w:sz w:val="24"/>
          <w:szCs w:val="24"/>
        </w:rPr>
        <w:tab/>
        <w:t>A saúde mental seguia o modelo hospitalocêntrico pensado para a política de saúde no Brasil, um modelo em que o manicômio era tido como a única forma possível para o tratamento das questões psíquicas. Nesse sentido, Lancetti e Amarante afirmam que,</w:t>
      </w:r>
    </w:p>
    <w:p w:rsidR="009257FB" w:rsidRDefault="009257FB" w:rsidP="009257FB">
      <w:pPr>
        <w:pStyle w:val="normal0"/>
        <w:spacing w:line="360" w:lineRule="auto"/>
        <w:jc w:val="both"/>
        <w:rPr>
          <w:sz w:val="24"/>
          <w:szCs w:val="24"/>
        </w:rPr>
      </w:pPr>
    </w:p>
    <w:p w:rsidR="009257FB" w:rsidRDefault="009257FB" w:rsidP="009257FB">
      <w:pPr>
        <w:pStyle w:val="normal0"/>
        <w:spacing w:line="240" w:lineRule="auto"/>
        <w:ind w:left="2262"/>
        <w:jc w:val="both"/>
        <w:rPr>
          <w:sz w:val="20"/>
          <w:szCs w:val="20"/>
        </w:rPr>
      </w:pPr>
      <w:r>
        <w:rPr>
          <w:sz w:val="20"/>
          <w:szCs w:val="20"/>
        </w:rPr>
        <w:t>Durante os anos de 1960 e mais incisivamente nos anos de 1970 e 1980, os hospitais financiados pelo INPS (Instituto Nacional da Previdência Social) tornaram-se negócio rentável a partir de seu alto grau de iatrogenia, pois podiam ter centenas e até milhares de pacientes internados com pouquíssimos funcionários, péssimas condições sanitárias e anulação de direitos de cidadania de seus internos (2012, p. 625).</w:t>
      </w:r>
    </w:p>
    <w:p w:rsidR="009257FB" w:rsidRDefault="009257FB" w:rsidP="009257FB">
      <w:pPr>
        <w:pStyle w:val="normal0"/>
        <w:spacing w:line="240" w:lineRule="auto"/>
        <w:ind w:left="2262"/>
        <w:jc w:val="both"/>
        <w:rPr>
          <w:sz w:val="20"/>
          <w:szCs w:val="20"/>
        </w:rPr>
      </w:pPr>
    </w:p>
    <w:p w:rsidR="009257FB" w:rsidRDefault="009257FB" w:rsidP="009257FB">
      <w:pPr>
        <w:pStyle w:val="normal0"/>
        <w:spacing w:line="360" w:lineRule="auto"/>
        <w:jc w:val="both"/>
        <w:rPr>
          <w:sz w:val="24"/>
          <w:szCs w:val="24"/>
        </w:rPr>
      </w:pPr>
      <w:r>
        <w:rPr>
          <w:sz w:val="24"/>
          <w:szCs w:val="24"/>
        </w:rPr>
        <w:tab/>
        <w:t>Vê-se, claramente, a lógica do grande capital em torno do enfrentamento às questões de saúde, privilegiando um modelo que gera lucro aos donos do capital, e com anuência e financiamento do Estado.</w:t>
      </w:r>
    </w:p>
    <w:p w:rsidR="009257FB" w:rsidRDefault="009257FB" w:rsidP="009257FB">
      <w:pPr>
        <w:pStyle w:val="normal0"/>
        <w:spacing w:line="360" w:lineRule="auto"/>
        <w:jc w:val="both"/>
        <w:rPr>
          <w:sz w:val="24"/>
          <w:szCs w:val="24"/>
        </w:rPr>
      </w:pPr>
      <w:r>
        <w:rPr>
          <w:sz w:val="24"/>
          <w:szCs w:val="24"/>
        </w:rPr>
        <w:tab/>
        <w:t xml:space="preserve">Ao longo dos anos, o país começou a vivenciar experiências exitosas, que questionavam o modelo de tratamento manicomial. Lancetti e Amarante (2009) destacam a experiência da cidade de Santos - SP, quando em 1989, a Casa de Saúde Anchieta (de caráter privado) foi interditada, diante das denúncias de maus-tratos e mortes naquela instituição que, na época, contava com cerca de quinhentos pacientes internos. A Secretaria de Saúde daquele município encampou o reordenamento do atendimento em saúde mental, e em pouco tempo, Santos fundou </w:t>
      </w:r>
      <w:r>
        <w:rPr>
          <w:sz w:val="24"/>
          <w:szCs w:val="24"/>
        </w:rPr>
        <w:lastRenderedPageBreak/>
        <w:t>os NAPS (Núcleo de Atenção Psicossocial), como substitutivos ao manicômio fechado, além de outras ações na política de saúde mental daquele município (Lancetti; Amarante, 2012).</w:t>
      </w:r>
    </w:p>
    <w:p w:rsidR="009257FB" w:rsidRDefault="009257FB" w:rsidP="009257FB">
      <w:pPr>
        <w:pStyle w:val="normal0"/>
        <w:spacing w:line="360" w:lineRule="auto"/>
        <w:jc w:val="both"/>
        <w:rPr>
          <w:sz w:val="24"/>
          <w:szCs w:val="24"/>
        </w:rPr>
      </w:pPr>
      <w:r>
        <w:rPr>
          <w:sz w:val="24"/>
          <w:szCs w:val="24"/>
        </w:rPr>
        <w:tab/>
        <w:t>Experiências como a de Santos - SP, endossadas e pautadas pelo Movimento de Reforma Psiquiátrica, abriram espaço para reflexões e discussões acerca do fazer saúde mental no país, e experiências exitosas foram se multiplicando.</w:t>
      </w:r>
    </w:p>
    <w:p w:rsidR="009257FB" w:rsidRDefault="009257FB" w:rsidP="009257FB">
      <w:pPr>
        <w:pStyle w:val="normal0"/>
        <w:spacing w:line="360" w:lineRule="auto"/>
        <w:jc w:val="both"/>
        <w:rPr>
          <w:sz w:val="24"/>
          <w:szCs w:val="24"/>
        </w:rPr>
      </w:pPr>
      <w:r>
        <w:rPr>
          <w:sz w:val="24"/>
          <w:szCs w:val="24"/>
        </w:rPr>
        <w:tab/>
        <w:t>Diante dos avanços na discussão e pressão de grupos ligados à luta antimanicomial, foi construída e promulgada a Lei nº 10.216 de 06 de abril de 2001. Esta lei dispõe sobre a proteção e os direitos das pessoas portadoras de transtornos mentais e redireciona o modelo assistencial em saúde mental. Ressalte-se que a Lei da Reforma Psiquiátrica, como é assim conhecida, é fruto de uma história de lutas e disputas, pois confronta exatamente o conservadorismo e a rentabilidade arraigados há décadas em torno da saúde mental no Brasil. A reforma psiquiátrica contraria interesses econômicos, da indústria farmacêutica e do hospitalocentrismo que gerou grandes lucros (Nunes, et al., 2019).</w:t>
      </w:r>
    </w:p>
    <w:p w:rsidR="009257FB" w:rsidRDefault="009257FB" w:rsidP="009257FB">
      <w:pPr>
        <w:pStyle w:val="normal0"/>
        <w:spacing w:line="360" w:lineRule="auto"/>
        <w:jc w:val="both"/>
        <w:rPr>
          <w:sz w:val="24"/>
          <w:szCs w:val="24"/>
        </w:rPr>
      </w:pPr>
      <w:r>
        <w:rPr>
          <w:sz w:val="24"/>
          <w:szCs w:val="24"/>
        </w:rPr>
        <w:tab/>
        <w:t>A partir dessa lei outros dispositivos legais, como portarias, foram editados para viabilizar a mudança do modelo de atenção em saúde mental. A criação dos Centros de Atenção Psicossocial (CAPS) e dos Serviços de Residência Terapêutica (SRT) são exemplos disso. Foi, então, que em 2011 se publicou a Portaria nº 3.088, a qual institui a Rede de Atenção Psicossocial (RAPS) para pessoas com sofrimento ou transtorno mental e com necessidades decorrentes do uso de crack, álcool e outras drogas, no âmbito do Sistema Único de Saúde. Um dos objetivos da RAPS versa justamente por desenvolver ações intersetoriais. A Rede de Atenção Psicossocial proporcionou que mais programas e estratégias fossem somadas a essa reordenação do tratamento às questões de saúde mental.</w:t>
      </w:r>
    </w:p>
    <w:p w:rsidR="009257FB" w:rsidRDefault="009257FB" w:rsidP="009257FB">
      <w:pPr>
        <w:pStyle w:val="normal0"/>
        <w:spacing w:line="360" w:lineRule="auto"/>
        <w:jc w:val="both"/>
        <w:rPr>
          <w:sz w:val="24"/>
          <w:szCs w:val="24"/>
        </w:rPr>
      </w:pPr>
      <w:r>
        <w:rPr>
          <w:sz w:val="24"/>
          <w:szCs w:val="24"/>
        </w:rPr>
        <w:tab/>
        <w:t xml:space="preserve">Fica evidente que a reforma psiquiátrica no Brasil passa por embates que, ora representam avanços, ora retrocessos. O processo de contrarreforma do Estado deixa isso bem claro, principalmente nos governos de Michel Temer e Bolsonaro (2019-2022). No entanto, como afirma Carvalho, et al. (2022, s/p), “vale ressaltar </w:t>
      </w:r>
      <w:r>
        <w:rPr>
          <w:sz w:val="24"/>
          <w:szCs w:val="24"/>
        </w:rPr>
        <w:lastRenderedPageBreak/>
        <w:t>que, mesmo com retrocessos, a reforma psiquiátrica no Brasil é considerada como uma das mais originais no mundo e isso se dá pelas conquistas com o SUS, que têm características democráticas.” A questão principal é que, de fato, a atenção psicossocial, em detrimento do isolamento social por meio dos hospícios, tem sido a forma de reorganizar a saúde mental no país.</w:t>
      </w:r>
    </w:p>
    <w:p w:rsidR="009257FB" w:rsidRDefault="009257FB" w:rsidP="009257FB">
      <w:pPr>
        <w:pStyle w:val="normal0"/>
        <w:spacing w:line="360" w:lineRule="auto"/>
        <w:jc w:val="both"/>
        <w:rPr>
          <w:sz w:val="24"/>
          <w:szCs w:val="24"/>
        </w:rPr>
      </w:pPr>
      <w:r>
        <w:rPr>
          <w:sz w:val="24"/>
          <w:szCs w:val="24"/>
        </w:rPr>
        <w:tab/>
        <w:t>Com a Lei da Reforma Psiquiátrica e a RAPS, segmentos da sociedade, como crianças e adolescentes, ainda muito negligenciados quanto à questão de políticas referente à saúde mental, começaram a ganhar notabilidade. A III Conferência Nacional em Saúde Mental, realizada em 2001, trouxe para o debate a questão da responsabilização quanto ao cuidado psíquico das crianças e adolescentes, e em 2002, como resultado foram criados os Centros de Atenção Psicossocial Infantis (CAPSi), observando o princípio da proteção integral imprimido no Estatuto da Criança e do Adolescente.</w:t>
      </w:r>
    </w:p>
    <w:p w:rsidR="009257FB" w:rsidRDefault="009257FB" w:rsidP="009257FB">
      <w:pPr>
        <w:pStyle w:val="normal0"/>
        <w:spacing w:line="360" w:lineRule="auto"/>
        <w:jc w:val="both"/>
        <w:rPr>
          <w:sz w:val="24"/>
          <w:szCs w:val="24"/>
        </w:rPr>
      </w:pPr>
      <w:r>
        <w:rPr>
          <w:sz w:val="24"/>
          <w:szCs w:val="24"/>
        </w:rPr>
        <w:tab/>
        <w:t>Destaque-se que, a III Conferência Nacional em Saúde Mental também pautou a questão da intersetorialidade, como estratégia para fortalecer e materializar as políticas em saúde mental. Nesse sentido, a intersetorialidade tem sido colocada, em meio às suas diversas abordagens, como uma possibilidade que, ao ser vivenciada, possibilita dirimir ou superar as práticas tão fragmentadas das políticas sociais na relação com os usuários dos serviços.</w:t>
      </w:r>
    </w:p>
    <w:p w:rsidR="009257FB" w:rsidRDefault="009257FB" w:rsidP="009257FB">
      <w:pPr>
        <w:pStyle w:val="normal0"/>
        <w:spacing w:line="360" w:lineRule="auto"/>
        <w:jc w:val="both"/>
        <w:rPr>
          <w:sz w:val="24"/>
          <w:szCs w:val="24"/>
        </w:rPr>
      </w:pPr>
      <w:r>
        <w:rPr>
          <w:sz w:val="24"/>
          <w:szCs w:val="24"/>
        </w:rPr>
        <w:tab/>
        <w:t>O próprio conceito ampliado de saúde, que coloca a saúde não apenas como ausência de doença, mas traz a questão dos determinantes sociais e econômicos para o cenário, abre espaço para a importância da intersetorialidade para efetividade do direito à saúde.</w:t>
      </w:r>
    </w:p>
    <w:p w:rsidR="009257FB" w:rsidRDefault="009257FB" w:rsidP="009257FB">
      <w:pPr>
        <w:pStyle w:val="normal0"/>
        <w:spacing w:line="360" w:lineRule="auto"/>
        <w:jc w:val="both"/>
        <w:rPr>
          <w:sz w:val="24"/>
          <w:szCs w:val="24"/>
        </w:rPr>
      </w:pPr>
    </w:p>
    <w:p w:rsidR="009257FB" w:rsidRDefault="009257FB" w:rsidP="009257FB">
      <w:pPr>
        <w:pStyle w:val="normal0"/>
        <w:spacing w:line="360" w:lineRule="auto"/>
        <w:jc w:val="both"/>
        <w:rPr>
          <w:b/>
          <w:sz w:val="24"/>
          <w:szCs w:val="24"/>
        </w:rPr>
      </w:pPr>
      <w:r>
        <w:rPr>
          <w:b/>
          <w:sz w:val="24"/>
          <w:szCs w:val="24"/>
        </w:rPr>
        <w:t>3</w:t>
      </w:r>
      <w:r>
        <w:rPr>
          <w:b/>
          <w:sz w:val="24"/>
          <w:szCs w:val="24"/>
        </w:rPr>
        <w:tab/>
        <w:t>A POLÍTICA NACIONAL DE ATENÇÃO PSICOSSOCIAL NAS COMUNIDADES ESCOLARES E A INTERFACE COM A INTERSETORIALIDADE</w:t>
      </w:r>
    </w:p>
    <w:p w:rsidR="009257FB" w:rsidRDefault="009257FB" w:rsidP="009257FB">
      <w:pPr>
        <w:pStyle w:val="normal0"/>
        <w:spacing w:line="360" w:lineRule="auto"/>
        <w:jc w:val="both"/>
        <w:rPr>
          <w:b/>
          <w:sz w:val="24"/>
          <w:szCs w:val="24"/>
        </w:rPr>
      </w:pPr>
    </w:p>
    <w:p w:rsidR="009257FB" w:rsidRDefault="009257FB" w:rsidP="009257FB">
      <w:pPr>
        <w:pStyle w:val="normal0"/>
        <w:spacing w:line="360" w:lineRule="auto"/>
        <w:jc w:val="both"/>
        <w:rPr>
          <w:sz w:val="24"/>
          <w:szCs w:val="24"/>
        </w:rPr>
      </w:pPr>
      <w:r>
        <w:rPr>
          <w:b/>
          <w:sz w:val="24"/>
          <w:szCs w:val="24"/>
        </w:rPr>
        <w:tab/>
      </w:r>
      <w:r>
        <w:rPr>
          <w:sz w:val="24"/>
          <w:szCs w:val="24"/>
        </w:rPr>
        <w:t xml:space="preserve">Sobre intersetorialidade, algumas considerações devem ser feitas. Primeiramente, como aponta Carvalho, Sousa e Ferrão (2018), a intersetorialidade é </w:t>
      </w:r>
      <w:r>
        <w:rPr>
          <w:sz w:val="24"/>
          <w:szCs w:val="24"/>
        </w:rPr>
        <w:lastRenderedPageBreak/>
        <w:t>um processo em curso e ainda descoordenado do modelo de gestão das políticas públicas, configura-se como um processo que deve ser melhor esclarecido e elaborado teoricamente. Outra consideração importante em relação ao tema é que</w:t>
      </w:r>
      <w:r>
        <w:rPr>
          <w:sz w:val="24"/>
          <w:szCs w:val="24"/>
        </w:rPr>
        <w:br/>
      </w:r>
    </w:p>
    <w:p w:rsidR="009257FB" w:rsidRDefault="009257FB" w:rsidP="009257FB">
      <w:pPr>
        <w:pStyle w:val="normal0"/>
        <w:spacing w:line="240" w:lineRule="auto"/>
        <w:ind w:left="2262"/>
        <w:jc w:val="both"/>
        <w:rPr>
          <w:sz w:val="20"/>
          <w:szCs w:val="20"/>
        </w:rPr>
      </w:pPr>
      <w:r>
        <w:rPr>
          <w:sz w:val="20"/>
          <w:szCs w:val="20"/>
        </w:rPr>
        <w:t>[...] nenhuma política pública, ou área é capaz de responder unilateralmente as demandas complexas que emergem no campo social. Essa constatação encontra terreno fértil no contexto das políticas públicas brasileiras que são marcadas pela fragmentação e focalização da ação estatal no trato dessas demandas de forma setorizada (2018, p. 159).</w:t>
      </w:r>
      <w:r>
        <w:rPr>
          <w:sz w:val="20"/>
          <w:szCs w:val="20"/>
        </w:rPr>
        <w:br/>
      </w:r>
    </w:p>
    <w:p w:rsidR="009257FB" w:rsidRDefault="009257FB" w:rsidP="009257FB">
      <w:pPr>
        <w:pStyle w:val="normal0"/>
        <w:spacing w:line="360" w:lineRule="auto"/>
        <w:jc w:val="both"/>
        <w:rPr>
          <w:sz w:val="24"/>
          <w:szCs w:val="24"/>
        </w:rPr>
      </w:pPr>
      <w:r>
        <w:rPr>
          <w:sz w:val="24"/>
          <w:szCs w:val="24"/>
        </w:rPr>
        <w:tab/>
        <w:t xml:space="preserve">Percebe-se que é possível estabelecer uma interface entre a intersetorialidade e as políticas públicas, exatamente por se constatar que nenhuma política pública é capaz de resolver expressões da questão social isoladamente. São variadas as perspectivas ou abordagens em torno do dispositivo da intersetorialidade, seja como instrumento, prática ou estratégia, o que se busca é a convergência das ações, integrando práticas e saberes, ficando clara a necessidade de diálogo e articulação entre setores. </w:t>
      </w:r>
    </w:p>
    <w:p w:rsidR="009257FB" w:rsidRDefault="009257FB" w:rsidP="009257FB">
      <w:pPr>
        <w:pStyle w:val="normal0"/>
        <w:spacing w:line="360" w:lineRule="auto"/>
        <w:jc w:val="both"/>
        <w:rPr>
          <w:sz w:val="24"/>
          <w:szCs w:val="24"/>
        </w:rPr>
      </w:pPr>
      <w:r>
        <w:rPr>
          <w:sz w:val="24"/>
          <w:szCs w:val="24"/>
        </w:rPr>
        <w:tab/>
        <w:t>A intersetorialidade é um elemento cada vez mais indispensável para as políticas públicas e que, conforme Junqueira, Inojosa e Komatsu (1997), pode promover um impacto positivo nas condições na população, melhorando sua qualidade de vida.</w:t>
      </w:r>
    </w:p>
    <w:p w:rsidR="009257FB" w:rsidRDefault="009257FB" w:rsidP="009257FB">
      <w:pPr>
        <w:pStyle w:val="normal0"/>
        <w:spacing w:line="360" w:lineRule="auto"/>
        <w:jc w:val="both"/>
        <w:rPr>
          <w:sz w:val="24"/>
          <w:szCs w:val="24"/>
        </w:rPr>
      </w:pPr>
      <w:r>
        <w:rPr>
          <w:sz w:val="24"/>
          <w:szCs w:val="24"/>
        </w:rPr>
        <w:tab/>
        <w:t>No setor saúde, a emergência de ações intersetoriais é cada vez maior. Ações que articulem outras políticas, especialmente quando se trata da saúde mental de crianças e adolescentes são necessárias. Em 2007, a implantação do Programa Saúde na Escola (PSE) trouxe para a política de saúde e educação a perspectiva da intersetorialidade na programação de ações interligadas. O PSE não trata especificamente da saúde mental, mas abrange diversas atividades no âmbito da escola, ligadas à saúde da criança e do adolescente que podem perpassar pela saúde mental também, em algum ponto, ainda que indiretamente. Neste programa a escola está diretamente ligada às Unidades de Atenção Primária à Saúde.</w:t>
      </w:r>
    </w:p>
    <w:p w:rsidR="009257FB" w:rsidRDefault="009257FB" w:rsidP="009257FB">
      <w:pPr>
        <w:pStyle w:val="normal0"/>
        <w:spacing w:line="360" w:lineRule="auto"/>
        <w:jc w:val="both"/>
        <w:rPr>
          <w:sz w:val="24"/>
          <w:szCs w:val="24"/>
        </w:rPr>
      </w:pPr>
      <w:r>
        <w:rPr>
          <w:sz w:val="24"/>
          <w:szCs w:val="24"/>
        </w:rPr>
        <w:tab/>
        <w:t>O espaço da escola está imbricado das mais variadas expressões da “questão social” que influenciam diretamente tanto no processo ensino-</w:t>
      </w:r>
      <w:r>
        <w:rPr>
          <w:sz w:val="24"/>
          <w:szCs w:val="24"/>
        </w:rPr>
        <w:lastRenderedPageBreak/>
        <w:t>aprendizagem, como em toda a dinâmica da comunidade escolar, perpassando os vários sujeitos ali inseridos. Como afirma Iamamoto (2001, p.16), “questão social diz respeito ao conjunto de expressões das desigualdades sociais engendradas na sociedade capitalista madura, impensáveis sem a intermediação do Estado”. Isso corrobora a necessidade de políticas públicas voltadas a intervenções e mediações diretamente no que chamamos de “chão da escola”.</w:t>
      </w:r>
    </w:p>
    <w:p w:rsidR="009257FB" w:rsidRDefault="009257FB" w:rsidP="009257FB">
      <w:pPr>
        <w:pStyle w:val="normal0"/>
        <w:spacing w:line="360" w:lineRule="auto"/>
        <w:jc w:val="both"/>
        <w:rPr>
          <w:sz w:val="24"/>
          <w:szCs w:val="24"/>
        </w:rPr>
      </w:pPr>
      <w:r>
        <w:rPr>
          <w:sz w:val="24"/>
          <w:szCs w:val="24"/>
        </w:rPr>
        <w:tab/>
        <w:t xml:space="preserve">No espaço escolar, as expressões da questão social se traduzem sob diversos aspectos ou refrações. Destaque-se: violência em suas variadas formas, desemprego, fragilidade dos vínculos familiares, trabalho infanto-juvenil, uso abusivo de substâncias psicoativas, evasão escolar, repetência ano/série, baixa freqüência escolar, fome, negligência, acesso restrito aos serviços de saúde, várias formas de adoecimento, habitação precária, falta de segurança, fragilidade da rede de proteção. </w:t>
      </w:r>
    </w:p>
    <w:p w:rsidR="009257FB" w:rsidRDefault="009257FB" w:rsidP="009257FB">
      <w:pPr>
        <w:pStyle w:val="normal0"/>
        <w:spacing w:line="360" w:lineRule="auto"/>
        <w:jc w:val="both"/>
        <w:rPr>
          <w:sz w:val="24"/>
          <w:szCs w:val="24"/>
        </w:rPr>
      </w:pPr>
      <w:r>
        <w:rPr>
          <w:sz w:val="24"/>
          <w:szCs w:val="24"/>
        </w:rPr>
        <w:tab/>
        <w:t>Quando se instaurou a pandemia da COVID-19 em 2020, e uma das medidas foi justamente a suspensão das aulas presenciais, muitas expressões da questão social ficaram ainda mais evidentes no contexto das comunidades escolares, e os problemas foram dimensionados. No decorrer da pandemia percebeu-se que as questões ligadas à saúde mental, tanto de discentes quanto de docentes, de gestores, técnicos e funcionários das escolas foram intensificados.</w:t>
      </w:r>
    </w:p>
    <w:p w:rsidR="009257FB" w:rsidRDefault="009257FB" w:rsidP="009257FB">
      <w:pPr>
        <w:pStyle w:val="normal0"/>
        <w:spacing w:line="360" w:lineRule="auto"/>
        <w:jc w:val="both"/>
        <w:rPr>
          <w:sz w:val="24"/>
          <w:szCs w:val="24"/>
        </w:rPr>
      </w:pPr>
      <w:r>
        <w:rPr>
          <w:sz w:val="24"/>
          <w:szCs w:val="24"/>
        </w:rPr>
        <w:tab/>
        <w:t>Como se sabe, a pandemia da COVID-19 não foi apenas de cunho sanitário ou epidemiológico, mas reverberou em todo o modo de vida do ser humano, seja social, econômico, político, cultural e até mesmo étnico-racial, e impôs transformações em todas as áreas da sociabilidade humana, das relações sociais capitalistas. A pandemia é analisada por alguns teóricos a partir do conceito de sindemi</w:t>
      </w:r>
      <w:r w:rsidR="008F4C4D">
        <w:rPr>
          <w:sz w:val="24"/>
          <w:szCs w:val="24"/>
        </w:rPr>
        <w:t>a</w:t>
      </w:r>
      <w:r>
        <w:rPr>
          <w:sz w:val="24"/>
          <w:szCs w:val="24"/>
        </w:rPr>
        <w:t>, no qual as condições de desigualdade e injustiça social são consideradas no processo saúde-doença. Assim, no contexto das comunidades escolares, o período pandêmico revelou ainda mais as fragilidades e vulnerabilidades dos seus sujeitos, ratificando a determinação social do processo saúde-doença.</w:t>
      </w:r>
    </w:p>
    <w:p w:rsidR="009257FB" w:rsidRDefault="009257FB" w:rsidP="009257FB">
      <w:pPr>
        <w:pStyle w:val="normal0"/>
        <w:spacing w:line="360" w:lineRule="auto"/>
        <w:jc w:val="both"/>
        <w:rPr>
          <w:sz w:val="24"/>
          <w:szCs w:val="24"/>
        </w:rPr>
      </w:pPr>
      <w:r>
        <w:rPr>
          <w:sz w:val="24"/>
          <w:szCs w:val="24"/>
        </w:rPr>
        <w:lastRenderedPageBreak/>
        <w:tab/>
        <w:t>Pesquisas apontam o agravamento do sofrimento mental entre educadores, como a Síndrome de Burnout e o estresse, e entre os estudantes cresceu bastante o número de ansiedade generalizada, depressão, problemas de insônia e falta de motivação ou concentração, casos de automutilação e violências. No cotidiano escolar tudo isso é facilmente detectado entre os sujeitos em questão. Há uma emergência cada vez maior por ações que tratem da atenção psicossocial nas comunidades escolares, principalmente após a pandemia de COVID-19.</w:t>
      </w:r>
    </w:p>
    <w:p w:rsidR="009257FB" w:rsidRDefault="009257FB" w:rsidP="009257FB">
      <w:pPr>
        <w:pStyle w:val="normal0"/>
        <w:spacing w:line="360" w:lineRule="auto"/>
        <w:jc w:val="both"/>
        <w:rPr>
          <w:sz w:val="24"/>
          <w:szCs w:val="24"/>
        </w:rPr>
      </w:pPr>
      <w:r>
        <w:rPr>
          <w:sz w:val="24"/>
          <w:szCs w:val="24"/>
        </w:rPr>
        <w:tab/>
        <w:t>Nesse sentido, a Política Nacional de Atenção Psicossocial nas Comunidades Escolares, Lei nº 14.819, de janeiro de 2024, objetiva articular ações já existentes entre as políticas de saúde, educação e assistência social, e também fomentar novas ações para possibilitar a prevenção e promoção de saúde mental nos espaços escolares. A Lei, busca abranger os vários atores desse espaço, como preconiza seu escopo. Serão contemplados discentes e profissionais da educação em geral, além dos familiares ou responsáveis que também devem ser integrados nas ações. De acordo com a Lei, o PSE será integrador de tais ações, responsável por formar grupos de trabalho que articulem as políticas setoriais envolvidas, sendo este um de seus principais desafios, a efetivação de uma política que, de fato, seja intersetorial.</w:t>
      </w:r>
    </w:p>
    <w:p w:rsidR="009257FB" w:rsidRDefault="009257FB" w:rsidP="009257FB">
      <w:pPr>
        <w:pStyle w:val="normal0"/>
        <w:spacing w:line="360" w:lineRule="auto"/>
        <w:jc w:val="both"/>
        <w:rPr>
          <w:sz w:val="24"/>
          <w:szCs w:val="24"/>
        </w:rPr>
      </w:pPr>
      <w:r>
        <w:rPr>
          <w:sz w:val="24"/>
          <w:szCs w:val="24"/>
        </w:rPr>
        <w:tab/>
      </w:r>
    </w:p>
    <w:p w:rsidR="009257FB" w:rsidRDefault="009257FB" w:rsidP="009257FB">
      <w:pPr>
        <w:pStyle w:val="normal0"/>
        <w:spacing w:line="360" w:lineRule="auto"/>
        <w:jc w:val="both"/>
        <w:rPr>
          <w:b/>
          <w:sz w:val="24"/>
          <w:szCs w:val="24"/>
        </w:rPr>
      </w:pPr>
      <w:r>
        <w:rPr>
          <w:b/>
          <w:sz w:val="24"/>
          <w:szCs w:val="24"/>
        </w:rPr>
        <w:t>4</w:t>
      </w:r>
      <w:r>
        <w:rPr>
          <w:b/>
          <w:sz w:val="24"/>
          <w:szCs w:val="24"/>
        </w:rPr>
        <w:tab/>
        <w:t>CONCLUSÃO</w:t>
      </w:r>
    </w:p>
    <w:p w:rsidR="009257FB" w:rsidRDefault="009257FB" w:rsidP="009257FB">
      <w:pPr>
        <w:pStyle w:val="normal0"/>
        <w:spacing w:line="360" w:lineRule="auto"/>
        <w:jc w:val="both"/>
        <w:rPr>
          <w:b/>
          <w:sz w:val="24"/>
          <w:szCs w:val="24"/>
        </w:rPr>
      </w:pPr>
    </w:p>
    <w:p w:rsidR="009257FB" w:rsidRDefault="009257FB" w:rsidP="009257FB">
      <w:pPr>
        <w:pStyle w:val="normal0"/>
        <w:spacing w:line="360" w:lineRule="auto"/>
        <w:jc w:val="both"/>
        <w:rPr>
          <w:sz w:val="24"/>
          <w:szCs w:val="24"/>
        </w:rPr>
      </w:pPr>
      <w:r>
        <w:rPr>
          <w:b/>
          <w:sz w:val="24"/>
          <w:szCs w:val="24"/>
        </w:rPr>
        <w:tab/>
      </w:r>
      <w:r>
        <w:rPr>
          <w:sz w:val="24"/>
          <w:szCs w:val="24"/>
        </w:rPr>
        <w:t>Observa-se que houve avanços no trato à questão da saúde mental, no Brasil, ainda que de forma paulatina e permeada de conflitos de interesses e contradições. A luta antimanicomial permanece viva, desdobrando-se em conquistas que alcançam públicos diversos, como os sujeitos que sofrem e lidam com diversas expressões da questão social no espaço escolar, e por elas são impactados.</w:t>
      </w:r>
    </w:p>
    <w:p w:rsidR="009257FB" w:rsidRDefault="009257FB" w:rsidP="009257FB">
      <w:pPr>
        <w:pStyle w:val="normal0"/>
        <w:spacing w:line="360" w:lineRule="auto"/>
        <w:jc w:val="both"/>
        <w:rPr>
          <w:sz w:val="24"/>
          <w:szCs w:val="24"/>
        </w:rPr>
      </w:pPr>
      <w:r>
        <w:rPr>
          <w:sz w:val="24"/>
          <w:szCs w:val="24"/>
        </w:rPr>
        <w:tab/>
        <w:t xml:space="preserve">É inegável a necessidade e importância da Política Nacional de Atenção Psicossocial nas Comunidades Escolares, no entanto, os desafios postos são dos mais variados aspectos e em diferentes âmbitos. A política proposta é de cunho predominantemente intersetorial, por isso ainda mais desafiadora para que seja </w:t>
      </w:r>
      <w:r>
        <w:rPr>
          <w:sz w:val="24"/>
          <w:szCs w:val="24"/>
        </w:rPr>
        <w:lastRenderedPageBreak/>
        <w:t>efetivada e alcance resultados que possam dirimir as questões ligadas ao adoecimento mental.</w:t>
      </w:r>
    </w:p>
    <w:p w:rsidR="009257FB" w:rsidRDefault="009257FB" w:rsidP="009257FB">
      <w:pPr>
        <w:pStyle w:val="normal0"/>
        <w:spacing w:line="360" w:lineRule="auto"/>
        <w:jc w:val="both"/>
        <w:rPr>
          <w:sz w:val="24"/>
          <w:szCs w:val="24"/>
        </w:rPr>
      </w:pPr>
      <w:r>
        <w:rPr>
          <w:sz w:val="24"/>
          <w:szCs w:val="24"/>
        </w:rPr>
        <w:tab/>
        <w:t>Os desafios perpassam a própria estrutura das políticas sociais de educação, saúde e assistência social, no que diz respeito à promoção, prevenção e atenção psicossocial no âmbito das escolas, uma vez que esta é uma política de cunho intersetorial, e exige, portanto, uma articulação que certamente enfrentará dificuldades de diferentes naturezas. Com a implementação da política, a atenção psicossocial nas comunidades escolares pode configurar-se como prioridade, e não apenas alvo de programas e projetos fragmentados.</w:t>
      </w:r>
    </w:p>
    <w:p w:rsidR="009257FB" w:rsidRDefault="009257FB" w:rsidP="009257FB">
      <w:pPr>
        <w:pStyle w:val="normal0"/>
        <w:spacing w:line="360" w:lineRule="auto"/>
        <w:jc w:val="center"/>
        <w:rPr>
          <w:sz w:val="24"/>
          <w:szCs w:val="24"/>
        </w:rPr>
      </w:pPr>
    </w:p>
    <w:p w:rsidR="009257FB" w:rsidRDefault="009257FB" w:rsidP="008F4C4D">
      <w:pPr>
        <w:pStyle w:val="normal0"/>
        <w:spacing w:line="360" w:lineRule="auto"/>
        <w:jc w:val="both"/>
        <w:rPr>
          <w:sz w:val="24"/>
          <w:szCs w:val="24"/>
        </w:rPr>
      </w:pPr>
      <w:r>
        <w:rPr>
          <w:b/>
          <w:sz w:val="24"/>
          <w:szCs w:val="24"/>
        </w:rPr>
        <w:t>REFERÊNCIAS</w:t>
      </w:r>
    </w:p>
    <w:p w:rsidR="009257FB" w:rsidRDefault="009257FB" w:rsidP="008F4C4D">
      <w:pPr>
        <w:pStyle w:val="normal0"/>
        <w:spacing w:line="360" w:lineRule="auto"/>
        <w:jc w:val="both"/>
        <w:rPr>
          <w:sz w:val="24"/>
          <w:szCs w:val="24"/>
        </w:rPr>
      </w:pPr>
    </w:p>
    <w:p w:rsidR="008F4C4D" w:rsidRDefault="008F4C4D" w:rsidP="00E15345">
      <w:pPr>
        <w:pStyle w:val="normal0"/>
        <w:spacing w:line="240" w:lineRule="auto"/>
        <w:jc w:val="both"/>
        <w:rPr>
          <w:sz w:val="24"/>
          <w:szCs w:val="24"/>
        </w:rPr>
      </w:pPr>
      <w:r>
        <w:rPr>
          <w:sz w:val="24"/>
          <w:szCs w:val="24"/>
        </w:rPr>
        <w:t xml:space="preserve">BRASILEIRO, A. C. et al. </w:t>
      </w:r>
      <w:r w:rsidR="00E15345">
        <w:rPr>
          <w:sz w:val="24"/>
          <w:szCs w:val="24"/>
        </w:rPr>
        <w:t xml:space="preserve">Os desafios da atuação de assistentes sociais no Ensino Funadamental I em João Pessoa (PB). </w:t>
      </w:r>
      <w:r w:rsidR="00394209">
        <w:rPr>
          <w:sz w:val="24"/>
          <w:szCs w:val="24"/>
        </w:rPr>
        <w:t>In: FERRIZ, A. F. P.</w:t>
      </w:r>
      <w:r w:rsidR="00C42187">
        <w:rPr>
          <w:sz w:val="24"/>
          <w:szCs w:val="24"/>
        </w:rPr>
        <w:t xml:space="preserve"> (Org.).</w:t>
      </w:r>
      <w:r w:rsidR="00394209">
        <w:rPr>
          <w:sz w:val="24"/>
          <w:szCs w:val="24"/>
        </w:rPr>
        <w:t xml:space="preserve"> </w:t>
      </w:r>
      <w:r w:rsidR="00394209" w:rsidRPr="00C42187">
        <w:rPr>
          <w:b/>
          <w:sz w:val="24"/>
          <w:szCs w:val="24"/>
        </w:rPr>
        <w:t>A sistematização do trabalho de assistentes sociais na educação básica.</w:t>
      </w:r>
      <w:r w:rsidR="00394209">
        <w:rPr>
          <w:sz w:val="24"/>
          <w:szCs w:val="24"/>
        </w:rPr>
        <w:t xml:space="preserve"> </w:t>
      </w:r>
      <w:r w:rsidR="00C42187">
        <w:rPr>
          <w:sz w:val="24"/>
          <w:szCs w:val="24"/>
        </w:rPr>
        <w:t>Salvador: EDUFBA, 2020.</w:t>
      </w:r>
    </w:p>
    <w:p w:rsidR="008F4C4D" w:rsidRDefault="008F4C4D" w:rsidP="009257FB">
      <w:pPr>
        <w:pStyle w:val="normal0"/>
        <w:spacing w:line="240" w:lineRule="auto"/>
        <w:jc w:val="both"/>
        <w:rPr>
          <w:sz w:val="24"/>
          <w:szCs w:val="24"/>
        </w:rPr>
      </w:pPr>
    </w:p>
    <w:p w:rsidR="009257FB" w:rsidRDefault="009257FB" w:rsidP="009257FB">
      <w:pPr>
        <w:pStyle w:val="normal0"/>
        <w:spacing w:line="240" w:lineRule="auto"/>
        <w:jc w:val="both"/>
        <w:rPr>
          <w:sz w:val="24"/>
          <w:szCs w:val="24"/>
        </w:rPr>
      </w:pPr>
      <w:r>
        <w:rPr>
          <w:sz w:val="24"/>
          <w:szCs w:val="24"/>
        </w:rPr>
        <w:t xml:space="preserve">CARVALHO, R. N.; SOUSA, E. S. S; FERRÃO, J. M. M. Proposta de um modelo compreensivo de abordagem da intersetorialidade: pressupostos para análise das práticas sociais. </w:t>
      </w:r>
      <w:r>
        <w:rPr>
          <w:i/>
          <w:sz w:val="24"/>
          <w:szCs w:val="24"/>
        </w:rPr>
        <w:t>In</w:t>
      </w:r>
      <w:r>
        <w:rPr>
          <w:sz w:val="24"/>
          <w:szCs w:val="24"/>
        </w:rPr>
        <w:t xml:space="preserve">: CAVALCANTI, P. B. et al. (Org). </w:t>
      </w:r>
      <w:r>
        <w:rPr>
          <w:b/>
          <w:sz w:val="24"/>
          <w:szCs w:val="24"/>
        </w:rPr>
        <w:t>Políticas Públicas e gestão:</w:t>
      </w:r>
      <w:r>
        <w:rPr>
          <w:sz w:val="24"/>
          <w:szCs w:val="24"/>
        </w:rPr>
        <w:t xml:space="preserve"> indicações e análises. João Pessoa: Editora da UFPB, 2018.</w:t>
      </w:r>
    </w:p>
    <w:p w:rsidR="009257FB" w:rsidRDefault="009257FB" w:rsidP="009257FB">
      <w:pPr>
        <w:pStyle w:val="normal0"/>
        <w:spacing w:line="240" w:lineRule="auto"/>
        <w:jc w:val="both"/>
        <w:rPr>
          <w:sz w:val="24"/>
          <w:szCs w:val="24"/>
        </w:rPr>
      </w:pPr>
    </w:p>
    <w:p w:rsidR="009257FB" w:rsidRDefault="009257FB" w:rsidP="009257FB">
      <w:pPr>
        <w:pStyle w:val="normal0"/>
        <w:spacing w:line="240" w:lineRule="auto"/>
        <w:jc w:val="both"/>
        <w:rPr>
          <w:sz w:val="24"/>
          <w:szCs w:val="24"/>
        </w:rPr>
      </w:pPr>
      <w:r>
        <w:rPr>
          <w:sz w:val="24"/>
          <w:szCs w:val="24"/>
        </w:rPr>
        <w:t>CARVALHO, R. N. et al. Saúde mental em contrarreforma: desmonte do cuidado e perda de direitos. In: XVII Congresso Brasileiro de Assistentes Sociais, 2022, Brasília. Anais. Brasília: CFESS, 2022. Disponível em:</w:t>
      </w:r>
      <w:hyperlink r:id="rId7">
        <w:r>
          <w:rPr>
            <w:sz w:val="24"/>
            <w:szCs w:val="24"/>
          </w:rPr>
          <w:t xml:space="preserve"> </w:t>
        </w:r>
      </w:hyperlink>
      <w:hyperlink r:id="rId8">
        <w:r>
          <w:rPr>
            <w:color w:val="1155CC"/>
            <w:sz w:val="24"/>
            <w:szCs w:val="24"/>
            <w:u w:val="single"/>
          </w:rPr>
          <w:t>https://www.cfess.org.br/cbas2022/uploads/finais/0000000349.pdf</w:t>
        </w:r>
      </w:hyperlink>
      <w:r w:rsidR="008F4C4D">
        <w:rPr>
          <w:sz w:val="24"/>
          <w:szCs w:val="24"/>
        </w:rPr>
        <w:t>. Acesso em: 08. M</w:t>
      </w:r>
      <w:r>
        <w:rPr>
          <w:sz w:val="24"/>
          <w:szCs w:val="24"/>
        </w:rPr>
        <w:t>ai. 2025.</w:t>
      </w:r>
    </w:p>
    <w:p w:rsidR="009257FB" w:rsidRDefault="009257FB" w:rsidP="009257FB">
      <w:pPr>
        <w:pStyle w:val="normal0"/>
        <w:spacing w:line="240" w:lineRule="auto"/>
        <w:jc w:val="both"/>
        <w:rPr>
          <w:sz w:val="24"/>
          <w:szCs w:val="24"/>
        </w:rPr>
      </w:pPr>
    </w:p>
    <w:p w:rsidR="009257FB" w:rsidRDefault="009257FB" w:rsidP="009257FB">
      <w:pPr>
        <w:pStyle w:val="normal0"/>
        <w:spacing w:line="240" w:lineRule="auto"/>
        <w:jc w:val="both"/>
        <w:rPr>
          <w:sz w:val="24"/>
          <w:szCs w:val="24"/>
        </w:rPr>
      </w:pPr>
      <w:r>
        <w:rPr>
          <w:sz w:val="24"/>
          <w:szCs w:val="24"/>
        </w:rPr>
        <w:t>IAMAMOTO, M. V.</w:t>
      </w:r>
      <w:r w:rsidR="00766256">
        <w:rPr>
          <w:sz w:val="24"/>
          <w:szCs w:val="24"/>
        </w:rPr>
        <w:t xml:space="preserve"> A Questão Social no Capitalismo. </w:t>
      </w:r>
      <w:r w:rsidR="00766256" w:rsidRPr="00766256">
        <w:rPr>
          <w:b/>
          <w:sz w:val="24"/>
          <w:szCs w:val="24"/>
        </w:rPr>
        <w:t>Temporáli</w:t>
      </w:r>
      <w:r w:rsidR="00766256">
        <w:rPr>
          <w:b/>
          <w:sz w:val="24"/>
          <w:szCs w:val="24"/>
        </w:rPr>
        <w:t>s</w:t>
      </w:r>
      <w:r w:rsidR="00766256">
        <w:rPr>
          <w:sz w:val="24"/>
          <w:szCs w:val="24"/>
        </w:rPr>
        <w:t>. Ano 2, nº 3. Brasília: ABEPSS, Grafline, 2001.</w:t>
      </w:r>
    </w:p>
    <w:p w:rsidR="009257FB" w:rsidRDefault="009257FB" w:rsidP="009257FB">
      <w:pPr>
        <w:pStyle w:val="normal0"/>
        <w:spacing w:line="240" w:lineRule="auto"/>
        <w:jc w:val="both"/>
        <w:rPr>
          <w:sz w:val="24"/>
          <w:szCs w:val="24"/>
        </w:rPr>
      </w:pPr>
    </w:p>
    <w:p w:rsidR="009257FB" w:rsidRDefault="009257FB" w:rsidP="009257FB">
      <w:pPr>
        <w:pStyle w:val="normal0"/>
        <w:spacing w:line="240" w:lineRule="auto"/>
        <w:jc w:val="both"/>
        <w:rPr>
          <w:sz w:val="24"/>
          <w:szCs w:val="24"/>
        </w:rPr>
      </w:pPr>
      <w:r>
        <w:rPr>
          <w:sz w:val="24"/>
          <w:szCs w:val="24"/>
        </w:rPr>
        <w:t>JUNQUEIRA, I. A. P.; INOJOSA, R. M.; KOMATSU, S. Descentralização e intersetorialidade na gestão pública municipal no Brasil: a experiência de Fortaleza. In: Concurso de Ensaios del CLAD, XI, 1997, Caracas. Anais. Caracas, 1997. Disponível em:</w:t>
      </w:r>
      <w:hyperlink r:id="rId9">
        <w:r>
          <w:rPr>
            <w:sz w:val="24"/>
            <w:szCs w:val="24"/>
          </w:rPr>
          <w:t xml:space="preserve"> </w:t>
        </w:r>
      </w:hyperlink>
      <w:hyperlink r:id="rId10">
        <w:r>
          <w:rPr>
            <w:color w:val="1155CC"/>
            <w:sz w:val="24"/>
            <w:szCs w:val="24"/>
            <w:u w:val="single"/>
          </w:rPr>
          <w:t>http://150.162.8.240/PNAP_2013_2/Modulo_4/Organizacao_processos_tomada_decisao/material_didatico/textos/Descentraliza%C3%A7%C3%A3o%20e%20intersetoriali</w:t>
        </w:r>
        <w:r>
          <w:rPr>
            <w:color w:val="1155CC"/>
            <w:sz w:val="24"/>
            <w:szCs w:val="24"/>
            <w:u w:val="single"/>
          </w:rPr>
          <w:lastRenderedPageBreak/>
          <w:t>dade%20na%20gest%C3%A3o%20p%C3%BAblica%20municipal.pdf</w:t>
        </w:r>
      </w:hyperlink>
      <w:r w:rsidR="00766256">
        <w:rPr>
          <w:sz w:val="24"/>
          <w:szCs w:val="24"/>
        </w:rPr>
        <w:t xml:space="preserve"> . Acesso em: 25. Mai. 2025</w:t>
      </w:r>
      <w:r>
        <w:rPr>
          <w:sz w:val="24"/>
          <w:szCs w:val="24"/>
        </w:rPr>
        <w:t>.</w:t>
      </w:r>
    </w:p>
    <w:p w:rsidR="009257FB" w:rsidRDefault="009257FB" w:rsidP="009257FB">
      <w:pPr>
        <w:pStyle w:val="normal0"/>
        <w:spacing w:line="240" w:lineRule="auto"/>
        <w:jc w:val="both"/>
        <w:rPr>
          <w:sz w:val="24"/>
          <w:szCs w:val="24"/>
        </w:rPr>
      </w:pPr>
    </w:p>
    <w:p w:rsidR="009257FB" w:rsidRDefault="009257FB" w:rsidP="009257FB">
      <w:pPr>
        <w:pStyle w:val="normal0"/>
        <w:spacing w:line="240" w:lineRule="auto"/>
        <w:jc w:val="both"/>
        <w:rPr>
          <w:sz w:val="24"/>
          <w:szCs w:val="24"/>
        </w:rPr>
      </w:pPr>
      <w:r>
        <w:rPr>
          <w:sz w:val="24"/>
          <w:szCs w:val="24"/>
        </w:rPr>
        <w:t xml:space="preserve">LANCETTI, A; AMARANTE, P.D.C. Saúde Mental e Saúde Coletiva. In: CAMPOS, G. W. S. et al. (Org). </w:t>
      </w:r>
      <w:r>
        <w:rPr>
          <w:b/>
          <w:sz w:val="24"/>
          <w:szCs w:val="24"/>
        </w:rPr>
        <w:t>Tratado de Saúde Coletiva</w:t>
      </w:r>
      <w:r>
        <w:rPr>
          <w:sz w:val="24"/>
          <w:szCs w:val="24"/>
        </w:rPr>
        <w:t>. 2 ed. São Paulo: HUCITEC, 2012.</w:t>
      </w:r>
      <w:r>
        <w:rPr>
          <w:sz w:val="24"/>
          <w:szCs w:val="24"/>
        </w:rPr>
        <w:br/>
      </w:r>
    </w:p>
    <w:p w:rsidR="009257FB" w:rsidRDefault="009257FB" w:rsidP="009257FB">
      <w:pPr>
        <w:pStyle w:val="normal0"/>
        <w:spacing w:line="240" w:lineRule="auto"/>
        <w:jc w:val="both"/>
        <w:rPr>
          <w:sz w:val="24"/>
          <w:szCs w:val="24"/>
        </w:rPr>
      </w:pPr>
      <w:r>
        <w:rPr>
          <w:sz w:val="24"/>
          <w:szCs w:val="24"/>
        </w:rPr>
        <w:t xml:space="preserve">NETTO, José Paulo. Introdução ao método da teoria social. </w:t>
      </w:r>
      <w:r>
        <w:rPr>
          <w:i/>
          <w:sz w:val="24"/>
          <w:szCs w:val="24"/>
        </w:rPr>
        <w:t>In</w:t>
      </w:r>
      <w:r>
        <w:rPr>
          <w:sz w:val="24"/>
          <w:szCs w:val="24"/>
        </w:rPr>
        <w:t xml:space="preserve">: </w:t>
      </w:r>
      <w:r>
        <w:rPr>
          <w:b/>
          <w:sz w:val="24"/>
          <w:szCs w:val="24"/>
        </w:rPr>
        <w:t>Serviço Social</w:t>
      </w:r>
      <w:r>
        <w:rPr>
          <w:sz w:val="24"/>
          <w:szCs w:val="24"/>
        </w:rPr>
        <w:t>: Direitos e competências profissionais. Brasília: CFESS/ ABEPSS, 2009.</w:t>
      </w:r>
      <w:r>
        <w:rPr>
          <w:sz w:val="24"/>
          <w:szCs w:val="24"/>
        </w:rPr>
        <w:br/>
      </w:r>
    </w:p>
    <w:p w:rsidR="009257FB" w:rsidRDefault="008F4C4D" w:rsidP="009257FB">
      <w:pPr>
        <w:pStyle w:val="normal0"/>
        <w:spacing w:line="240" w:lineRule="auto"/>
        <w:jc w:val="both"/>
        <w:rPr>
          <w:sz w:val="24"/>
          <w:szCs w:val="24"/>
        </w:rPr>
      </w:pPr>
      <w:r>
        <w:rPr>
          <w:sz w:val="24"/>
          <w:szCs w:val="24"/>
        </w:rPr>
        <w:t>NUNES, M. de O. et</w:t>
      </w:r>
      <w:r w:rsidR="009257FB">
        <w:rPr>
          <w:sz w:val="24"/>
          <w:szCs w:val="24"/>
        </w:rPr>
        <w:t xml:space="preserve"> al. Reforma e contrarreforma psiquiátrica: análise de uma crise sociopolítica e sanitária a nível nacional e regional. </w:t>
      </w:r>
      <w:r w:rsidR="009257FB">
        <w:rPr>
          <w:b/>
          <w:sz w:val="24"/>
          <w:szCs w:val="24"/>
        </w:rPr>
        <w:t>Ciência &amp; Saúde Coletiva</w:t>
      </w:r>
      <w:r w:rsidR="009257FB">
        <w:rPr>
          <w:sz w:val="24"/>
          <w:szCs w:val="24"/>
        </w:rPr>
        <w:t>, v.24, n. 12, p. 4489-4498, 2019.</w:t>
      </w:r>
    </w:p>
    <w:p w:rsidR="009257FB" w:rsidRDefault="009257FB" w:rsidP="009257FB">
      <w:pPr>
        <w:pStyle w:val="normal0"/>
        <w:spacing w:line="360" w:lineRule="auto"/>
        <w:jc w:val="both"/>
        <w:rPr>
          <w:sz w:val="24"/>
          <w:szCs w:val="24"/>
        </w:rPr>
      </w:pPr>
    </w:p>
    <w:p w:rsidR="009257FB" w:rsidRDefault="009257FB" w:rsidP="009257FB">
      <w:pPr>
        <w:pStyle w:val="normal0"/>
        <w:spacing w:after="200"/>
        <w:jc w:val="both"/>
        <w:rPr>
          <w:rFonts w:ascii="Calibri" w:eastAsia="Calibri" w:hAnsi="Calibri" w:cs="Calibri"/>
          <w:sz w:val="24"/>
          <w:szCs w:val="24"/>
        </w:rPr>
      </w:pPr>
    </w:p>
    <w:p w:rsidR="00846E1C" w:rsidRDefault="00E70B1C"/>
    <w:sectPr w:rsidR="00846E1C" w:rsidSect="00C00ECC">
      <w:headerReference w:type="default" r:id="rId11"/>
      <w:pgSz w:w="11909" w:h="16834"/>
      <w:pgMar w:top="1701" w:right="1134" w:bottom="1134" w:left="1701" w:header="3402"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0B1C" w:rsidRDefault="00E70B1C" w:rsidP="00DB5308">
      <w:pPr>
        <w:spacing w:line="240" w:lineRule="auto"/>
      </w:pPr>
      <w:r>
        <w:separator/>
      </w:r>
    </w:p>
  </w:endnote>
  <w:endnote w:type="continuationSeparator" w:id="1">
    <w:p w:rsidR="00E70B1C" w:rsidRDefault="00E70B1C" w:rsidP="00DB53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0B1C" w:rsidRDefault="00E70B1C" w:rsidP="00DB5308">
      <w:pPr>
        <w:spacing w:line="240" w:lineRule="auto"/>
      </w:pPr>
      <w:r>
        <w:separator/>
      </w:r>
    </w:p>
  </w:footnote>
  <w:footnote w:type="continuationSeparator" w:id="1">
    <w:p w:rsidR="00E70B1C" w:rsidRDefault="00E70B1C" w:rsidP="00DB5308">
      <w:pPr>
        <w:spacing w:line="240" w:lineRule="auto"/>
      </w:pPr>
      <w:r>
        <w:continuationSeparator/>
      </w:r>
    </w:p>
  </w:footnote>
  <w:footnote w:id="2">
    <w:p w:rsidR="00DB5308" w:rsidRDefault="00DB5308">
      <w:pPr>
        <w:pStyle w:val="Textodenotaderodap"/>
      </w:pPr>
      <w:r>
        <w:rPr>
          <w:rStyle w:val="Refdenotaderodap"/>
        </w:rPr>
        <w:footnoteRef/>
      </w:r>
      <w:r>
        <w:t xml:space="preserve"> Assistente Social</w:t>
      </w:r>
      <w:r w:rsidR="008A0EBF">
        <w:t xml:space="preserve"> da política de educação e saúde no município de João Pessoa – PB. Mestre em Serviço Social pela UEPB (Universidade Estadual da Paraíba) e Doutoranda em Serviço Social pela UFPB (Universidade Federal da Paraíba). E-mail: fernandestaty@gmail.com</w:t>
      </w:r>
    </w:p>
  </w:footnote>
  <w:footnote w:id="3">
    <w:p w:rsidR="008A0EBF" w:rsidRDefault="008A0EBF">
      <w:pPr>
        <w:pStyle w:val="Textodenotaderodap"/>
      </w:pPr>
      <w:r>
        <w:rPr>
          <w:rStyle w:val="Refdenotaderodap"/>
        </w:rPr>
        <w:footnoteRef/>
      </w:r>
      <w:r>
        <w:t xml:space="preserve"> Assistente Social da política de educação no município de Crato – CE. Mestre em Serviço Social pela UEPB (Universidade Estadual da Paraíba) e Doutoranda em Serviço Social pela UFPB (Universidad</w:t>
      </w:r>
      <w:r w:rsidR="00123921">
        <w:t>e Federal da Paraíba). E-mail: g</w:t>
      </w:r>
      <w:r>
        <w:t>utierrez.lobo@yahoo.com.br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CDE" w:rsidRDefault="00320B3F">
    <w:pPr>
      <w:pStyle w:val="normal0"/>
    </w:pPr>
    <w:r>
      <w:rPr>
        <w:noProof/>
      </w:rPr>
      <w:drawing>
        <wp:anchor distT="0" distB="0" distL="0" distR="0" simplePos="0" relativeHeight="251659264" behindDoc="1" locked="0" layoutInCell="1" allowOverlap="1">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257FB"/>
    <w:rsid w:val="000B0260"/>
    <w:rsid w:val="00123921"/>
    <w:rsid w:val="00320B3F"/>
    <w:rsid w:val="003372F5"/>
    <w:rsid w:val="00394209"/>
    <w:rsid w:val="006871A2"/>
    <w:rsid w:val="00766256"/>
    <w:rsid w:val="008A0EBF"/>
    <w:rsid w:val="008F4C4D"/>
    <w:rsid w:val="009257FB"/>
    <w:rsid w:val="00A51367"/>
    <w:rsid w:val="00C42187"/>
    <w:rsid w:val="00D4431D"/>
    <w:rsid w:val="00DB5308"/>
    <w:rsid w:val="00E15345"/>
    <w:rsid w:val="00E70B1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7FB"/>
    <w:pPr>
      <w:spacing w:after="0"/>
    </w:pPr>
    <w:rPr>
      <w:rFonts w:ascii="Arial" w:eastAsia="Arial" w:hAnsi="Arial" w:cs="Arial"/>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0">
    <w:name w:val="normal"/>
    <w:rsid w:val="009257FB"/>
    <w:pPr>
      <w:spacing w:after="0"/>
    </w:pPr>
    <w:rPr>
      <w:rFonts w:ascii="Arial" w:eastAsia="Arial" w:hAnsi="Arial" w:cs="Arial"/>
      <w:lang w:eastAsia="pt-BR"/>
    </w:rPr>
  </w:style>
  <w:style w:type="paragraph" w:styleId="Textodenotaderodap">
    <w:name w:val="footnote text"/>
    <w:basedOn w:val="Normal"/>
    <w:link w:val="TextodenotaderodapChar"/>
    <w:uiPriority w:val="99"/>
    <w:semiHidden/>
    <w:unhideWhenUsed/>
    <w:rsid w:val="00DB5308"/>
    <w:pPr>
      <w:spacing w:line="240" w:lineRule="auto"/>
    </w:pPr>
    <w:rPr>
      <w:sz w:val="20"/>
      <w:szCs w:val="20"/>
    </w:rPr>
  </w:style>
  <w:style w:type="character" w:customStyle="1" w:styleId="TextodenotaderodapChar">
    <w:name w:val="Texto de nota de rodapé Char"/>
    <w:basedOn w:val="Fontepargpadro"/>
    <w:link w:val="Textodenotaderodap"/>
    <w:uiPriority w:val="99"/>
    <w:semiHidden/>
    <w:rsid w:val="00DB5308"/>
    <w:rPr>
      <w:rFonts w:ascii="Arial" w:eastAsia="Arial" w:hAnsi="Arial" w:cs="Arial"/>
      <w:sz w:val="20"/>
      <w:szCs w:val="20"/>
      <w:lang w:eastAsia="pt-BR"/>
    </w:rPr>
  </w:style>
  <w:style w:type="character" w:styleId="Refdenotaderodap">
    <w:name w:val="footnote reference"/>
    <w:basedOn w:val="Fontepargpadro"/>
    <w:uiPriority w:val="99"/>
    <w:semiHidden/>
    <w:unhideWhenUsed/>
    <w:rsid w:val="00DB5308"/>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fess.org.br/cbas2022/uploads/finais/0000000349.pdf"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fess.org.br/cbas2022/uploads/finais/0000000349.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150.162.8.240/PNAP_2013_2/Modulo_4/Organizacao_processos_tomada_decisao/material_didatico/textos/Descentraliza%C3%A7%C3%A3o%20e%20intersetorialidade%20na%20gest%C3%A3o%20p%C3%BAblica%20municipal.pdf" TargetMode="External"/><Relationship Id="rId4" Type="http://schemas.openxmlformats.org/officeDocument/2006/relationships/webSettings" Target="webSettings.xml"/><Relationship Id="rId9" Type="http://schemas.openxmlformats.org/officeDocument/2006/relationships/hyperlink" Target="http://150.162.8.240/PNAP_2013_2/Modulo_4/Organizacao_processos_tomada_decisao/material_didatico/textos/Descentraliza%C3%A7%C3%A3o%20e%20intersetorialidade%20na%20gest%C3%A3o%20p%C3%BAblica%20municip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A14EB-F0C7-4427-A7C7-4453B477D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11</Pages>
  <Words>3356</Words>
  <Characters>18123</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Tatiany Fernandes</dc:creator>
  <cp:lastModifiedBy>Tatiany Fernandes</cp:lastModifiedBy>
  <cp:revision>4</cp:revision>
  <dcterms:created xsi:type="dcterms:W3CDTF">2025-07-05T23:18:00Z</dcterms:created>
  <dcterms:modified xsi:type="dcterms:W3CDTF">2025-07-06T17:48:00Z</dcterms:modified>
</cp:coreProperties>
</file>