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BF9" w:rsidRDefault="00AC4627" w:rsidP="0064624E">
      <w:pPr>
        <w:spacing w:before="120" w:after="120" w:line="240" w:lineRule="auto"/>
        <w:ind w:firstLine="0"/>
        <w:jc w:val="center"/>
      </w:pPr>
      <w:r w:rsidRPr="00555832">
        <w:rPr>
          <w:b/>
          <w:bCs/>
        </w:rPr>
        <w:t>A JUSTIÇA DIGITAL COMO ALIADA DA SEGURIDADE SOCIAL</w:t>
      </w:r>
      <w:r w:rsidRPr="00555832">
        <w:rPr>
          <w:b/>
          <w:bCs/>
        </w:rPr>
        <w:t>:</w:t>
      </w:r>
      <w:r w:rsidRPr="002B6C58">
        <w:t xml:space="preserve"> Desafios e Potencial da Arbitragem Online na Inclusão de Populações Vulneráveis</w:t>
      </w:r>
      <w:r>
        <w:t>.</w:t>
      </w:r>
    </w:p>
    <w:p w:rsidR="0064624E" w:rsidRDefault="00AC4627" w:rsidP="0064624E">
      <w:pPr>
        <w:spacing w:after="0" w:line="240" w:lineRule="auto"/>
        <w:ind w:firstLine="0"/>
        <w:jc w:val="center"/>
      </w:pPr>
    </w:p>
    <w:p w:rsidR="00E06BF9" w:rsidRDefault="00AC4627" w:rsidP="0064624E">
      <w:pPr>
        <w:spacing w:after="0" w:line="240" w:lineRule="auto"/>
        <w:ind w:left="10" w:right="-12" w:firstLine="0"/>
        <w:jc w:val="right"/>
      </w:pPr>
      <w:r>
        <w:t>Beatriz Dias Carneiro</w:t>
      </w:r>
      <w:r>
        <w:rPr>
          <w:vertAlign w:val="superscript"/>
        </w:rPr>
        <w:footnoteReference w:id="1"/>
      </w:r>
      <w:r>
        <w:t xml:space="preserve"> </w:t>
      </w:r>
    </w:p>
    <w:p w:rsidR="00E06BF9" w:rsidRDefault="00AC4627" w:rsidP="0064624E">
      <w:pPr>
        <w:spacing w:after="0" w:line="240" w:lineRule="auto"/>
        <w:ind w:left="10" w:right="-12" w:firstLine="0"/>
        <w:jc w:val="right"/>
      </w:pPr>
      <w:r>
        <w:t>Havilla Zaine Resplandes</w:t>
      </w:r>
      <w:r>
        <w:rPr>
          <w:vertAlign w:val="superscript"/>
        </w:rPr>
        <w:footnoteReference w:id="2"/>
      </w:r>
      <w:r>
        <w:t xml:space="preserve"> </w:t>
      </w:r>
    </w:p>
    <w:p w:rsidR="00E06BF9" w:rsidRDefault="00AC4627" w:rsidP="0064624E">
      <w:pPr>
        <w:spacing w:after="0" w:line="240" w:lineRule="auto"/>
        <w:ind w:left="2835" w:right="0" w:firstLine="0"/>
        <w:jc w:val="left"/>
      </w:pPr>
    </w:p>
    <w:p w:rsidR="00697F9E" w:rsidRDefault="00697F9E" w:rsidP="0064624E">
      <w:pPr>
        <w:spacing w:after="0" w:line="240" w:lineRule="auto"/>
        <w:ind w:left="2835" w:right="0" w:firstLine="0"/>
        <w:jc w:val="left"/>
      </w:pPr>
      <w:bookmarkStart w:id="0" w:name="_GoBack"/>
      <w:bookmarkEnd w:id="0"/>
    </w:p>
    <w:p w:rsidR="00E06BF9" w:rsidRPr="0064624E" w:rsidRDefault="00AC4627" w:rsidP="0064624E">
      <w:pPr>
        <w:pStyle w:val="Ttulo1"/>
        <w:spacing w:line="240" w:lineRule="auto"/>
        <w:ind w:left="2830" w:firstLine="0"/>
        <w:rPr>
          <w:sz w:val="22"/>
          <w:szCs w:val="28"/>
        </w:rPr>
      </w:pPr>
      <w:r w:rsidRPr="0064624E">
        <w:rPr>
          <w:sz w:val="22"/>
          <w:szCs w:val="28"/>
        </w:rPr>
        <w:t xml:space="preserve">Resumo </w:t>
      </w:r>
    </w:p>
    <w:p w:rsidR="00CF2135" w:rsidRDefault="00AC4627" w:rsidP="0064624E">
      <w:pPr>
        <w:spacing w:after="0" w:line="240" w:lineRule="auto"/>
        <w:ind w:left="2835" w:right="0" w:firstLine="0"/>
        <w:rPr>
          <w:sz w:val="20"/>
          <w:szCs w:val="20"/>
        </w:rPr>
      </w:pPr>
      <w:r w:rsidRPr="00F52D15">
        <w:rPr>
          <w:sz w:val="20"/>
          <w:szCs w:val="20"/>
        </w:rPr>
        <w:t xml:space="preserve">A morosidade na concessão de benefícios </w:t>
      </w:r>
      <w:r w:rsidRPr="00F52D15">
        <w:rPr>
          <w:sz w:val="20"/>
          <w:szCs w:val="20"/>
        </w:rPr>
        <w:t>sociais e a sobrecarga do Judiciário evidenciam entraves estruturais da seguridade social brasileira, agravados pelo subfinanciamento, pela burocracia e pela desigualdade de acesso</w:t>
      </w:r>
      <w:r>
        <w:rPr>
          <w:sz w:val="20"/>
          <w:szCs w:val="20"/>
        </w:rPr>
        <w:t xml:space="preserve">. </w:t>
      </w:r>
      <w:r w:rsidRPr="00CF2135">
        <w:rPr>
          <w:sz w:val="20"/>
          <w:szCs w:val="20"/>
        </w:rPr>
        <w:t>Este artigo analisa os entraves da seguridade social brasileira e propõe a</w:t>
      </w:r>
      <w:r w:rsidRPr="00CF2135">
        <w:rPr>
          <w:sz w:val="20"/>
          <w:szCs w:val="20"/>
        </w:rPr>
        <w:t xml:space="preserve"> arbitragem eletrônica como instrumento de desjudicialização voltado à inclusão de populações vulneráveis. A pesquisa, de natureza qualitativa, articula revisão bibliográfica e análise normativa, com base em autores como Didier Jr., Mauriel e Torres. Argum</w:t>
      </w:r>
      <w:r w:rsidRPr="00CF2135">
        <w:rPr>
          <w:sz w:val="20"/>
          <w:szCs w:val="20"/>
        </w:rPr>
        <w:t>enta-se que a justiça digital, integrada à lógica da Justiça Multiportas, pode contribuir para a universalização dos direitos sociais, desde que acompanhada de regulação adequada, inclusão digital e capacitação técnica. Conclui-se pela necessidade de insti</w:t>
      </w:r>
      <w:r w:rsidRPr="00CF2135">
        <w:rPr>
          <w:sz w:val="20"/>
          <w:szCs w:val="20"/>
        </w:rPr>
        <w:t>tucionalização de mecanismos como o Programa Nacional de Arbitragem Digital para Direitos Sociais (PNADDS), com vistas à efetividade do acesso à justiça e à proteção social.</w:t>
      </w:r>
      <w:r>
        <w:rPr>
          <w:sz w:val="20"/>
          <w:szCs w:val="20"/>
        </w:rPr>
        <w:t xml:space="preserve"> </w:t>
      </w:r>
    </w:p>
    <w:p w:rsidR="00F3150D" w:rsidRPr="00F3150D" w:rsidRDefault="00AC4627" w:rsidP="0064624E">
      <w:pPr>
        <w:spacing w:after="0" w:line="240" w:lineRule="auto"/>
        <w:ind w:left="2835" w:right="0" w:firstLine="0"/>
        <w:rPr>
          <w:sz w:val="20"/>
          <w:szCs w:val="20"/>
        </w:rPr>
      </w:pPr>
      <w:r w:rsidRPr="00F52D15">
        <w:rPr>
          <w:b/>
          <w:bCs/>
          <w:sz w:val="20"/>
          <w:szCs w:val="20"/>
        </w:rPr>
        <w:t>Palavras-chave</w:t>
      </w:r>
      <w:r w:rsidRPr="00F52D15">
        <w:rPr>
          <w:sz w:val="20"/>
          <w:szCs w:val="20"/>
        </w:rPr>
        <w:t>: Seguridade social. Arbitragem eletrônica. Justiça multiportas.</w:t>
      </w:r>
    </w:p>
    <w:p w:rsidR="0064624E" w:rsidRDefault="00AC4627" w:rsidP="0064624E">
      <w:pPr>
        <w:pStyle w:val="Ttulo1"/>
        <w:spacing w:line="240" w:lineRule="auto"/>
        <w:ind w:left="2830" w:firstLine="0"/>
        <w:rPr>
          <w:sz w:val="22"/>
          <w:szCs w:val="28"/>
        </w:rPr>
      </w:pPr>
    </w:p>
    <w:p w:rsidR="00F90CCC" w:rsidRPr="0064624E" w:rsidRDefault="00AC4627" w:rsidP="0064624E">
      <w:pPr>
        <w:pStyle w:val="Ttulo1"/>
        <w:spacing w:line="240" w:lineRule="auto"/>
        <w:ind w:left="2830" w:firstLine="0"/>
        <w:rPr>
          <w:sz w:val="22"/>
          <w:szCs w:val="28"/>
        </w:rPr>
      </w:pPr>
      <w:r w:rsidRPr="0064624E">
        <w:rPr>
          <w:sz w:val="22"/>
          <w:szCs w:val="28"/>
        </w:rPr>
        <w:t>A</w:t>
      </w:r>
      <w:r w:rsidRPr="0064624E">
        <w:rPr>
          <w:sz w:val="22"/>
          <w:szCs w:val="28"/>
        </w:rPr>
        <w:t xml:space="preserve">bstract </w:t>
      </w:r>
    </w:p>
    <w:p w:rsidR="00903CC6" w:rsidRPr="0064624E" w:rsidRDefault="00AC4627" w:rsidP="0064624E">
      <w:pPr>
        <w:spacing w:after="0" w:line="240" w:lineRule="auto"/>
        <w:ind w:left="2845" w:right="0" w:firstLine="0"/>
        <w:rPr>
          <w:sz w:val="20"/>
        </w:rPr>
      </w:pPr>
      <w:r w:rsidRPr="0064624E">
        <w:rPr>
          <w:sz w:val="20"/>
        </w:rPr>
        <w:t>Delays in the provision of social benefits and the overload of the Judiciary reveal structural barriers in Brazil’s social security system, worsened by underfunding, bureaucracy, and unequal access. This article analyzes the challenges faced by Br</w:t>
      </w:r>
      <w:r w:rsidRPr="0064624E">
        <w:rPr>
          <w:sz w:val="20"/>
        </w:rPr>
        <w:t>azil's social security system and proposes electronic arbitration as a dejudicialization tool aimed at including vulnerable populations. This qualitative research combines bibliographic review and normative analysis, drawing on scholars such as Didier Jr.,</w:t>
      </w:r>
      <w:r w:rsidRPr="0064624E">
        <w:rPr>
          <w:sz w:val="20"/>
        </w:rPr>
        <w:t xml:space="preserve"> Mauriel, and Torres. The argument is that digital justice, integrated into the Multi-door Justice system, can contribute to the universalization of social rights, provided it is accompanied by appropriate regulation, digital inclusion, and technical train</w:t>
      </w:r>
      <w:r w:rsidRPr="0064624E">
        <w:rPr>
          <w:sz w:val="20"/>
        </w:rPr>
        <w:t>ing. The study concludes by advocating for the institutionalization of mechanisms such as the National Digital Arbitration Program for Social Rights (PNADDS), with a view to ensuring effective access to justice and social protection.</w:t>
      </w:r>
    </w:p>
    <w:p w:rsidR="0064624E" w:rsidRDefault="00AC4627" w:rsidP="0064624E">
      <w:pPr>
        <w:spacing w:after="0" w:line="240" w:lineRule="auto"/>
        <w:ind w:left="2845" w:right="0" w:firstLine="0"/>
        <w:rPr>
          <w:sz w:val="20"/>
        </w:rPr>
      </w:pPr>
      <w:r w:rsidRPr="00F90CCC">
        <w:rPr>
          <w:b/>
          <w:bCs/>
          <w:sz w:val="20"/>
        </w:rPr>
        <w:t>Keywords</w:t>
      </w:r>
      <w:r w:rsidRPr="00F90CCC">
        <w:rPr>
          <w:sz w:val="20"/>
        </w:rPr>
        <w:t xml:space="preserve">: Social </w:t>
      </w:r>
      <w:r w:rsidRPr="00F90CCC">
        <w:rPr>
          <w:sz w:val="20"/>
        </w:rPr>
        <w:t>security. Online arbitration. Multi-door justice.</w:t>
      </w:r>
      <w:r>
        <w:rPr>
          <w:sz w:val="20"/>
        </w:rPr>
        <w:br w:type="page"/>
      </w:r>
    </w:p>
    <w:p w:rsidR="00E06BF9" w:rsidRDefault="00AC4627">
      <w:pPr>
        <w:tabs>
          <w:tab w:val="center" w:pos="1533"/>
        </w:tabs>
        <w:spacing w:after="150" w:line="250" w:lineRule="auto"/>
        <w:ind w:left="-15" w:right="0" w:firstLine="0"/>
        <w:jc w:val="left"/>
      </w:pPr>
      <w:r>
        <w:rPr>
          <w:b/>
        </w:rPr>
        <w:lastRenderedPageBreak/>
        <w:t xml:space="preserve">1 </w:t>
      </w:r>
      <w:r>
        <w:rPr>
          <w:b/>
        </w:rPr>
        <w:tab/>
        <w:t xml:space="preserve">INTRODUÇÃO </w:t>
      </w:r>
    </w:p>
    <w:p w:rsidR="0064624E" w:rsidRDefault="00AC4627" w:rsidP="0064624E">
      <w:pPr>
        <w:ind w:firstLine="0"/>
      </w:pPr>
    </w:p>
    <w:p w:rsidR="00B9641B" w:rsidRDefault="00AC4627" w:rsidP="00477551">
      <w:r w:rsidRPr="00525CCF">
        <w:t>A crise estrutural da Seguridade Social brasileira marcada pelo subfinanciamento crônico, pela burocracia excessiva e pela desigualdade de acesso impõe a necessidade de repensar os mecanism</w:t>
      </w:r>
      <w:r w:rsidRPr="00525CCF">
        <w:t xml:space="preserve">os de efetivação dos direitos sociais. Nesse cenário, a arbitragem eletrônica emerge como uma ferramenta estratégica capaz de mitigar tais impasses e ampliar o acesso à justiça, sobretudo para populações vulneráveis. </w:t>
      </w:r>
    </w:p>
    <w:p w:rsidR="00477551" w:rsidRDefault="00AC4627" w:rsidP="00477551">
      <w:pPr>
        <w:rPr>
          <w:rFonts w:ascii="Times New Roman" w:eastAsia="Times New Roman" w:hAnsi="Times New Roman" w:cs="Times New Roman"/>
        </w:rPr>
      </w:pPr>
      <w:r w:rsidRPr="00525CCF">
        <w:t xml:space="preserve">Conforme destaca Fredie Didier Jr. na </w:t>
      </w:r>
      <w:r w:rsidRPr="00525CCF">
        <w:t xml:space="preserve">obra </w:t>
      </w:r>
      <w:r w:rsidRPr="00525CCF">
        <w:rPr>
          <w:i/>
          <w:iCs/>
        </w:rPr>
        <w:t>Introdução à Justiça Multiportas</w:t>
      </w:r>
      <w:r w:rsidRPr="00525CCF">
        <w:t xml:space="preserve"> (2025), o sistema multiportas permite o livre trânsito entre técnicas de resolução de conflitos, inclusive em ambiente digital, promovendo uma justiça mais flexível e responsiva às demandas sociais. A arbitragem eletrô</w:t>
      </w:r>
      <w:r w:rsidRPr="00525CCF">
        <w:t>nica, ao eliminar barreiras geográficas e reduzir custos operacionais, favorece a celeridade processual e a inclusão digital, o que se mostra especialmente relevante no contexto da seguridade social. Tal inovação dialoga com a proposta constitucional de un</w:t>
      </w:r>
      <w:r w:rsidRPr="00525CCF">
        <w:t>iversalização dos direitos, ao propor soluções ágeis e acessíveis diante da morosidade judicial e da fragmentação institucional.</w:t>
      </w:r>
      <w:r w:rsidRPr="00521878">
        <w:rPr>
          <w:rFonts w:ascii="Times New Roman" w:eastAsia="Times New Roman" w:hAnsi="Times New Roman" w:cs="Times New Roman"/>
        </w:rPr>
        <w:t xml:space="preserve"> </w:t>
      </w:r>
    </w:p>
    <w:p w:rsidR="00477551" w:rsidRPr="00521878" w:rsidRDefault="00AC4627" w:rsidP="0064624E">
      <w:r w:rsidRPr="00521878">
        <w:t>Diante dos desafios históricos enfrentados pela seguridade social brasileira</w:t>
      </w:r>
      <w:r>
        <w:t xml:space="preserve"> </w:t>
      </w:r>
      <w:r w:rsidRPr="00521878">
        <w:t>como o subfinanciamento, a burocracia e a desigua</w:t>
      </w:r>
      <w:r w:rsidRPr="00521878">
        <w:t xml:space="preserve">ldade de acesso, torna-se essencial repensar as estratégias de efetivação de direitos sociais, especialmente no que diz respeito à resolução de conflitos envolvendo benefícios assistenciais, previdenciários e de saúde. Nesse contexto, a </w:t>
      </w:r>
      <w:r w:rsidRPr="00B9641B">
        <w:t>arbitragem eletrôni</w:t>
      </w:r>
      <w:r w:rsidRPr="00B9641B">
        <w:t>ca</w:t>
      </w:r>
      <w:r w:rsidRPr="00521878">
        <w:t xml:space="preserve"> surge como uma alternativa inovadora e eficaz de </w:t>
      </w:r>
      <w:r w:rsidRPr="00B9641B">
        <w:t>desjudicialização</w:t>
      </w:r>
      <w:r w:rsidRPr="00521878">
        <w:t>, contribuindo para a ampliação do acesso à justiça social de forma mais célere, simples e democrática.</w:t>
      </w:r>
    </w:p>
    <w:p w:rsidR="00477551" w:rsidRPr="00521878" w:rsidRDefault="00AC4627" w:rsidP="00477551">
      <w:r w:rsidRPr="00521878">
        <w:t xml:space="preserve">A arbitragem, regulamentada no Brasil pela </w:t>
      </w:r>
      <w:r w:rsidRPr="00B9641B">
        <w:t>Lei nº 9.307/1996</w:t>
      </w:r>
      <w:r w:rsidRPr="00521878">
        <w:t>, tradicionalmente vinc</w:t>
      </w:r>
      <w:r w:rsidRPr="00521878">
        <w:t xml:space="preserve">ulada a conflitos empresariais, tem ganhado novos contornos com a incorporação de recursos tecnológicos. A </w:t>
      </w:r>
      <w:r w:rsidRPr="00B9641B">
        <w:t>arbitragem eletrônica</w:t>
      </w:r>
      <w:r w:rsidRPr="00521878">
        <w:t xml:space="preserve"> utiliza plataformas digitais para tramitação de processos, o que reduz custos operacionais, evita deslocamentos e acelera prazo</w:t>
      </w:r>
      <w:r w:rsidRPr="00521878">
        <w:t xml:space="preserve">s decisórios elementos que podem ser decisivos para populações com acesso limitado aos meios tradicionais de justiça. A partir de uma perspectiva inclusiva, </w:t>
      </w:r>
      <w:r w:rsidRPr="00521878">
        <w:lastRenderedPageBreak/>
        <w:t>esse modelo pode funcionar como ponte entre o cidadão e seus direitos, superando as barreiras da bu</w:t>
      </w:r>
      <w:r w:rsidRPr="00521878">
        <w:t>rocracia e da morosidade institucional que tanto marcam a experiência dos usuários da seguridade social.</w:t>
      </w:r>
    </w:p>
    <w:p w:rsidR="00477551" w:rsidRPr="00B9641B" w:rsidRDefault="00AC4627" w:rsidP="00477551">
      <w:r w:rsidRPr="00521878">
        <w:t>Além disso, ao desafogar o Judiciário de demandas repetitivas e de massa como revisões de benefícios do INSS, por exemplo, a arbitragem eletrônica cont</w:t>
      </w:r>
      <w:r w:rsidRPr="00521878">
        <w:t xml:space="preserve">ribui para que o Estado concentre esforços na formulação de </w:t>
      </w:r>
      <w:r w:rsidRPr="00B9641B">
        <w:t xml:space="preserve">políticas públicas mais eficazes e responsivas. </w:t>
      </w:r>
    </w:p>
    <w:p w:rsidR="00477551" w:rsidRPr="00521878" w:rsidRDefault="00AC4627" w:rsidP="00477551">
      <w:r w:rsidRPr="00521878">
        <w:t xml:space="preserve">Segundo </w:t>
      </w:r>
      <w:r w:rsidRPr="00B9641B">
        <w:t>Mauriel (2020</w:t>
      </w:r>
      <w:r w:rsidRPr="00521878">
        <w:rPr>
          <w:b/>
          <w:bCs/>
        </w:rPr>
        <w:t>)</w:t>
      </w:r>
      <w:r w:rsidRPr="00521878">
        <w:t>, a construção de sistemas universais de proteção social requer inovação institucional e compromisso político com a democrati</w:t>
      </w:r>
      <w:r w:rsidRPr="00521878">
        <w:t>zação do acesso. A arbitragem eletrônica pode, portanto, ser</w:t>
      </w:r>
      <w:r>
        <w:t xml:space="preserve"> </w:t>
      </w:r>
      <w:r w:rsidRPr="00521878">
        <w:t xml:space="preserve">compreendida </w:t>
      </w:r>
      <w:r w:rsidRPr="00B9641B">
        <w:t>como parte de um ecossistema de justiça ampliado</w:t>
      </w:r>
      <w:r w:rsidRPr="00521878">
        <w:t>, que atua de forma complementar à atuação estatal, reforçando os princípios constitucionais da dignidade da pessoa humana, da eficiên</w:t>
      </w:r>
      <w:r w:rsidRPr="00521878">
        <w:t>cia administrativa e da justiça social.</w:t>
      </w:r>
    </w:p>
    <w:p w:rsidR="00903CC6" w:rsidRDefault="00AC4627" w:rsidP="0064624E">
      <w:r w:rsidRPr="00521878">
        <w:t xml:space="preserve">Contudo, a efetiva implementação desse modelo depende de investimentos em </w:t>
      </w:r>
      <w:r w:rsidRPr="00B9641B">
        <w:t>educação digital, infraestrutura tecnológica e capacitação de profissionais, bem como da criação de marcos legais mais claros quanto à possibi</w:t>
      </w:r>
      <w:r w:rsidRPr="00B9641B">
        <w:t>lidade de s</w:t>
      </w:r>
      <w:r w:rsidRPr="00521878">
        <w:t>ua aplicação em demandas de natureza pública. É necessário garantir que a arbitragem online não se torne mais um espaço de exclusão, mas sim um instrumento de transformação institucional comprometido com a equidade e o fortalecimento da segurida</w:t>
      </w:r>
      <w:r w:rsidRPr="00521878">
        <w:t>de social.</w:t>
      </w:r>
    </w:p>
    <w:p w:rsidR="00390FA6" w:rsidRPr="00390FA6" w:rsidRDefault="00AC4627" w:rsidP="00390FA6">
      <w:pPr>
        <w:ind w:left="-15" w:right="0"/>
      </w:pPr>
      <w:r w:rsidRPr="00390FA6">
        <w:t>As inovações tecnológicas têm transformado os métodos de resolução de conflitos, e a arbitragem eletrônica desponta como uma alternativa promissora para ampliar o acesso à justiça e enfrentar os desafios impostos pela judicialização excessiva. A</w:t>
      </w:r>
      <w:r w:rsidRPr="00390FA6">
        <w:t xml:space="preserve"> adoção de sistemas digitais por câmaras arbitrais representa um avanço significativo em direção à celeridade, à eficiência e à redução de custos, especialmente em demandas de menor complexidade, como destaca Gallo (2020).</w:t>
      </w:r>
    </w:p>
    <w:p w:rsidR="00390FA6" w:rsidRPr="00390FA6" w:rsidRDefault="00AC4627" w:rsidP="00390FA6">
      <w:pPr>
        <w:ind w:left="-15" w:right="0"/>
      </w:pPr>
      <w:r w:rsidRPr="00390FA6">
        <w:t>Com a promulgação da Lei nº 11.41</w:t>
      </w:r>
      <w:r w:rsidRPr="00390FA6">
        <w:t>9, de 19 de dezembro de 2006, que dispõe sobre a informatização do processo judicial, abriu-se espaço também para a modernização da arbitragem. Essa legislação permite, por analogia, a tramitação eletrônica de peças, o controle automatizado de prazos e a r</w:t>
      </w:r>
      <w:r w:rsidRPr="00390FA6">
        <w:t xml:space="preserve">ealização de audiências </w:t>
      </w:r>
      <w:r w:rsidRPr="00390FA6">
        <w:lastRenderedPageBreak/>
        <w:t>virtuais via videoconferência, o que beneficia procedimentos arbitrais realizados à distância.</w:t>
      </w:r>
    </w:p>
    <w:p w:rsidR="00390FA6" w:rsidRPr="00390FA6" w:rsidRDefault="00AC4627" w:rsidP="00390FA6">
      <w:pPr>
        <w:ind w:left="-15" w:right="0"/>
      </w:pPr>
      <w:r w:rsidRPr="00390FA6">
        <w:t xml:space="preserve">No Brasil, instituições como a Câmara de Arbitragem do Mercado e a CAMES já utilizam plataformas digitais, promovendo audiências remotas </w:t>
      </w:r>
      <w:r w:rsidRPr="00390FA6">
        <w:t>e garantindo o armazenamento seguro de documentos em nuvem. Essa transformação digital favorece não apenas a eficiência, mas também a inclusão de cidadãos em regiões remotas, superando barreiras logísticas e econômicas, e tornando a arbitragem mais acessív</w:t>
      </w:r>
      <w:r w:rsidRPr="00390FA6">
        <w:t>el à população em situação de vulnerabilidade social.</w:t>
      </w:r>
    </w:p>
    <w:p w:rsidR="00390FA6" w:rsidRPr="00390FA6" w:rsidRDefault="00AC4627" w:rsidP="00390FA6">
      <w:pPr>
        <w:ind w:left="-15" w:right="0"/>
      </w:pPr>
      <w:r w:rsidRPr="00390FA6">
        <w:t>Para Didier Jr. (2013</w:t>
      </w:r>
      <w:r>
        <w:t>, p.73</w:t>
      </w:r>
      <w:r w:rsidRPr="00390FA6">
        <w:t>), “a arbitragem deve ser compreendida como uma atividade jurisdicional autônoma, dotada de força normativa e vinculante”, o que legitima sua atuação no ordenamento jurídico e</w:t>
      </w:r>
      <w:r w:rsidRPr="00390FA6">
        <w:t xml:space="preserve"> autoriza sua cooperação com o Poder Judiciário por meio do instrumento da carta arbitral. Essa possibilidade reforça a integração da arbitragem ao modelo de justiça multiportas, voltado à pluralidade de métodos para resolução de conflitos, fortalecendo a </w:t>
      </w:r>
      <w:r w:rsidRPr="00390FA6">
        <w:t>ideia de um sistema de justiça mais eficiente, colaborativo e acessível.</w:t>
      </w:r>
    </w:p>
    <w:p w:rsidR="002A4A40" w:rsidRPr="002A4A40" w:rsidRDefault="00AC4627" w:rsidP="0064624E">
      <w:pPr>
        <w:ind w:left="-15" w:right="0"/>
      </w:pPr>
      <w:r w:rsidRPr="002A4A40">
        <w:t xml:space="preserve">A Justiça Multiportas, concebida como política pública no Brasil, representa uma mudança paradigmática na forma de tratar os conflitos jurídicos, ao promover a coexistência e </w:t>
      </w:r>
      <w:r w:rsidRPr="002A4A40">
        <w:t>integração de diversos métodos de resolução</w:t>
      </w:r>
      <w:r>
        <w:t xml:space="preserve"> </w:t>
      </w:r>
      <w:r w:rsidRPr="002A4A40">
        <w:t>como mediação, conciliação e arbitragem</w:t>
      </w:r>
      <w:r>
        <w:t xml:space="preserve"> </w:t>
      </w:r>
      <w:r w:rsidRPr="002A4A40">
        <w:t xml:space="preserve">ajustados às particularidades de cada demanda. Esse modelo visa garantir soluções mais ágeis, colaborativas e eficazes, ao mesmo tempo em que busca reduzir a sobrecarga do </w:t>
      </w:r>
      <w:r w:rsidRPr="002A4A40">
        <w:t>Judiciário tradicional.</w:t>
      </w:r>
    </w:p>
    <w:p w:rsidR="002A4A40" w:rsidRPr="002A4A40" w:rsidRDefault="00AC4627" w:rsidP="002A4A40">
      <w:pPr>
        <w:ind w:left="-15" w:right="0"/>
      </w:pPr>
      <w:r w:rsidRPr="002A4A40">
        <w:t>Conforme destacam Didier Jr. e Fernandez (2025</w:t>
      </w:r>
      <w:r>
        <w:t>, p.182</w:t>
      </w:r>
      <w:r w:rsidRPr="002A4A40">
        <w:t>), trata-se de um sistema auto-organizado, estruturado sob a normatividade do Código de Processo Civil, que viabiliza o “livre trânsito entre portas”, inclusive digitais. Essa lóg</w:t>
      </w:r>
      <w:r w:rsidRPr="002A4A40">
        <w:t>ica permite que os sujeitos do processo optem por meios mais adequados à natureza da controvérsia, valorizando a autonomia privada, a eficiência procedimental e a inclusão social.</w:t>
      </w:r>
    </w:p>
    <w:p w:rsidR="002A4A40" w:rsidRPr="002A4A40" w:rsidRDefault="00AC4627" w:rsidP="002A4A40">
      <w:pPr>
        <w:ind w:left="-15" w:right="0"/>
      </w:pPr>
      <w:r w:rsidRPr="002A4A40">
        <w:t>Essa abordagem favorece a descentralização da justiça e a ampliação do acess</w:t>
      </w:r>
      <w:r w:rsidRPr="002A4A40">
        <w:t xml:space="preserve">o, especialmente em contextos de vulnerabilidade social. Como aponta estudo publicado na Revista Políticas Públicas &amp; Cidades (2024), a Justiça Multiportas tem </w:t>
      </w:r>
      <w:r w:rsidRPr="002A4A40">
        <w:lastRenderedPageBreak/>
        <w:t>se mostrado eficaz na promoção da pacificação social, desde que seus mecanismos alternativos sej</w:t>
      </w:r>
      <w:r w:rsidRPr="002A4A40">
        <w:t>am efetivamente implementados, interiorizados e expandidos.</w:t>
      </w:r>
      <w:r>
        <w:t xml:space="preserve"> (2024,</w:t>
      </w:r>
      <w:r>
        <w:t xml:space="preserve"> </w:t>
      </w:r>
      <w:r>
        <w:t>p.1-11)</w:t>
      </w:r>
    </w:p>
    <w:p w:rsidR="002A4A40" w:rsidRPr="002A4A40" w:rsidRDefault="00AC4627" w:rsidP="002A4A40">
      <w:pPr>
        <w:ind w:left="-15" w:right="0"/>
      </w:pPr>
      <w:r w:rsidRPr="002A4A40">
        <w:t xml:space="preserve">Nesse cenário, a arbitragem eletrônica não apenas se apresenta como uma das portas disponíveis, mas potencializa a inclusão digital, ao permitir que cidadãos em regiões remotas ou </w:t>
      </w:r>
      <w:r w:rsidRPr="002A4A40">
        <w:t>sem estrutura judiciária resolvam conflitos por meio de plataformas online. Iniciativas como os Pontos de Inclusão Digital (PIDs), promovidos pelo Conselho Nacional de Justiça (CNJ), reforçam essa política ao criar espaços públicos com infraestrutura tecno</w:t>
      </w:r>
      <w:r w:rsidRPr="002A4A40">
        <w:t>lógica para conexão com o Judiciário, viabilizando audiências virtuais e serviços jurídicos em localidades desassistidas.</w:t>
      </w:r>
    </w:p>
    <w:p w:rsidR="0064624E" w:rsidRDefault="00AC4627" w:rsidP="0064624E">
      <w:pPr>
        <w:ind w:left="-15" w:right="0"/>
      </w:pPr>
      <w:r w:rsidRPr="00D12D39">
        <w:t>A presente pesquisa tem por finalidade analisar a viabilidade da ampliação do uso da arbitragem eletrônica como mecanismo de desjudici</w:t>
      </w:r>
      <w:r w:rsidRPr="00D12D39">
        <w:t xml:space="preserve">alização e inclusão no âmbito da seguridade social brasileira. Busca-se propor caminhos normativos e institucionais para transformar a arbitragem online em uma ferramenta de acesso efetivo à justiça, sobretudo para a população de baixa renda, que enfrenta </w:t>
      </w:r>
      <w:r w:rsidRPr="00D12D39">
        <w:t xml:space="preserve">barreiras históricas de natureza econômica, estrutural e territorial. </w:t>
      </w:r>
    </w:p>
    <w:p w:rsidR="0064624E" w:rsidRDefault="00AC4627" w:rsidP="0064624E">
      <w:pPr>
        <w:ind w:left="-15" w:right="0"/>
      </w:pPr>
      <w:r w:rsidRPr="00D12D39">
        <w:t>Ao considerar os princípios constitucionais da dignidade da pessoa humana, da eficiência administrativa e da universalização dos direitos sociais, pretende-se demonstrar que a justiça d</w:t>
      </w:r>
      <w:r w:rsidRPr="00D12D39">
        <w:t>igital, quando corretamente implementada, pode atuar como política pública capaz de reduzir desigualdades e ampliar a proteção social.</w:t>
      </w:r>
      <w:r>
        <w:t xml:space="preserve"> </w:t>
      </w:r>
    </w:p>
    <w:p w:rsidR="00E06BF9" w:rsidRDefault="00AC4627" w:rsidP="0064624E">
      <w:pPr>
        <w:ind w:left="-15" w:right="0"/>
      </w:pPr>
      <w:r w:rsidRPr="00D12D39">
        <w:t>Trata-se de uma pesquisa de natureza qualitativa, com abordagem jurídico-propositiva, baseada na articulação entre revis</w:t>
      </w:r>
      <w:r w:rsidRPr="00D12D39">
        <w:t>ão bibliográfica, análise documental e estudo de doutrina especializada. A estrutura metodológica foi organizada em três eixos principais: (i) exame do marco normativo brasileiro, com destaque para a Constituição Federal, a Lei nº 9.307/1996 (Lei de Arbitr</w:t>
      </w:r>
      <w:r w:rsidRPr="00D12D39">
        <w:t>agem) e a Lei nº 11.419/2006 (Lei do Processo Eletrônico); (ii) análise doutrinária crítica, a partir de autores como Fredie Didier Jr., Thiago Pires, Ana Paula Ornellas Mauriel e Raquel Torres, que discutem os desafios da seguridade social e os caminhos d</w:t>
      </w:r>
      <w:r w:rsidRPr="00D12D39">
        <w:t xml:space="preserve">a justiça multiportas; e (iii) mapeamento de experiências institucionais voltadas à arbitragem eletrônica, como as </w:t>
      </w:r>
      <w:r w:rsidRPr="00D12D39">
        <w:lastRenderedPageBreak/>
        <w:t>câmaras digitais já em funcionamento no Brasil e os Pontos de Inclusão Digital (PIDs), promovidos pelo Conselho Nacional de Justiça.</w:t>
      </w:r>
      <w:r>
        <w:t xml:space="preserve"> </w:t>
      </w:r>
    </w:p>
    <w:p w:rsidR="00D12D39" w:rsidRDefault="00AC4627" w:rsidP="00D12D39">
      <w:pPr>
        <w:spacing w:after="1" w:line="360" w:lineRule="auto"/>
        <w:ind w:left="-15" w:right="-2"/>
        <w:rPr>
          <w:bCs/>
        </w:rPr>
      </w:pPr>
      <w:r w:rsidRPr="00D12D39">
        <w:rPr>
          <w:bCs/>
        </w:rPr>
        <w:t xml:space="preserve">O eixo </w:t>
      </w:r>
      <w:r w:rsidRPr="00D12D39">
        <w:rPr>
          <w:bCs/>
        </w:rPr>
        <w:t>documental da pesquisa compreende o levantamento e a interpretação de fontes normativas primárias — incluindo leis, resoluções e jurisprudência —, bem como de relatórios técnicos e documentos institucionais voltados à implementação de meios alternativos de</w:t>
      </w:r>
      <w:r w:rsidRPr="00D12D39">
        <w:rPr>
          <w:bCs/>
        </w:rPr>
        <w:t xml:space="preserve"> solução de conflitos. A análise documental permitiu compreender o estágio atual da arbitragem eletrônica no Brasil e identificar seus potenciais de expansão dentro das políticas públicas de acesso à justiça. Foram priorizados materiais que evidenciam a ad</w:t>
      </w:r>
      <w:r w:rsidRPr="00D12D39">
        <w:rPr>
          <w:bCs/>
        </w:rPr>
        <w:t>oção de ferramentas digitais em contextos de vulnerabilidade social, com foco em como tais práticas podem ser replicadas ou normatizadas no campo da seguridade social.</w:t>
      </w:r>
    </w:p>
    <w:p w:rsidR="00E74A27" w:rsidRDefault="00AC4627" w:rsidP="00C34124">
      <w:pPr>
        <w:spacing w:after="1" w:line="360" w:lineRule="auto"/>
        <w:ind w:left="-15" w:right="-2"/>
        <w:rPr>
          <w:bCs/>
        </w:rPr>
      </w:pPr>
      <w:r w:rsidRPr="00F24A2C">
        <w:rPr>
          <w:bCs/>
        </w:rPr>
        <w:t>Compreender os desafios enfrentados pela seguridade social brasileira exige recuperar se</w:t>
      </w:r>
      <w:r w:rsidRPr="00F24A2C">
        <w:rPr>
          <w:bCs/>
        </w:rPr>
        <w:t>us fundamentos históricos e as forças que moldaram sua configuração atual. Assim, examinar suas bases sociopolíticas é essencial para dimensionar a urgência de soluções institucionais inovadoras, como a que se propõe neste estudo.</w:t>
      </w:r>
      <w:r>
        <w:rPr>
          <w:bCs/>
        </w:rPr>
        <w:t xml:space="preserve"> </w:t>
      </w:r>
      <w:r w:rsidRPr="00E74A27">
        <w:rPr>
          <w:bCs/>
        </w:rPr>
        <w:t>Para fundamentar essa hip</w:t>
      </w:r>
      <w:r w:rsidRPr="00E74A27">
        <w:rPr>
          <w:bCs/>
        </w:rPr>
        <w:t>ótese, é necessário contextualizar os principais entraves estruturais que historicamente limitaram a realização plena dos direitos sociais no Brasil, especialmente no que se refere à efetividade da seguridade social.</w:t>
      </w:r>
    </w:p>
    <w:p w:rsidR="00081EC7" w:rsidRDefault="00AC4627" w:rsidP="00D12D39">
      <w:pPr>
        <w:spacing w:after="1" w:line="360" w:lineRule="auto"/>
        <w:ind w:left="-15" w:right="-2"/>
        <w:rPr>
          <w:bCs/>
        </w:rPr>
      </w:pPr>
    </w:p>
    <w:p w:rsidR="00081EC7" w:rsidRDefault="00AC4627" w:rsidP="00081EC7">
      <w:pPr>
        <w:tabs>
          <w:tab w:val="center" w:pos="2500"/>
        </w:tabs>
        <w:spacing w:after="150" w:line="250" w:lineRule="auto"/>
        <w:ind w:left="-15" w:right="0" w:firstLine="0"/>
        <w:jc w:val="left"/>
      </w:pPr>
      <w:r>
        <w:rPr>
          <w:b/>
        </w:rPr>
        <w:t xml:space="preserve">2 </w:t>
      </w:r>
      <w:r>
        <w:rPr>
          <w:b/>
        </w:rPr>
        <w:tab/>
        <w:t xml:space="preserve">BASES SOCIOPOLITICAS </w:t>
      </w:r>
    </w:p>
    <w:p w:rsidR="008B127E" w:rsidRDefault="00AC4627" w:rsidP="0054029E">
      <w:pPr>
        <w:spacing w:after="1" w:line="360" w:lineRule="auto"/>
        <w:ind w:left="-15" w:right="-2"/>
        <w:rPr>
          <w:bCs/>
        </w:rPr>
      </w:pPr>
    </w:p>
    <w:p w:rsidR="00E74A27" w:rsidRDefault="00AC4627" w:rsidP="0054029E">
      <w:pPr>
        <w:spacing w:after="1" w:line="360" w:lineRule="auto"/>
        <w:ind w:left="-15" w:right="-2"/>
        <w:rPr>
          <w:bCs/>
        </w:rPr>
      </w:pPr>
      <w:r w:rsidRPr="00E74A27">
        <w:rPr>
          <w:bCs/>
        </w:rPr>
        <w:t>O entendimen</w:t>
      </w:r>
      <w:r w:rsidRPr="00E74A27">
        <w:rPr>
          <w:bCs/>
        </w:rPr>
        <w:t>to dos desafios contemporâneos da seguridade social exige, portanto, um retorno às suas origens institucionais e à análise das forças políticas que moldaram sua arquitetura e seus impasses.</w:t>
      </w:r>
    </w:p>
    <w:p w:rsidR="00081EC7" w:rsidRPr="00081EC7" w:rsidRDefault="00AC4627" w:rsidP="0054029E">
      <w:pPr>
        <w:spacing w:after="1" w:line="360" w:lineRule="auto"/>
        <w:ind w:left="-15" w:right="-2"/>
        <w:rPr>
          <w:bCs/>
        </w:rPr>
      </w:pPr>
      <w:r w:rsidRPr="00081EC7">
        <w:rPr>
          <w:bCs/>
        </w:rPr>
        <w:t>A Seguridade Social brasileira, consolidada pela Constituição Fede</w:t>
      </w:r>
      <w:r w:rsidRPr="00081EC7">
        <w:rPr>
          <w:bCs/>
        </w:rPr>
        <w:t xml:space="preserve">ral de 1988, constitui um marco na promoção da dignidade da pessoa humana e da inclusão social. Estruturada nos pilares da saúde, da assistência e da previdência social, a seguridade fundamenta-se nos princípios da universalidade da cobertura, equidade no </w:t>
      </w:r>
      <w:r w:rsidRPr="00081EC7">
        <w:rPr>
          <w:bCs/>
        </w:rPr>
        <w:t xml:space="preserve">custeio e solidariedade intergeracional, sendo concebida como um sistema integrado de proteção social. No entanto, conforme aponta Jaccoud (2023), a efetividade desse </w:t>
      </w:r>
      <w:r w:rsidRPr="00081EC7">
        <w:rPr>
          <w:bCs/>
        </w:rPr>
        <w:lastRenderedPageBreak/>
        <w:t>sistema ainda é comprometida por desafios estruturais persistentes, como a fragmentação i</w:t>
      </w:r>
      <w:r w:rsidRPr="00081EC7">
        <w:rPr>
          <w:bCs/>
        </w:rPr>
        <w:t>nstitucional, a burocracia excessiva e a acentuada desigualdade regional, o que limita o acesso equitativo aos direitos garantidos constitucionalmente.</w:t>
      </w:r>
    </w:p>
    <w:p w:rsidR="00081EC7" w:rsidRPr="00081EC7" w:rsidRDefault="00AC4627" w:rsidP="00081EC7">
      <w:pPr>
        <w:spacing w:after="1" w:line="360" w:lineRule="auto"/>
        <w:ind w:left="-15" w:right="-2"/>
        <w:rPr>
          <w:bCs/>
        </w:rPr>
      </w:pPr>
      <w:r w:rsidRPr="00081EC7">
        <w:rPr>
          <w:bCs/>
        </w:rPr>
        <w:t>Nesse contexto, estudos do Instituto de Pesquisa Econômica Aplicada (IPEA) destacam que a modernização d</w:t>
      </w:r>
      <w:r w:rsidRPr="00081EC7">
        <w:rPr>
          <w:bCs/>
        </w:rPr>
        <w:t>a gestão pública e a integração intersetorial são estratégias fundamentais para superar os entraves históricos da seguridade. A análise revela que é necessário adotar mecanismos inovadores que descentralizem e diversifiquem os meios de efetivação dos direi</w:t>
      </w:r>
      <w:r w:rsidRPr="00081EC7">
        <w:rPr>
          <w:bCs/>
        </w:rPr>
        <w:t>tos sociais, respeitando as peculiaridades territoriais e sociais do país. Entre essas inovações, destaca-se a Justiça Multiportas, concebida como política pública que articula diferentes métodos de resolução de conflitos entre eles, a arbitragem eletrônic</w:t>
      </w:r>
      <w:r w:rsidRPr="00081EC7">
        <w:rPr>
          <w:bCs/>
        </w:rPr>
        <w:t>a e que permite soluções mais céleres, eficazes e adaptadas à complexidade das demandas sociais.</w:t>
      </w:r>
    </w:p>
    <w:p w:rsidR="00081EC7" w:rsidRPr="00081EC7" w:rsidRDefault="00AC4627" w:rsidP="00C34124">
      <w:pPr>
        <w:spacing w:after="1" w:line="360" w:lineRule="auto"/>
        <w:ind w:left="-15" w:right="-2"/>
        <w:rPr>
          <w:bCs/>
        </w:rPr>
      </w:pPr>
      <w:r w:rsidRPr="00081EC7">
        <w:rPr>
          <w:bCs/>
        </w:rPr>
        <w:t>Como afirmam Didier Jr. e Fernandez (2025</w:t>
      </w:r>
      <w:r>
        <w:rPr>
          <w:bCs/>
        </w:rPr>
        <w:t>,</w:t>
      </w:r>
      <w:r>
        <w:rPr>
          <w:bCs/>
        </w:rPr>
        <w:t xml:space="preserve"> </w:t>
      </w:r>
      <w:r>
        <w:rPr>
          <w:bCs/>
        </w:rPr>
        <w:t>p</w:t>
      </w:r>
      <w:r>
        <w:rPr>
          <w:bCs/>
        </w:rPr>
        <w:t xml:space="preserve">. </w:t>
      </w:r>
      <w:r>
        <w:rPr>
          <w:bCs/>
        </w:rPr>
        <w:t>179</w:t>
      </w:r>
      <w:r w:rsidRPr="00081EC7">
        <w:rPr>
          <w:bCs/>
        </w:rPr>
        <w:t>), a Justiça Multiportas configura-se como um sistema auto-organizado, regulado pelo Código de Processo Civil,</w:t>
      </w:r>
      <w:r w:rsidRPr="00081EC7">
        <w:rPr>
          <w:bCs/>
        </w:rPr>
        <w:t xml:space="preserve"> que permite o trânsito flexível entre métodos adjudicatórios e autocompositivos, inclusive no meio digital. Essa pluralidade de caminhos fortalece o princípio do acesso à justiça e amplia a capacidade do sistema de atender de forma mais sensível e eficien</w:t>
      </w:r>
      <w:r w:rsidRPr="00081EC7">
        <w:rPr>
          <w:bCs/>
        </w:rPr>
        <w:t>te os sujeitos em situação de vulnerabilidade. Em reforço, Souza et al. (2023) defendem que a efetivação dos direitos fundamentais demanda não apenas o reconhecimento jurídico, mas a diversificação concreta dos meios de realização desses direitos, consider</w:t>
      </w:r>
      <w:r w:rsidRPr="00081EC7">
        <w:rPr>
          <w:bCs/>
        </w:rPr>
        <w:t>ando as barreiras sociais, econômicas e culturais que impedem a população mais vulnerável de acessar o Judiciário tradicional.</w:t>
      </w:r>
    </w:p>
    <w:p w:rsidR="00081EC7" w:rsidRDefault="00AC4627" w:rsidP="00081EC7">
      <w:pPr>
        <w:spacing w:after="1" w:line="360" w:lineRule="auto"/>
        <w:ind w:left="-15" w:right="-2"/>
        <w:rPr>
          <w:bCs/>
        </w:rPr>
      </w:pPr>
      <w:r w:rsidRPr="00081EC7">
        <w:rPr>
          <w:bCs/>
        </w:rPr>
        <w:t xml:space="preserve">A arbitragem eletrônica, nesse cenário, deve ser compreendida não apenas como uma inovação tecnológica, mas como uma mobilização </w:t>
      </w:r>
      <w:r w:rsidRPr="00081EC7">
        <w:rPr>
          <w:bCs/>
        </w:rPr>
        <w:t>sociopolítica orientada à democratização da justiça. Segundo estudo publicado na Revista de Sociologia e Política (2012), a criação da Lei nº 9.307/1996 resultou de um movimento articulado entre juristas, empresários e instituições liberais, que buscavam l</w:t>
      </w:r>
      <w:r w:rsidRPr="00081EC7">
        <w:rPr>
          <w:bCs/>
        </w:rPr>
        <w:t xml:space="preserve">egitimar práticas extrajudiciais e desconcentrar o monopólio estatal sobre a jurisdição. Ao permitir que cidadãos resolvam litígios de maneira digital, célere e segura, a arbitragem eletrônica </w:t>
      </w:r>
    </w:p>
    <w:p w:rsidR="00081EC7" w:rsidRDefault="00AC4627" w:rsidP="00081EC7">
      <w:pPr>
        <w:spacing w:after="1" w:line="360" w:lineRule="auto"/>
        <w:ind w:left="-15" w:right="-2" w:firstLine="0"/>
        <w:rPr>
          <w:bCs/>
        </w:rPr>
      </w:pPr>
      <w:r w:rsidRPr="00081EC7">
        <w:rPr>
          <w:bCs/>
        </w:rPr>
        <w:lastRenderedPageBreak/>
        <w:t xml:space="preserve">fortalece os mecanismos de desjudicialização e promove a </w:t>
      </w:r>
      <w:r w:rsidRPr="00081EC7">
        <w:rPr>
          <w:bCs/>
        </w:rPr>
        <w:t>efetivação material dos direitos sociais, contribuindo diretamente para a consolidação da seguridade social como política pública inclusiva, eficiente e comprometida com a justiça distributiva.</w:t>
      </w:r>
    </w:p>
    <w:p w:rsidR="0054029E" w:rsidRPr="00081EC7" w:rsidRDefault="00AC4627" w:rsidP="00081EC7">
      <w:pPr>
        <w:spacing w:after="1" w:line="360" w:lineRule="auto"/>
        <w:ind w:left="-15" w:right="-2" w:firstLine="0"/>
        <w:rPr>
          <w:bCs/>
        </w:rPr>
      </w:pPr>
      <w:r w:rsidRPr="0054029E">
        <w:rPr>
          <w:bCs/>
        </w:rPr>
        <w:t>Diante das dificuldades estruturais e das limitações identific</w:t>
      </w:r>
      <w:r w:rsidRPr="0054029E">
        <w:rPr>
          <w:bCs/>
        </w:rPr>
        <w:t>adas nos modelos tradicionais de resolução de demandas sociais, é imperioso refletir sobre estratégias alternativas que conciliem celeridade, inclusão e efetividade. Nesse sentido, propõe-se a construção de uma política pública de arbitragem digital voltad</w:t>
      </w:r>
      <w:r w:rsidRPr="0054029E">
        <w:rPr>
          <w:bCs/>
        </w:rPr>
        <w:t>a à justiça distributiva.</w:t>
      </w:r>
    </w:p>
    <w:p w:rsidR="00E06BF9" w:rsidRDefault="00AC4627">
      <w:pPr>
        <w:spacing w:after="136" w:line="259" w:lineRule="auto"/>
        <w:ind w:right="0" w:firstLine="0"/>
        <w:jc w:val="left"/>
      </w:pPr>
    </w:p>
    <w:p w:rsidR="00E06BF9" w:rsidRDefault="00AC4627">
      <w:pPr>
        <w:tabs>
          <w:tab w:val="center" w:pos="2500"/>
        </w:tabs>
        <w:spacing w:after="150" w:line="250" w:lineRule="auto"/>
        <w:ind w:left="-15" w:right="0" w:firstLine="0"/>
        <w:jc w:val="left"/>
      </w:pPr>
      <w:r>
        <w:rPr>
          <w:b/>
        </w:rPr>
        <w:t xml:space="preserve">3 </w:t>
      </w:r>
      <w:r>
        <w:rPr>
          <w:b/>
        </w:rPr>
        <w:tab/>
        <w:t xml:space="preserve">PROPOSTA DE INTERVENÇÃO </w:t>
      </w:r>
    </w:p>
    <w:p w:rsidR="00E06BF9" w:rsidRDefault="00AC4627">
      <w:pPr>
        <w:spacing w:after="115" w:line="259" w:lineRule="auto"/>
        <w:ind w:right="0" w:firstLine="0"/>
        <w:jc w:val="left"/>
      </w:pPr>
      <w:r>
        <w:t xml:space="preserve"> </w:t>
      </w:r>
    </w:p>
    <w:p w:rsidR="00081EC7" w:rsidRPr="00081EC7" w:rsidRDefault="00AC4627" w:rsidP="00C34124">
      <w:pPr>
        <w:ind w:left="-15" w:right="0" w:firstLine="724"/>
      </w:pPr>
      <w:r w:rsidRPr="00E74A27">
        <w:t xml:space="preserve">Considerando os limites institucionais e os déficits de acesso enfrentados por populações vulneráveis, especialmente no campo da judicialização das políticas sociais, torna-se urgente repensar os </w:t>
      </w:r>
      <w:r w:rsidRPr="00E74A27">
        <w:t>meios de resolução de conflitos no âmbito da seguridade. Com base nisso, propõe-se a seguinte intervenção institucional.</w:t>
      </w:r>
      <w:r>
        <w:t xml:space="preserve"> </w:t>
      </w:r>
      <w:r w:rsidRPr="00081EC7">
        <w:t>a criação do Programa Nacional de Arbitragem Digital para Direitos Sociais (PNADDS), voltado à expansão da arbitragem eletrônica como p</w:t>
      </w:r>
      <w:r w:rsidRPr="00081EC7">
        <w:t>olítica pública de desjudicialização. A proposta tem como objetivo promover a efetividade dos direitos sociais por meio de mecanismos céleres, acessíveis e tecnologicamente integrados à realidade das populações vulneráveis.</w:t>
      </w:r>
    </w:p>
    <w:p w:rsidR="00081EC7" w:rsidRPr="00081EC7" w:rsidRDefault="00AC4627" w:rsidP="00E74A27">
      <w:pPr>
        <w:ind w:left="-15" w:right="0"/>
      </w:pPr>
      <w:r w:rsidRPr="00081EC7">
        <w:t>O programa seria implementado po</w:t>
      </w:r>
      <w:r w:rsidRPr="00081EC7">
        <w:t>r meio de uma articulação interinstitucional entre o Ministério da Justiça, o Conselho Nacional de Justiça (CNJ) e as Câmaras de Arbitragem, com foco prioritário em demandas relacionadas à previdência e</w:t>
      </w:r>
      <w:r>
        <w:t xml:space="preserve"> </w:t>
      </w:r>
      <w:r w:rsidRPr="00081EC7">
        <w:t>assistência social. A execução do PNADDS envolveria a</w:t>
      </w:r>
      <w:r w:rsidRPr="00081EC7">
        <w:t>s seguintes ações estruturantes:</w:t>
      </w:r>
    </w:p>
    <w:p w:rsidR="00081EC7" w:rsidRPr="00081EC7" w:rsidRDefault="00AC4627" w:rsidP="00081EC7">
      <w:pPr>
        <w:numPr>
          <w:ilvl w:val="0"/>
          <w:numId w:val="14"/>
        </w:numPr>
        <w:ind w:right="0"/>
      </w:pPr>
      <w:r w:rsidRPr="00081EC7">
        <w:t>Criação de plataformas públicas de arbitragem eletrônica, com interface acessível, linguagem simplificada e compatibilidade com dispositivos móveis;</w:t>
      </w:r>
    </w:p>
    <w:p w:rsidR="00081EC7" w:rsidRPr="00081EC7" w:rsidRDefault="00AC4627" w:rsidP="00081EC7">
      <w:pPr>
        <w:numPr>
          <w:ilvl w:val="0"/>
          <w:numId w:val="14"/>
        </w:numPr>
        <w:ind w:right="0"/>
      </w:pPr>
      <w:r w:rsidRPr="00081EC7">
        <w:t>Capacitação de árbitros e servidores públicos nos temas de seguridade soci</w:t>
      </w:r>
      <w:r w:rsidRPr="00081EC7">
        <w:t>al, mediação digital e inclusão tecnológica;</w:t>
      </w:r>
    </w:p>
    <w:p w:rsidR="00081EC7" w:rsidRPr="00081EC7" w:rsidRDefault="00AC4627" w:rsidP="00081EC7">
      <w:pPr>
        <w:numPr>
          <w:ilvl w:val="0"/>
          <w:numId w:val="14"/>
        </w:numPr>
        <w:ind w:right="0"/>
      </w:pPr>
      <w:r w:rsidRPr="00081EC7">
        <w:lastRenderedPageBreak/>
        <w:t>Instalação de Pontos de Inclusão Digital (PIDs) em comunidades periféricas e áreas de difícil acesso, garantindo infraestrutura e conexão para audiências e peticionamentos;</w:t>
      </w:r>
    </w:p>
    <w:p w:rsidR="00081EC7" w:rsidRPr="00081EC7" w:rsidRDefault="00AC4627" w:rsidP="00081EC7">
      <w:pPr>
        <w:numPr>
          <w:ilvl w:val="0"/>
          <w:numId w:val="14"/>
        </w:numPr>
        <w:ind w:right="0"/>
      </w:pPr>
      <w:r w:rsidRPr="00081EC7">
        <w:t>Campanhas educativas para disseminação</w:t>
      </w:r>
      <w:r w:rsidRPr="00081EC7">
        <w:t xml:space="preserve"> dos direitos sociais e dos meios alternativos de resolução de conflitos;</w:t>
      </w:r>
    </w:p>
    <w:p w:rsidR="00081EC7" w:rsidRPr="00081EC7" w:rsidRDefault="00AC4627" w:rsidP="00C34124">
      <w:pPr>
        <w:ind w:right="0" w:firstLine="709"/>
      </w:pPr>
      <w:r w:rsidRPr="00081EC7">
        <w:t xml:space="preserve">Espera-se que a adoção do PNADDS reduza o volume de ações judiciais relacionadas à seguridade social, aumente a efetividade na concessão de benefícios, fortaleça a cidadania digital </w:t>
      </w:r>
      <w:r w:rsidRPr="00081EC7">
        <w:t>e reforce a adesão do Estado brasileiro aos princípios constitucionais de universalidade, eficiência e justiça distributiva. Trata-se, portanto, de uma medida inovadora, democrática e alinhada à perspectiva de uma Justiça Multiportas digital e inclusiva, c</w:t>
      </w:r>
      <w:r w:rsidRPr="00081EC7">
        <w:t>om foco na transformação social e na promoção do acesso qualificado à justiça.</w:t>
      </w:r>
    </w:p>
    <w:p w:rsidR="00E06BF9" w:rsidRDefault="00AC4627">
      <w:pPr>
        <w:spacing w:after="136" w:line="259" w:lineRule="auto"/>
        <w:ind w:right="0" w:firstLine="0"/>
        <w:jc w:val="left"/>
      </w:pPr>
    </w:p>
    <w:p w:rsidR="00E06BF9" w:rsidRDefault="00AC4627">
      <w:pPr>
        <w:tabs>
          <w:tab w:val="center" w:pos="1493"/>
        </w:tabs>
        <w:spacing w:after="150" w:line="250" w:lineRule="auto"/>
        <w:ind w:left="-15" w:right="0" w:firstLine="0"/>
        <w:jc w:val="left"/>
      </w:pPr>
      <w:r>
        <w:rPr>
          <w:b/>
        </w:rPr>
        <w:t xml:space="preserve">4 </w:t>
      </w:r>
      <w:r>
        <w:rPr>
          <w:b/>
        </w:rPr>
        <w:tab/>
        <w:t xml:space="preserve">CONCLUSÃO </w:t>
      </w:r>
    </w:p>
    <w:p w:rsidR="008B127E" w:rsidRDefault="00AC4627" w:rsidP="00C34124">
      <w:pPr>
        <w:spacing w:after="115" w:line="259" w:lineRule="auto"/>
        <w:ind w:right="0" w:firstLine="0"/>
        <w:jc w:val="left"/>
      </w:pPr>
    </w:p>
    <w:p w:rsidR="004F671C" w:rsidRPr="004F671C" w:rsidRDefault="00AC4627" w:rsidP="004F671C">
      <w:pPr>
        <w:ind w:left="-15" w:right="0"/>
      </w:pPr>
      <w:r w:rsidRPr="004F671C">
        <w:t>Com base nas análises desenvolvidas ao longo deste artigo, conclui-se que os impasses estruturais enfrentados pela Seguridade Social brasileira</w:t>
      </w:r>
      <w:r>
        <w:t xml:space="preserve"> </w:t>
      </w:r>
      <w:r w:rsidRPr="004F671C">
        <w:t xml:space="preserve">como o </w:t>
      </w:r>
      <w:r w:rsidRPr="004F671C">
        <w:t>subfinanciamento, a burocracia sistêmica e a desigualdade de acesso demandam soluções que extrapolem os mecanismos tradicionais de tutela estatal. Nesse cenário, a arbitragem eletrônica, inserida no modelo da Justiça Multiportas, apresenta-se como instrume</w:t>
      </w:r>
      <w:r w:rsidRPr="004F671C">
        <w:t>nto legítimo e promissor para ampliar o acesso à resolução de conflitos, especialmente em demandas de natureza previdenciária e assistencial, promovendo celeridade, segurança e inclusão, inclusive em territórios desassistidos.</w:t>
      </w:r>
    </w:p>
    <w:p w:rsidR="004F671C" w:rsidRPr="004F671C" w:rsidRDefault="00AC4627" w:rsidP="004F671C">
      <w:pPr>
        <w:ind w:left="-15" w:right="0"/>
      </w:pPr>
      <w:r w:rsidRPr="004F671C">
        <w:t>A perspectiva sociopolítica a</w:t>
      </w:r>
      <w:r w:rsidRPr="004F671C">
        <w:t xml:space="preserve">dotada neste estudo demonstra que os princípios constitucionais que regem a seguridade social, tais como a universalidade, a equidade e a dignidade da pessoa humana, podem ser concretizados de forma mais eficaz por meio da adoção de tecnologias voltadas à </w:t>
      </w:r>
      <w:r w:rsidRPr="004F671C">
        <w:t xml:space="preserve">democratização da justiça. A arbitragem eletrônica, nesse sentido, não representa apenas um avanço procedimental, mas uma verdadeira estratégia de cidadania digital, capaz de reduzir a judicialização excessiva, </w:t>
      </w:r>
      <w:r w:rsidRPr="004F671C">
        <w:lastRenderedPageBreak/>
        <w:t>facilitar a pacificação de conflitos e assegu</w:t>
      </w:r>
      <w:r w:rsidRPr="004F671C">
        <w:t>rar o protagonismo social de populações historicamente excluídas do sistema jurídico-formal.</w:t>
      </w:r>
    </w:p>
    <w:p w:rsidR="00AF2947" w:rsidRDefault="00AC4627" w:rsidP="004F671C">
      <w:pPr>
        <w:ind w:left="-15" w:right="0"/>
      </w:pPr>
      <w:r w:rsidRPr="004F671C">
        <w:t>A proposta de criação do Programa Nacional de Arbitragem Digital para Direitos Sociais (PNADDS), associada à capacitação técnica, à instalação de Pontos de Inclusã</w:t>
      </w:r>
      <w:r w:rsidRPr="004F671C">
        <w:t xml:space="preserve">o Digital (PIDs) e à implementação de plataformas públicas acessíveis, </w:t>
      </w:r>
    </w:p>
    <w:p w:rsidR="00C34124" w:rsidRDefault="00AC4627" w:rsidP="00E74A27">
      <w:pPr>
        <w:ind w:right="0" w:firstLine="0"/>
      </w:pPr>
      <w:r w:rsidRPr="004F671C">
        <w:t>reafirma o compromisso com um modelo de justiça centrado nos direitos fundamentais. Dessa forma, a articulação entre tecnologia, justiça e proteção social deve ser compreendida como um</w:t>
      </w:r>
      <w:r w:rsidRPr="004F671C">
        <w:t>a via concreta para a construção de um sistema mais eficiente, plural e comprometido com a efetivação dos direitos sociais no Brasil.</w:t>
      </w:r>
    </w:p>
    <w:p w:rsidR="00E74A27" w:rsidRPr="004F671C" w:rsidRDefault="00AC4627" w:rsidP="00C34124">
      <w:pPr>
        <w:ind w:right="0" w:firstLine="709"/>
      </w:pPr>
      <w:r w:rsidRPr="00E74A27">
        <w:t>A proposta da arbitragem online voltada à proteção social, quando adequadamente regulada e democratizada, representa não a</w:t>
      </w:r>
      <w:r w:rsidRPr="00E74A27">
        <w:t>penas uma solução funcional para a desjudicialização, mas uma possibilidade real de ampliação da cidadania e de fortalecimento da democracia substantiva. Trata-se, portanto, de uma medida que dialoga com os princípios emancipatórios defendidos por esta edi</w:t>
      </w:r>
      <w:r w:rsidRPr="00E74A27">
        <w:t>ção da JOINPP.</w:t>
      </w:r>
    </w:p>
    <w:p w:rsidR="00E06BF9" w:rsidRDefault="00AC4627">
      <w:pPr>
        <w:spacing w:after="118" w:line="259" w:lineRule="auto"/>
        <w:ind w:right="0" w:firstLine="0"/>
        <w:jc w:val="left"/>
      </w:pPr>
    </w:p>
    <w:p w:rsidR="00E06BF9" w:rsidRDefault="00AC4627">
      <w:pPr>
        <w:spacing w:after="57" w:line="259" w:lineRule="auto"/>
        <w:ind w:right="5" w:firstLine="0"/>
        <w:jc w:val="center"/>
      </w:pPr>
      <w:r>
        <w:rPr>
          <w:b/>
        </w:rPr>
        <w:t>REFERÊNCIAS</w:t>
      </w:r>
      <w:r>
        <w:t xml:space="preserve"> </w:t>
      </w:r>
    </w:p>
    <w:p w:rsidR="00E06BF9" w:rsidRDefault="00AC4627">
      <w:pPr>
        <w:spacing w:after="201" w:line="259" w:lineRule="auto"/>
        <w:ind w:right="0" w:firstLine="0"/>
        <w:jc w:val="left"/>
      </w:pPr>
    </w:p>
    <w:p w:rsidR="00AF2947" w:rsidRPr="00AF2947" w:rsidRDefault="00AC4627" w:rsidP="00AF2947">
      <w:pPr>
        <w:spacing w:after="150" w:line="250" w:lineRule="auto"/>
        <w:ind w:left="-5" w:right="0" w:hanging="10"/>
        <w:jc w:val="left"/>
      </w:pPr>
      <w:r w:rsidRPr="00AF2947">
        <w:t xml:space="preserve">BRASIL. </w:t>
      </w:r>
      <w:r w:rsidRPr="00AF2947">
        <w:rPr>
          <w:i/>
          <w:iCs/>
        </w:rPr>
        <w:t>Constituição (1988)</w:t>
      </w:r>
      <w:r w:rsidRPr="00AF2947">
        <w:t xml:space="preserve">. Constituição da República Federativa do Brasil. Brasília, DF: Senado Federal, 1988. Disponível em: </w:t>
      </w:r>
      <w:hyperlink r:id="rId8" w:tgtFrame="_new" w:history="1">
        <w:r w:rsidRPr="00AF2947">
          <w:rPr>
            <w:rStyle w:val="Hyperlink"/>
          </w:rPr>
          <w:t>http://www.planalto.gov.br/ccivil_03/constituicao/constituicao.htm</w:t>
        </w:r>
      </w:hyperlink>
      <w:r w:rsidRPr="00AF2947">
        <w:t>. Acesso em: 5 jul. 2025.</w:t>
      </w:r>
    </w:p>
    <w:p w:rsidR="00AF2947" w:rsidRPr="00AF2947" w:rsidRDefault="00AC4627" w:rsidP="00AF2947">
      <w:pPr>
        <w:spacing w:after="150" w:line="250" w:lineRule="auto"/>
        <w:ind w:left="-5" w:right="0" w:hanging="10"/>
        <w:jc w:val="left"/>
      </w:pPr>
      <w:r w:rsidRPr="00AF2947">
        <w:t>BRASIL. Lei nº 9.307, de 23 de setembro de 1996. Dispõe sobre a arbitragem. Diário Oficial da União: seção 1, Brasília, DF, p. 19561, 24 set. 1996.</w:t>
      </w:r>
    </w:p>
    <w:p w:rsidR="00AF2947" w:rsidRPr="00AF2947" w:rsidRDefault="00AC4627" w:rsidP="00AF2947">
      <w:pPr>
        <w:spacing w:after="150" w:line="250" w:lineRule="auto"/>
        <w:ind w:left="-5" w:right="0" w:hanging="10"/>
        <w:jc w:val="left"/>
      </w:pPr>
      <w:r w:rsidRPr="00AF2947">
        <w:t>BRASIL. Lei n</w:t>
      </w:r>
      <w:r w:rsidRPr="00AF2947">
        <w:t xml:space="preserve">º 11.419, de 19 de dezembro de 2006. Dispõe sobre a informatização do processo judicial. </w:t>
      </w:r>
      <w:r w:rsidRPr="00AF2947">
        <w:rPr>
          <w:i/>
          <w:iCs/>
        </w:rPr>
        <w:t>Diário Oficial da União: seção 1</w:t>
      </w:r>
      <w:r w:rsidRPr="00AF2947">
        <w:t>, Brasília, DF, p. 1, 20 dez. 2006.</w:t>
      </w:r>
    </w:p>
    <w:p w:rsidR="00AF2947" w:rsidRPr="00AF2947" w:rsidRDefault="00AC4627" w:rsidP="00AF2947">
      <w:pPr>
        <w:spacing w:after="150" w:line="250" w:lineRule="auto"/>
        <w:ind w:left="-5" w:right="0" w:hanging="10"/>
        <w:jc w:val="left"/>
      </w:pPr>
      <w:r w:rsidRPr="00AF2947">
        <w:t xml:space="preserve">CAMES – Câmara de Mediação e Arbitragem Especializada. Disponível em: </w:t>
      </w:r>
      <w:hyperlink r:id="rId9" w:tgtFrame="_new" w:history="1">
        <w:r w:rsidRPr="00AF2947">
          <w:rPr>
            <w:rStyle w:val="Hyperlink"/>
          </w:rPr>
          <w:t>https://www.camesbrasil.com.br/</w:t>
        </w:r>
      </w:hyperlink>
      <w:r w:rsidRPr="00AF2947">
        <w:t>. Acesso em: 5 jul. 2025.</w:t>
      </w:r>
    </w:p>
    <w:p w:rsidR="00AF2947" w:rsidRPr="00AF2947" w:rsidRDefault="00AC4627" w:rsidP="00AF2947">
      <w:pPr>
        <w:spacing w:after="150" w:line="250" w:lineRule="auto"/>
        <w:ind w:left="-5" w:right="0" w:hanging="10"/>
        <w:jc w:val="left"/>
      </w:pPr>
      <w:r w:rsidRPr="00AF2947">
        <w:t xml:space="preserve">CÂMARA DE ARBITRAGEM DO MERCADO. Disponível em: </w:t>
      </w:r>
      <w:hyperlink r:id="rId10" w:tgtFrame="_new" w:history="1">
        <w:r w:rsidRPr="00AF2947">
          <w:rPr>
            <w:rStyle w:val="Hyperlink"/>
          </w:rPr>
          <w:t>https://www.arbitragembr.com.br/</w:t>
        </w:r>
      </w:hyperlink>
      <w:r w:rsidRPr="00AF2947">
        <w:t>. Acesso em: 5 jul. 2025.</w:t>
      </w:r>
    </w:p>
    <w:p w:rsidR="00AF2947" w:rsidRPr="00AF2947" w:rsidRDefault="00AC4627" w:rsidP="00AF2947">
      <w:pPr>
        <w:spacing w:after="150" w:line="250" w:lineRule="auto"/>
        <w:ind w:left="-5" w:right="0" w:hanging="10"/>
        <w:jc w:val="left"/>
      </w:pPr>
      <w:r w:rsidRPr="00AF2947">
        <w:t xml:space="preserve">CONSELHO NACIONAL DE JUSTIÇA. Pontos de Inclusão Digital. Disponível em: </w:t>
      </w:r>
      <w:hyperlink r:id="rId11" w:tgtFrame="_new" w:history="1">
        <w:r w:rsidRPr="00AF2947">
          <w:rPr>
            <w:rStyle w:val="Hyperlink"/>
          </w:rPr>
          <w:t>https://www.cnj.jus.br</w:t>
        </w:r>
      </w:hyperlink>
      <w:r w:rsidRPr="00AF2947">
        <w:t>. Acesso em: 5 jul. 2025.</w:t>
      </w:r>
    </w:p>
    <w:p w:rsidR="00AF2947" w:rsidRPr="00AF2947" w:rsidRDefault="00AC4627" w:rsidP="00AF2947">
      <w:pPr>
        <w:spacing w:after="150" w:line="250" w:lineRule="auto"/>
        <w:ind w:left="-5" w:right="0" w:hanging="10"/>
        <w:jc w:val="left"/>
      </w:pPr>
      <w:r w:rsidRPr="00AF2947">
        <w:lastRenderedPageBreak/>
        <w:t xml:space="preserve">DIDIER JR., Fredie. </w:t>
      </w:r>
      <w:r w:rsidRPr="00AF2947">
        <w:rPr>
          <w:i/>
          <w:iCs/>
        </w:rPr>
        <w:t>A arbitragem no novo Código de Processo Civil</w:t>
      </w:r>
      <w:r w:rsidRPr="00AF2947">
        <w:t xml:space="preserve">. Revista Brasileira </w:t>
      </w:r>
      <w:r w:rsidRPr="00AF2947">
        <w:t>de Arbitragem, São Paulo, n. 37, p. 91–106, 2013.</w:t>
      </w:r>
    </w:p>
    <w:p w:rsidR="00AF2947" w:rsidRPr="00AF2947" w:rsidRDefault="00AC4627" w:rsidP="00AF2947">
      <w:pPr>
        <w:spacing w:after="150" w:line="250" w:lineRule="auto"/>
        <w:ind w:left="-5" w:right="0" w:hanging="10"/>
        <w:jc w:val="left"/>
      </w:pPr>
      <w:r w:rsidRPr="00AF2947">
        <w:t xml:space="preserve">DIDIER JR., Fredie. </w:t>
      </w:r>
      <w:r w:rsidRPr="00AF2947">
        <w:rPr>
          <w:i/>
          <w:iCs/>
        </w:rPr>
        <w:t>Curso de direito processual civil: meios alternativos de solução de conflitos</w:t>
      </w:r>
      <w:r w:rsidRPr="00AF2947">
        <w:t>. 11. ed. Salvador: Juspodivm, 2013. v. 1.</w:t>
      </w:r>
    </w:p>
    <w:p w:rsidR="00AF2947" w:rsidRPr="00AF2947" w:rsidRDefault="00AC4627" w:rsidP="00AF2947">
      <w:pPr>
        <w:spacing w:after="150" w:line="250" w:lineRule="auto"/>
        <w:ind w:left="-5" w:right="0" w:hanging="10"/>
        <w:jc w:val="left"/>
      </w:pPr>
      <w:r w:rsidRPr="00AF2947">
        <w:t xml:space="preserve">DIDIER JR., Fredie; FERNANDEZ, Leandro. </w:t>
      </w:r>
      <w:r w:rsidRPr="00AF2947">
        <w:rPr>
          <w:i/>
          <w:iCs/>
        </w:rPr>
        <w:t>Introdução à Justiça Multi</w:t>
      </w:r>
      <w:r w:rsidRPr="00AF2947">
        <w:rPr>
          <w:i/>
          <w:iCs/>
        </w:rPr>
        <w:t>portas – Sistema de Solução de Problemas Jurídicos e o Perfil do Acesso à Justiça no Brasil</w:t>
      </w:r>
      <w:r w:rsidRPr="00AF2947">
        <w:t>. Salvador: Juspodivm, 2025.</w:t>
      </w:r>
    </w:p>
    <w:p w:rsidR="00AF2947" w:rsidRPr="00AF2947" w:rsidRDefault="00AC4627" w:rsidP="00AF2947">
      <w:pPr>
        <w:spacing w:after="150" w:line="250" w:lineRule="auto"/>
        <w:ind w:left="-5" w:right="0" w:hanging="10"/>
        <w:jc w:val="left"/>
      </w:pPr>
      <w:r w:rsidRPr="00AF2947">
        <w:t xml:space="preserve">DIDIER JR., Fredie; FERNANDEZ, Leandro. </w:t>
      </w:r>
      <w:r w:rsidRPr="00AF2947">
        <w:rPr>
          <w:i/>
          <w:iCs/>
        </w:rPr>
        <w:t>Justiça multiportas e arbitragem eletrônica no processo civil contemporâneo</w:t>
      </w:r>
      <w:r w:rsidRPr="00AF2947">
        <w:t>. Salvador: Juspodivm</w:t>
      </w:r>
      <w:r w:rsidRPr="00AF2947">
        <w:t>, 2025.</w:t>
      </w:r>
    </w:p>
    <w:p w:rsidR="00AF2947" w:rsidRPr="00AF2947" w:rsidRDefault="00AC4627" w:rsidP="00C34124">
      <w:pPr>
        <w:spacing w:after="150" w:line="250" w:lineRule="auto"/>
        <w:ind w:left="-5" w:right="0" w:hanging="10"/>
        <w:jc w:val="left"/>
      </w:pPr>
      <w:r w:rsidRPr="00AF2947">
        <w:t xml:space="preserve">ENGELMANN, Fabiano. </w:t>
      </w:r>
      <w:r w:rsidRPr="00AF2947">
        <w:rPr>
          <w:i/>
          <w:iCs/>
        </w:rPr>
        <w:t>O espaço da arbitragem no Brasil: notáveis e experts em busca de reconhecimento</w:t>
      </w:r>
      <w:r w:rsidRPr="00AF2947">
        <w:t xml:space="preserve">. Revista de Sociologia e Política, Curitiba, v. 20, n. 44, p. 115–137, nov. 2012. Disponível em: </w:t>
      </w:r>
      <w:r>
        <w:t>h</w:t>
      </w:r>
      <w:r w:rsidRPr="00AF2947">
        <w:t>ttps://www.scielo.br/j/rsocp/a/Rt4pmWkqfTc9zBTLZYc</w:t>
      </w:r>
      <w:r w:rsidRPr="00AF2947">
        <w:t>zz8m/. Acesso em: 5 jul. 2025.</w:t>
      </w:r>
    </w:p>
    <w:p w:rsidR="00AF2947" w:rsidRPr="00AF2947" w:rsidRDefault="00AC4627" w:rsidP="00AF2947">
      <w:pPr>
        <w:spacing w:after="150" w:line="250" w:lineRule="auto"/>
        <w:ind w:left="-5" w:right="0" w:hanging="10"/>
        <w:jc w:val="left"/>
      </w:pPr>
      <w:r w:rsidRPr="00AF2947">
        <w:t xml:space="preserve">FIGUEIREDO, Maicon do Nascimento. Acesso à justiça e suas barreiras frente ao sistema de justiça multiportas. JusBrasil, 2022. Disponível em: </w:t>
      </w:r>
      <w:hyperlink r:id="rId12" w:tgtFrame="_new" w:history="1">
        <w:r w:rsidRPr="00AF2947">
          <w:rPr>
            <w:rStyle w:val="Hyperlink"/>
          </w:rPr>
          <w:t>https://www.jusbrasil.com.br/artigos/acesso-a-justica-e-suas-barreiras-frente-ao-sistema-de-justica-multiportas-e-a-efetividade-jurisdicional-no-brasil/1</w:t>
        </w:r>
        <w:r w:rsidRPr="00AF2947">
          <w:rPr>
            <w:rStyle w:val="Hyperlink"/>
          </w:rPr>
          <w:t>450073132</w:t>
        </w:r>
      </w:hyperlink>
      <w:r w:rsidRPr="00AF2947">
        <w:t>. Acesso em: 5 jul. 2025.</w:t>
      </w:r>
    </w:p>
    <w:p w:rsidR="00AF2947" w:rsidRPr="00AF2947" w:rsidRDefault="00AC4627" w:rsidP="00AF2947">
      <w:pPr>
        <w:spacing w:after="150" w:line="250" w:lineRule="auto"/>
        <w:ind w:left="-5" w:right="0" w:hanging="10"/>
        <w:jc w:val="left"/>
      </w:pPr>
      <w:r w:rsidRPr="00AF2947">
        <w:t xml:space="preserve">GALLO, Ronaldo Guimarães. </w:t>
      </w:r>
      <w:r w:rsidRPr="00AF2947">
        <w:rPr>
          <w:i/>
          <w:iCs/>
        </w:rPr>
        <w:t>A arbitragem eletrônica e o acesso à justiça no Brasil</w:t>
      </w:r>
      <w:r w:rsidRPr="00AF2947">
        <w:t>. Revista de Arbitragem e Mediação, São Paulo, v. 17, n. 65, p. 13–29, 2020.</w:t>
      </w:r>
    </w:p>
    <w:p w:rsidR="00AF2947" w:rsidRPr="00AF2947" w:rsidRDefault="00AC4627" w:rsidP="00AF2947">
      <w:pPr>
        <w:spacing w:after="150" w:line="250" w:lineRule="auto"/>
        <w:ind w:left="-5" w:right="0" w:hanging="10"/>
        <w:jc w:val="left"/>
      </w:pPr>
      <w:r w:rsidRPr="00AF2947">
        <w:t xml:space="preserve">GALLO, Ronaldo Guimarães. </w:t>
      </w:r>
      <w:r w:rsidRPr="00AF2947">
        <w:rPr>
          <w:i/>
          <w:iCs/>
        </w:rPr>
        <w:t>O uso da arbitragem eletrônica e os</w:t>
      </w:r>
      <w:r w:rsidRPr="00AF2947">
        <w:rPr>
          <w:i/>
          <w:iCs/>
        </w:rPr>
        <w:t xml:space="preserve"> desafios do século XXI</w:t>
      </w:r>
      <w:r w:rsidRPr="00AF2947">
        <w:t>. Revista Brasileira de Direito, v. 16, n. 2, p. 45–63, 2020.</w:t>
      </w:r>
    </w:p>
    <w:p w:rsidR="00AF2947" w:rsidRPr="00AF2947" w:rsidRDefault="00AC4627" w:rsidP="00AF2947">
      <w:pPr>
        <w:spacing w:after="150" w:line="250" w:lineRule="auto"/>
        <w:ind w:left="-5" w:right="0" w:hanging="10"/>
        <w:jc w:val="left"/>
      </w:pPr>
      <w:r w:rsidRPr="00AF2947">
        <w:t xml:space="preserve">JACCOUD, Luciana. </w:t>
      </w:r>
      <w:r w:rsidRPr="00AF2947">
        <w:rPr>
          <w:i/>
          <w:iCs/>
        </w:rPr>
        <w:t>Bases institucionais e interfaces na seguridade social brasileira: uma análise macrossetorial</w:t>
      </w:r>
      <w:r w:rsidRPr="00AF2947">
        <w:t>. Rio de Janeiro: IPEA, 2023. (Texto para Discussão n. 2921)</w:t>
      </w:r>
      <w:r w:rsidRPr="00AF2947">
        <w:t xml:space="preserve">. Disponível em: </w:t>
      </w:r>
      <w:hyperlink r:id="rId13" w:tgtFrame="_new" w:history="1">
        <w:r w:rsidRPr="00AF2947">
          <w:rPr>
            <w:rStyle w:val="Hyperlink"/>
          </w:rPr>
          <w:t>https://repositorio.ipea.gov.br/bitstream/11058/12371/1/TD_2921_web.pdf</w:t>
        </w:r>
      </w:hyperlink>
      <w:r w:rsidRPr="00AF2947">
        <w:t>. Acesso em: 5 jul. 2025.</w:t>
      </w:r>
    </w:p>
    <w:p w:rsidR="00AF2947" w:rsidRPr="00AF2947" w:rsidRDefault="00AC4627" w:rsidP="00AF2947">
      <w:pPr>
        <w:spacing w:after="150" w:line="250" w:lineRule="auto"/>
        <w:ind w:left="-5" w:right="0" w:hanging="10"/>
        <w:jc w:val="left"/>
      </w:pPr>
      <w:r w:rsidRPr="00AF2947">
        <w:t>MAGALHÃES, Rodrigo Almeida; SARAIVA, Mariana</w:t>
      </w:r>
      <w:r w:rsidRPr="00AF2947">
        <w:t xml:space="preserve"> de Souza. </w:t>
      </w:r>
      <w:r w:rsidRPr="00AF2947">
        <w:rPr>
          <w:i/>
          <w:iCs/>
        </w:rPr>
        <w:t>Arbitragem eletrônica</w:t>
      </w:r>
      <w:r w:rsidRPr="00AF2947">
        <w:t xml:space="preserve">. Belo Horizonte: Universidade Federal de Minas Gerais, 2019. Disponível em: </w:t>
      </w:r>
      <w:hyperlink r:id="rId14" w:tgtFrame="_new" w:history="1">
        <w:r w:rsidRPr="00AF2947">
          <w:rPr>
            <w:rStyle w:val="Hyperlink"/>
          </w:rPr>
          <w:t>https://repositorio.ufmg.br/handle/1843/39365</w:t>
        </w:r>
      </w:hyperlink>
      <w:r w:rsidRPr="00AF2947">
        <w:t>. Acesso em: 5 jul. 2025.</w:t>
      </w:r>
    </w:p>
    <w:p w:rsidR="00AF2947" w:rsidRPr="00AF2947" w:rsidRDefault="00AC4627" w:rsidP="00AF2947">
      <w:pPr>
        <w:spacing w:after="150" w:line="250" w:lineRule="auto"/>
        <w:ind w:left="-5" w:right="0" w:hanging="10"/>
        <w:jc w:val="left"/>
      </w:pPr>
      <w:r w:rsidRPr="00AF2947">
        <w:t>MELL</w:t>
      </w:r>
      <w:r w:rsidRPr="00AF2947">
        <w:t xml:space="preserve">O, Leonardo Emmendoerfer et al. </w:t>
      </w:r>
      <w:r w:rsidRPr="00AF2947">
        <w:rPr>
          <w:i/>
          <w:iCs/>
        </w:rPr>
        <w:t>O sistema brasileiro de justiça multiportas como política pública</w:t>
      </w:r>
      <w:r w:rsidRPr="00AF2947">
        <w:t xml:space="preserve">. Revista Políticas Públicas &amp; Cidades, São Luís, v. 6, n. 2, p. 1–18, 2024. Disponível em: </w:t>
      </w:r>
      <w:hyperlink r:id="rId15" w:tgtFrame="_new" w:history="1">
        <w:r w:rsidRPr="00AF2947">
          <w:rPr>
            <w:rStyle w:val="Hyperlink"/>
          </w:rPr>
          <w:t>https://journalppc.com/RPPC/article/view/1464</w:t>
        </w:r>
      </w:hyperlink>
      <w:r w:rsidRPr="00AF2947">
        <w:t>. Acesso em: 5 jul. 2025.</w:t>
      </w:r>
    </w:p>
    <w:p w:rsidR="00AF2947" w:rsidRPr="00AF2947" w:rsidRDefault="00AC4627" w:rsidP="00AF2947">
      <w:pPr>
        <w:spacing w:after="150" w:line="250" w:lineRule="auto"/>
        <w:ind w:left="-5" w:right="0" w:hanging="10"/>
        <w:jc w:val="left"/>
      </w:pPr>
      <w:r w:rsidRPr="00AF2947">
        <w:t xml:space="preserve">MONTES NETTO, Carlos Eduardo; LEHFELD, Renata Aparecida; SOUZA, Lucas de. </w:t>
      </w:r>
      <w:r w:rsidRPr="00AF2947">
        <w:rPr>
          <w:i/>
          <w:iCs/>
        </w:rPr>
        <w:t xml:space="preserve">A arbitragem como instrumento adequado de resolução de conflitos previdenciários e </w:t>
      </w:r>
      <w:r w:rsidRPr="00AF2947">
        <w:rPr>
          <w:i/>
          <w:iCs/>
        </w:rPr>
        <w:lastRenderedPageBreak/>
        <w:t>de concreção de direito</w:t>
      </w:r>
      <w:r w:rsidRPr="00AF2947">
        <w:rPr>
          <w:i/>
          <w:iCs/>
        </w:rPr>
        <w:t>s sociais</w:t>
      </w:r>
      <w:r w:rsidRPr="00AF2947">
        <w:t>. Revista Brasileira de Direito Previdenciário, São Paulo, v. 11, n. 66, p. 56–79, dez./jan. 2021/2022.</w:t>
      </w:r>
    </w:p>
    <w:p w:rsidR="00AF2947" w:rsidRPr="00AF2947" w:rsidRDefault="00AC4627" w:rsidP="00AF2947">
      <w:pPr>
        <w:spacing w:after="150" w:line="250" w:lineRule="auto"/>
        <w:ind w:left="-5" w:right="0" w:hanging="10"/>
        <w:jc w:val="left"/>
      </w:pPr>
      <w:r w:rsidRPr="00AF2947">
        <w:t xml:space="preserve">OKSANDRO, Alessandra de Souza; GONÇALVES, Osdival. </w:t>
      </w:r>
      <w:r w:rsidRPr="00AF2947">
        <w:rPr>
          <w:i/>
          <w:iCs/>
        </w:rPr>
        <w:t xml:space="preserve">A arbitragem online como instrumento para redução dos custos de transação e para a promoção </w:t>
      </w:r>
      <w:r w:rsidRPr="00AF2947">
        <w:rPr>
          <w:i/>
          <w:iCs/>
        </w:rPr>
        <w:t>do desenvolvimento econômico e social</w:t>
      </w:r>
      <w:r w:rsidRPr="00AF2947">
        <w:t xml:space="preserve">. Derecho y Cambio Social, Lima, v. 22, n. 80, 2025. Disponível em: </w:t>
      </w:r>
      <w:hyperlink r:id="rId16" w:tgtFrame="_new" w:history="1">
        <w:r w:rsidRPr="00AF2947">
          <w:rPr>
            <w:rStyle w:val="Hyperlink"/>
          </w:rPr>
          <w:t>https://derechoycambiosocial.org/index.php/revista/article/</w:t>
        </w:r>
        <w:r w:rsidRPr="00AF2947">
          <w:rPr>
            <w:rStyle w:val="Hyperlink"/>
          </w:rPr>
          <w:t>view/2958</w:t>
        </w:r>
      </w:hyperlink>
      <w:r w:rsidRPr="00AF2947">
        <w:t>. Acesso em: 5 jul. 2025.</w:t>
      </w:r>
    </w:p>
    <w:p w:rsidR="00AF2947" w:rsidRPr="00AF2947" w:rsidRDefault="00AC4627" w:rsidP="00AF2947">
      <w:pPr>
        <w:spacing w:after="150" w:line="250" w:lineRule="auto"/>
        <w:ind w:left="-5" w:right="0" w:hanging="10"/>
        <w:jc w:val="left"/>
      </w:pPr>
      <w:r w:rsidRPr="00AF2947">
        <w:t xml:space="preserve">REVISTA POLÍTICAS PÚBLICAS &amp; CIDADES. </w:t>
      </w:r>
      <w:r w:rsidRPr="00AF2947">
        <w:rPr>
          <w:i/>
          <w:iCs/>
        </w:rPr>
        <w:t>Justiça Multiportas e inclusão digital: desafios e avanços na efetivação de direitos no Brasil</w:t>
      </w:r>
      <w:r w:rsidRPr="00AF2947">
        <w:t>. Revista Políticas Públicas &amp; Cidades, v. 3, n. 1, 2024.</w:t>
      </w:r>
    </w:p>
    <w:p w:rsidR="00E06BF9" w:rsidRDefault="00AC4627">
      <w:pPr>
        <w:spacing w:line="229" w:lineRule="auto"/>
        <w:ind w:left="-15" w:right="0" w:firstLine="0"/>
      </w:pPr>
      <w:r>
        <w:rPr>
          <w:rFonts w:ascii="Calibri" w:eastAsia="Calibri" w:hAnsi="Calibri" w:cs="Calibri"/>
          <w:sz w:val="28"/>
        </w:rPr>
        <w:t xml:space="preserve"> </w:t>
      </w:r>
    </w:p>
    <w:sectPr w:rsidR="00E06BF9" w:rsidSect="0064624E">
      <w:headerReference w:type="even" r:id="rId17"/>
      <w:headerReference w:type="default" r:id="rId18"/>
      <w:headerReference w:type="first" r:id="rId19"/>
      <w:pgSz w:w="11909" w:h="16834"/>
      <w:pgMar w:top="2977" w:right="1127" w:bottom="1273"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627" w:rsidRDefault="00AC4627">
      <w:pPr>
        <w:spacing w:after="0" w:line="240" w:lineRule="auto"/>
      </w:pPr>
      <w:r>
        <w:separator/>
      </w:r>
    </w:p>
  </w:endnote>
  <w:endnote w:type="continuationSeparator" w:id="0">
    <w:p w:rsidR="00AC4627" w:rsidRDefault="00AC4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627" w:rsidRDefault="00AC4627">
      <w:pPr>
        <w:spacing w:after="0" w:line="255" w:lineRule="auto"/>
        <w:ind w:right="0" w:firstLine="0"/>
        <w:jc w:val="left"/>
      </w:pPr>
      <w:r>
        <w:separator/>
      </w:r>
    </w:p>
  </w:footnote>
  <w:footnote w:type="continuationSeparator" w:id="0">
    <w:p w:rsidR="00AC4627" w:rsidRDefault="00AC4627">
      <w:pPr>
        <w:spacing w:after="0" w:line="255" w:lineRule="auto"/>
        <w:ind w:right="0" w:firstLine="0"/>
        <w:jc w:val="left"/>
      </w:pPr>
      <w:r>
        <w:continuationSeparator/>
      </w:r>
    </w:p>
  </w:footnote>
  <w:footnote w:id="1">
    <w:p w:rsidR="00E06BF9" w:rsidRPr="0064624E" w:rsidRDefault="00AC4627" w:rsidP="0064624E">
      <w:pPr>
        <w:pStyle w:val="footnotedescription"/>
        <w:spacing w:line="240" w:lineRule="auto"/>
        <w:rPr>
          <w:szCs w:val="20"/>
        </w:rPr>
      </w:pPr>
      <w:r w:rsidRPr="0064624E">
        <w:rPr>
          <w:rStyle w:val="footnotemark"/>
          <w:szCs w:val="20"/>
        </w:rPr>
        <w:footnoteRef/>
      </w:r>
      <w:r w:rsidRPr="0064624E">
        <w:rPr>
          <w:szCs w:val="20"/>
        </w:rPr>
        <w:t xml:space="preserve"> Acadêmic</w:t>
      </w:r>
      <w:r w:rsidRPr="0064624E">
        <w:rPr>
          <w:szCs w:val="20"/>
        </w:rPr>
        <w:t>a</w:t>
      </w:r>
      <w:r w:rsidRPr="0064624E">
        <w:rPr>
          <w:szCs w:val="20"/>
        </w:rPr>
        <w:t xml:space="preserve"> do curso de Direito da Universidade Federal do Maranhão, Campus Imperatriz. E-mail: b</w:t>
      </w:r>
      <w:r w:rsidRPr="0064624E">
        <w:rPr>
          <w:szCs w:val="20"/>
        </w:rPr>
        <w:t>d,carneiro</w:t>
      </w:r>
      <w:r w:rsidRPr="0064624E">
        <w:rPr>
          <w:szCs w:val="20"/>
        </w:rPr>
        <w:t>@discente.ufma.com</w:t>
      </w:r>
    </w:p>
  </w:footnote>
  <w:footnote w:id="2">
    <w:p w:rsidR="00E06BF9" w:rsidRPr="0064624E" w:rsidRDefault="00AC4627" w:rsidP="0064624E">
      <w:pPr>
        <w:pStyle w:val="footnotedescription"/>
        <w:spacing w:line="240" w:lineRule="auto"/>
        <w:rPr>
          <w:szCs w:val="20"/>
        </w:rPr>
      </w:pPr>
      <w:r w:rsidRPr="0064624E">
        <w:rPr>
          <w:rStyle w:val="footnotemark"/>
          <w:szCs w:val="20"/>
        </w:rPr>
        <w:footnoteRef/>
      </w:r>
      <w:r w:rsidRPr="0064624E">
        <w:rPr>
          <w:szCs w:val="20"/>
        </w:rPr>
        <w:t xml:space="preserve"> </w:t>
      </w:r>
      <w:r w:rsidRPr="0064624E">
        <w:rPr>
          <w:szCs w:val="20"/>
        </w:rPr>
        <w:t>Acadêmica do curso de Direito da Universidade Fe</w:t>
      </w:r>
      <w:r w:rsidRPr="0064624E">
        <w:rPr>
          <w:szCs w:val="20"/>
        </w:rPr>
        <w:t>deral do Maranhão, Campus Imperatriz. Email:</w:t>
      </w:r>
      <w:r w:rsidRPr="0064624E">
        <w:rPr>
          <w:szCs w:val="20"/>
        </w:rPr>
        <w:t>havila.zaine@discente.ufma.com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BF9" w:rsidRDefault="00AC4627">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6984</wp:posOffset>
              </wp:positionV>
              <wp:extent cx="7562088" cy="10682351"/>
              <wp:effectExtent l="0" t="0" r="0" b="0"/>
              <wp:wrapNone/>
              <wp:docPr id="7834" name="Group 7834"/>
              <wp:cNvGraphicFramePr/>
              <a:graphic xmlns:a="http://schemas.openxmlformats.org/drawingml/2006/main">
                <a:graphicData uri="http://schemas.microsoft.com/office/word/2010/wordprocessingGroup">
                  <wpg:wgp>
                    <wpg:cNvGrpSpPr/>
                    <wpg:grpSpPr>
                      <a:xfrm>
                        <a:off x="0" y="0"/>
                        <a:ext cx="7562088" cy="10682351"/>
                        <a:chOff x="0" y="0"/>
                        <a:chExt cx="7562088" cy="10682351"/>
                      </a:xfrm>
                    </wpg:grpSpPr>
                    <pic:pic xmlns:pic="http://schemas.openxmlformats.org/drawingml/2006/picture">
                      <pic:nvPicPr>
                        <pic:cNvPr id="7835" name="Picture 7835"/>
                        <pic:cNvPicPr/>
                      </pic:nvPicPr>
                      <pic:blipFill>
                        <a:blip r:embed="rId1"/>
                        <a:stretch>
                          <a:fillRect/>
                        </a:stretch>
                      </pic:blipFill>
                      <pic:spPr>
                        <a:xfrm>
                          <a:off x="0" y="-3935"/>
                          <a:ext cx="7543800" cy="10661904"/>
                        </a:xfrm>
                        <a:prstGeom prst="rect">
                          <a:avLst/>
                        </a:prstGeom>
                      </pic:spPr>
                    </pic:pic>
                  </wpg:wgp>
                </a:graphicData>
              </a:graphic>
            </wp:anchor>
          </w:drawing>
        </mc:Choice>
        <mc:Fallback>
          <w:pict>
            <v:group id="Group 7834" o:spid="_x0000_s2049" style="width:595.45pt;height:841.15pt;margin-top:0.55pt;margin-left:0;mso-position-horizontal-relative:page;mso-position-vertical-relative:page;position:absolute;z-index:-251657216" coordsize="75620,106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5" o:spid="_x0000_s2050" type="#_x0000_t75" style="width:75438;height:106618;mso-wrap-style:square;position:absolute;top:-39;visibility:visible">
                <v:imagedata r:id="rId2"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BF9" w:rsidRDefault="00AC4627">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6984</wp:posOffset>
              </wp:positionV>
              <wp:extent cx="7562088" cy="10682351"/>
              <wp:effectExtent l="0" t="0" r="0" b="0"/>
              <wp:wrapNone/>
              <wp:docPr id="7831" name="Group 7831"/>
              <wp:cNvGraphicFramePr/>
              <a:graphic xmlns:a="http://schemas.openxmlformats.org/drawingml/2006/main">
                <a:graphicData uri="http://schemas.microsoft.com/office/word/2010/wordprocessingGroup">
                  <wpg:wgp>
                    <wpg:cNvGrpSpPr/>
                    <wpg:grpSpPr>
                      <a:xfrm>
                        <a:off x="0" y="0"/>
                        <a:ext cx="7562088" cy="10682351"/>
                        <a:chOff x="0" y="0"/>
                        <a:chExt cx="7562088" cy="10682351"/>
                      </a:xfrm>
                    </wpg:grpSpPr>
                    <pic:pic xmlns:pic="http://schemas.openxmlformats.org/drawingml/2006/picture">
                      <pic:nvPicPr>
                        <pic:cNvPr id="7832" name="Picture 7832"/>
                        <pic:cNvPicPr/>
                      </pic:nvPicPr>
                      <pic:blipFill>
                        <a:blip r:embed="rId1"/>
                        <a:stretch>
                          <a:fillRect/>
                        </a:stretch>
                      </pic:blipFill>
                      <pic:spPr>
                        <a:xfrm>
                          <a:off x="0" y="-3935"/>
                          <a:ext cx="7543800" cy="10661904"/>
                        </a:xfrm>
                        <a:prstGeom prst="rect">
                          <a:avLst/>
                        </a:prstGeom>
                      </pic:spPr>
                    </pic:pic>
                  </wpg:wgp>
                </a:graphicData>
              </a:graphic>
            </wp:anchor>
          </w:drawing>
        </mc:Choice>
        <mc:Fallback>
          <w:pict>
            <v:group id="Group 7831" o:spid="_x0000_s2051" style="width:595.45pt;height:841.15pt;margin-top:0.55pt;margin-left:0;mso-position-horizontal-relative:page;mso-position-vertical-relative:page;position:absolute;z-index:-251655168" coordsize="75620,106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2" o:spid="_x0000_s2052" type="#_x0000_t75" style="width:75438;height:106618;mso-wrap-style:square;position:absolute;top:-39;visibility:visible">
                <v:imagedata r:id="rId2" o:title=""/>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BF9" w:rsidRDefault="00AC4627">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6984</wp:posOffset>
              </wp:positionV>
              <wp:extent cx="7562088" cy="10682351"/>
              <wp:effectExtent l="0" t="0" r="0" b="0"/>
              <wp:wrapNone/>
              <wp:docPr id="7828" name="Group 7828"/>
              <wp:cNvGraphicFramePr/>
              <a:graphic xmlns:a="http://schemas.openxmlformats.org/drawingml/2006/main">
                <a:graphicData uri="http://schemas.microsoft.com/office/word/2010/wordprocessingGroup">
                  <wpg:wgp>
                    <wpg:cNvGrpSpPr/>
                    <wpg:grpSpPr>
                      <a:xfrm>
                        <a:off x="0" y="0"/>
                        <a:ext cx="7562088" cy="10682351"/>
                        <a:chOff x="0" y="0"/>
                        <a:chExt cx="7562088" cy="10682351"/>
                      </a:xfrm>
                    </wpg:grpSpPr>
                    <pic:pic xmlns:pic="http://schemas.openxmlformats.org/drawingml/2006/picture">
                      <pic:nvPicPr>
                        <pic:cNvPr id="7829" name="Picture 7829"/>
                        <pic:cNvPicPr/>
                      </pic:nvPicPr>
                      <pic:blipFill>
                        <a:blip r:embed="rId1"/>
                        <a:stretch>
                          <a:fillRect/>
                        </a:stretch>
                      </pic:blipFill>
                      <pic:spPr>
                        <a:xfrm>
                          <a:off x="0" y="-3935"/>
                          <a:ext cx="7543800" cy="10661904"/>
                        </a:xfrm>
                        <a:prstGeom prst="rect">
                          <a:avLst/>
                        </a:prstGeom>
                      </pic:spPr>
                    </pic:pic>
                  </wpg:wgp>
                </a:graphicData>
              </a:graphic>
            </wp:anchor>
          </w:drawing>
        </mc:Choice>
        <mc:Fallback>
          <w:pict>
            <v:group id="Group 7828" o:spid="_x0000_s2053" style="width:595.45pt;height:841.15pt;margin-top:0.55pt;margin-left:0;mso-position-horizontal-relative:page;mso-position-vertical-relative:page;position:absolute;z-index:-251653120" coordsize="75620,106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29" o:spid="_x0000_s2054" type="#_x0000_t75" style="width:75438;height:106618;mso-wrap-style:square;position:absolute;top:-39;visibility:visible">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F30AA"/>
    <w:multiLevelType w:val="multilevel"/>
    <w:tmpl w:val="31AA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30B88"/>
    <w:multiLevelType w:val="multilevel"/>
    <w:tmpl w:val="3D9C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A63062"/>
    <w:multiLevelType w:val="multilevel"/>
    <w:tmpl w:val="929CF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3771FC"/>
    <w:multiLevelType w:val="multilevel"/>
    <w:tmpl w:val="63FC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B002BC"/>
    <w:multiLevelType w:val="multilevel"/>
    <w:tmpl w:val="4AB6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483B37"/>
    <w:multiLevelType w:val="multilevel"/>
    <w:tmpl w:val="DA58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C63355"/>
    <w:multiLevelType w:val="multilevel"/>
    <w:tmpl w:val="25EA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E8468A"/>
    <w:multiLevelType w:val="multilevel"/>
    <w:tmpl w:val="AB6C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952C0B"/>
    <w:multiLevelType w:val="multilevel"/>
    <w:tmpl w:val="C0C86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342B8D"/>
    <w:multiLevelType w:val="multilevel"/>
    <w:tmpl w:val="1B30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F1656A"/>
    <w:multiLevelType w:val="multilevel"/>
    <w:tmpl w:val="A40A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D44976"/>
    <w:multiLevelType w:val="multilevel"/>
    <w:tmpl w:val="02E6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C3023C"/>
    <w:multiLevelType w:val="multilevel"/>
    <w:tmpl w:val="D360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4668A2"/>
    <w:multiLevelType w:val="multilevel"/>
    <w:tmpl w:val="C09C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3"/>
  </w:num>
  <w:num w:numId="4">
    <w:abstractNumId w:val="2"/>
  </w:num>
  <w:num w:numId="5">
    <w:abstractNumId w:val="11"/>
  </w:num>
  <w:num w:numId="6">
    <w:abstractNumId w:val="0"/>
  </w:num>
  <w:num w:numId="7">
    <w:abstractNumId w:val="6"/>
  </w:num>
  <w:num w:numId="8">
    <w:abstractNumId w:val="10"/>
  </w:num>
  <w:num w:numId="9">
    <w:abstractNumId w:val="1"/>
  </w:num>
  <w:num w:numId="10">
    <w:abstractNumId w:val="4"/>
  </w:num>
  <w:num w:numId="11">
    <w:abstractNumId w:val="7"/>
  </w:num>
  <w:num w:numId="12">
    <w:abstractNumId w:val="8"/>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F9E"/>
    <w:rsid w:val="00697F9E"/>
    <w:rsid w:val="00AC46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FA703B-0E25-4083-840D-F2545F5FE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61" w:lineRule="auto"/>
      <w:ind w:right="3" w:firstLine="698"/>
      <w:jc w:val="both"/>
    </w:pPr>
    <w:rPr>
      <w:rFonts w:ascii="Arial" w:eastAsia="Arial" w:hAnsi="Arial" w:cs="Arial"/>
      <w:color w:val="000000"/>
    </w:rPr>
  </w:style>
  <w:style w:type="paragraph" w:styleId="Ttulo1">
    <w:name w:val="heading 1"/>
    <w:next w:val="Normal"/>
    <w:link w:val="Ttulo1Char"/>
    <w:uiPriority w:val="9"/>
    <w:qFormat/>
    <w:pPr>
      <w:keepNext/>
      <w:keepLines/>
      <w:spacing w:after="0" w:line="259" w:lineRule="auto"/>
      <w:ind w:left="2845" w:hanging="10"/>
      <w:outlineLvl w:val="0"/>
    </w:pPr>
    <w:rPr>
      <w:rFonts w:ascii="Arial" w:eastAsia="Arial" w:hAnsi="Arial" w:cs="Arial"/>
      <w:b/>
      <w:color w:val="000000"/>
      <w:sz w:val="20"/>
    </w:rPr>
  </w:style>
  <w:style w:type="paragraph" w:styleId="Ttulo3">
    <w:name w:val="heading 3"/>
    <w:basedOn w:val="Normal"/>
    <w:next w:val="Normal"/>
    <w:link w:val="Ttulo3Char"/>
    <w:uiPriority w:val="9"/>
    <w:semiHidden/>
    <w:unhideWhenUsed/>
    <w:qFormat/>
    <w:rsid w:val="00F90CCC"/>
    <w:pPr>
      <w:keepNext/>
      <w:keepLines/>
      <w:spacing w:before="40" w:after="0"/>
      <w:outlineLvl w:val="2"/>
    </w:pPr>
    <w:rPr>
      <w:rFonts w:asciiTheme="majorHAnsi" w:eastAsiaTheme="majorEastAsia" w:hAnsiTheme="majorHAnsi" w:cstheme="majorBidi"/>
      <w:color w:val="0A2F40" w:themeColor="accent1" w:themeShade="7F"/>
    </w:rPr>
  </w:style>
  <w:style w:type="paragraph" w:styleId="Ttulo4">
    <w:name w:val="heading 4"/>
    <w:basedOn w:val="Normal"/>
    <w:next w:val="Normal"/>
    <w:link w:val="Ttulo4Char"/>
    <w:uiPriority w:val="9"/>
    <w:semiHidden/>
    <w:unhideWhenUsed/>
    <w:qFormat/>
    <w:rsid w:val="00BC4EC9"/>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0"/>
    </w:rPr>
  </w:style>
  <w:style w:type="paragraph" w:customStyle="1" w:styleId="footnotedescription">
    <w:name w:val="footnote description"/>
    <w:next w:val="Normal"/>
    <w:link w:val="footnotedescriptionChar"/>
    <w:hidden/>
    <w:pPr>
      <w:spacing w:after="0" w:line="255" w:lineRule="auto"/>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character" w:customStyle="1" w:styleId="Ttulo3Char">
    <w:name w:val="Título 3 Char"/>
    <w:basedOn w:val="Fontepargpadro"/>
    <w:link w:val="Ttulo3"/>
    <w:uiPriority w:val="9"/>
    <w:semiHidden/>
    <w:rsid w:val="00F90CCC"/>
    <w:rPr>
      <w:rFonts w:asciiTheme="majorHAnsi" w:eastAsiaTheme="majorEastAsia" w:hAnsiTheme="majorHAnsi" w:cstheme="majorBidi"/>
      <w:color w:val="0A2F40" w:themeColor="accent1" w:themeShade="7F"/>
    </w:rPr>
  </w:style>
  <w:style w:type="character" w:customStyle="1" w:styleId="Ttulo4Char">
    <w:name w:val="Título 4 Char"/>
    <w:basedOn w:val="Fontepargpadro"/>
    <w:link w:val="Ttulo4"/>
    <w:uiPriority w:val="9"/>
    <w:semiHidden/>
    <w:rsid w:val="00BC4EC9"/>
    <w:rPr>
      <w:rFonts w:asciiTheme="majorHAnsi" w:eastAsiaTheme="majorEastAsia" w:hAnsiTheme="majorHAnsi" w:cstheme="majorBidi"/>
      <w:i/>
      <w:iCs/>
      <w:color w:val="0F4761" w:themeColor="accent1" w:themeShade="BF"/>
    </w:rPr>
  </w:style>
  <w:style w:type="paragraph" w:styleId="PargrafodaLista">
    <w:name w:val="List Paragraph"/>
    <w:basedOn w:val="Normal"/>
    <w:uiPriority w:val="34"/>
    <w:qFormat/>
    <w:rsid w:val="004F671C"/>
    <w:pPr>
      <w:ind w:left="720"/>
      <w:contextualSpacing/>
    </w:pPr>
  </w:style>
  <w:style w:type="character" w:styleId="Hyperlink">
    <w:name w:val="Hyperlink"/>
    <w:basedOn w:val="Fontepargpadro"/>
    <w:uiPriority w:val="99"/>
    <w:unhideWhenUsed/>
    <w:rsid w:val="00AF2947"/>
    <w:rPr>
      <w:color w:val="467886" w:themeColor="hyperlink"/>
      <w:u w:val="single"/>
    </w:rPr>
  </w:style>
  <w:style w:type="character" w:customStyle="1" w:styleId="UnresolvedMention">
    <w:name w:val="Unresolved Mention"/>
    <w:basedOn w:val="Fontepargpadro"/>
    <w:uiPriority w:val="99"/>
    <w:semiHidden/>
    <w:unhideWhenUsed/>
    <w:rsid w:val="00AF2947"/>
    <w:rPr>
      <w:color w:val="605E5C"/>
      <w:shd w:val="clear" w:color="auto" w:fill="E1DFDD"/>
    </w:rPr>
  </w:style>
  <w:style w:type="paragraph" w:styleId="Textodenotaderodap">
    <w:name w:val="footnote text"/>
    <w:basedOn w:val="Normal"/>
    <w:link w:val="TextodenotaderodapChar"/>
    <w:uiPriority w:val="99"/>
    <w:semiHidden/>
    <w:unhideWhenUsed/>
    <w:rsid w:val="00CF213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F2135"/>
    <w:rPr>
      <w:rFonts w:ascii="Arial" w:eastAsia="Arial" w:hAnsi="Arial" w:cs="Arial"/>
      <w:color w:val="000000"/>
      <w:sz w:val="20"/>
      <w:szCs w:val="20"/>
    </w:rPr>
  </w:style>
  <w:style w:type="character" w:styleId="Refdenotaderodap">
    <w:name w:val="footnote reference"/>
    <w:basedOn w:val="Fontepargpadro"/>
    <w:uiPriority w:val="99"/>
    <w:semiHidden/>
    <w:unhideWhenUsed/>
    <w:rsid w:val="00CF21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planalto.gov.br/ccivil_03/constituicao/constituicao.htm" TargetMode="External"/><Relationship Id="rId13" Type="http://schemas.openxmlformats.org/officeDocument/2006/relationships/hyperlink" Target="https://repositorio.ipea.gov.br/bitstream/11058/12371/1/TD_2921_web.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jusbrasil.com.br/artigos/acesso-a-justica-e-suas-barreiras-frente-ao-sistema-de-justica-multiportas-e-a-efetividade-jurisdicional-no-brasil/145007313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erechoycambiosocial.org/index.php/revista/article/view/295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j.jus.br" TargetMode="External"/><Relationship Id="rId5" Type="http://schemas.openxmlformats.org/officeDocument/2006/relationships/webSettings" Target="webSettings.xml"/><Relationship Id="rId15" Type="http://schemas.openxmlformats.org/officeDocument/2006/relationships/hyperlink" Target="https://journalppc.com/RPPC/article/view/1464" TargetMode="External"/><Relationship Id="rId10" Type="http://schemas.openxmlformats.org/officeDocument/2006/relationships/hyperlink" Target="https://www.arbitragembr.com.b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camesbrasil.com.br/" TargetMode="External"/><Relationship Id="rId14" Type="http://schemas.openxmlformats.org/officeDocument/2006/relationships/hyperlink" Target="https://repositorio.ufmg.br/handle/1843/3936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EC9B8-0002-48FA-8491-1391D312D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3945</Words>
  <Characters>21307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Zaira Sabry</cp:lastModifiedBy>
  <cp:revision>2</cp:revision>
  <dcterms:created xsi:type="dcterms:W3CDTF">2025-08-21T13:45:00Z</dcterms:created>
  <dcterms:modified xsi:type="dcterms:W3CDTF">2025-08-21T13:45:00Z</dcterms:modified>
</cp:coreProperties>
</file>