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4E6" w:rsidRDefault="009E18D5">
      <w:pPr>
        <w:spacing w:line="360" w:lineRule="auto"/>
        <w:jc w:val="center"/>
        <w:rPr>
          <w:sz w:val="24"/>
          <w:szCs w:val="24"/>
          <w:highlight w:val="yellow"/>
        </w:rPr>
      </w:pPr>
      <w:r>
        <w:rPr>
          <w:b/>
          <w:sz w:val="24"/>
          <w:szCs w:val="24"/>
        </w:rPr>
        <w:t>MARCAS NA INFÂNCIA E ADOLESCÊNCIA:</w:t>
      </w:r>
      <w:r>
        <w:rPr>
          <w:sz w:val="24"/>
          <w:szCs w:val="24"/>
        </w:rPr>
        <w:t xml:space="preserve"> O racismo sob a aparência de </w:t>
      </w:r>
      <w:proofErr w:type="spellStart"/>
      <w:r>
        <w:rPr>
          <w:i/>
          <w:sz w:val="24"/>
          <w:szCs w:val="24"/>
        </w:rPr>
        <w:t>bullying</w:t>
      </w:r>
      <w:proofErr w:type="spellEnd"/>
    </w:p>
    <w:p w:rsidR="00ED64E6" w:rsidRDefault="009E18D5">
      <w:pPr>
        <w:spacing w:line="240" w:lineRule="auto"/>
        <w:ind w:left="2835"/>
        <w:jc w:val="right"/>
        <w:rPr>
          <w:sz w:val="20"/>
          <w:szCs w:val="20"/>
        </w:rPr>
      </w:pPr>
      <w:r>
        <w:rPr>
          <w:sz w:val="20"/>
          <w:szCs w:val="20"/>
        </w:rPr>
        <w:t>Ariane Andrade da Silva</w:t>
      </w:r>
      <w:r>
        <w:rPr>
          <w:sz w:val="20"/>
          <w:szCs w:val="20"/>
          <w:vertAlign w:val="superscript"/>
        </w:rPr>
        <w:footnoteReference w:id="1"/>
      </w:r>
    </w:p>
    <w:p w:rsidR="00ED64E6" w:rsidRDefault="00ED64E6">
      <w:pPr>
        <w:spacing w:line="240" w:lineRule="auto"/>
        <w:ind w:left="2835"/>
        <w:jc w:val="both"/>
        <w:rPr>
          <w:sz w:val="20"/>
          <w:szCs w:val="20"/>
        </w:rPr>
      </w:pPr>
      <w:bookmarkStart w:id="0" w:name="_GoBack"/>
      <w:bookmarkEnd w:id="0"/>
    </w:p>
    <w:p w:rsidR="00ED64E6" w:rsidRDefault="009E18D5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Resumo </w:t>
      </w:r>
    </w:p>
    <w:p w:rsidR="00ED64E6" w:rsidRDefault="009E18D5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texto aborda como crianças e adolescentes negros, indígenas e pobres são vítimas de violência no decorrer da história. Ademais, buscamos diferenciar o racismo do </w:t>
      </w:r>
      <w:proofErr w:type="spellStart"/>
      <w:r>
        <w:rPr>
          <w:i/>
          <w:sz w:val="20"/>
          <w:szCs w:val="20"/>
        </w:rPr>
        <w:t>bullying</w:t>
      </w:r>
      <w:proofErr w:type="spellEnd"/>
      <w:r>
        <w:rPr>
          <w:sz w:val="20"/>
          <w:szCs w:val="20"/>
        </w:rPr>
        <w:t>. O objetivo do estudo é analisar os impactos dessas violências no desenvolvimento p</w:t>
      </w:r>
      <w:r>
        <w:rPr>
          <w:sz w:val="20"/>
          <w:szCs w:val="20"/>
        </w:rPr>
        <w:t xml:space="preserve">sicológico e social do público </w:t>
      </w:r>
      <w:proofErr w:type="spellStart"/>
      <w:r>
        <w:rPr>
          <w:sz w:val="20"/>
          <w:szCs w:val="20"/>
        </w:rPr>
        <w:t>infantojuvenil</w:t>
      </w:r>
      <w:proofErr w:type="spellEnd"/>
      <w:r>
        <w:rPr>
          <w:sz w:val="20"/>
          <w:szCs w:val="20"/>
        </w:rPr>
        <w:t xml:space="preserve"> brasileiro. A pesquisa, de caráter qualitativo e exploratório, baseia-se em revisão de literatura e recortes midiáticos, a partir das categorias infância, adolescência, violência, </w:t>
      </w:r>
      <w:proofErr w:type="spellStart"/>
      <w:r>
        <w:rPr>
          <w:i/>
          <w:sz w:val="20"/>
          <w:szCs w:val="20"/>
        </w:rPr>
        <w:t>bullying</w:t>
      </w:r>
      <w:proofErr w:type="spellEnd"/>
      <w:r>
        <w:rPr>
          <w:sz w:val="20"/>
          <w:szCs w:val="20"/>
        </w:rPr>
        <w:t xml:space="preserve"> e racismo. O trabalho</w:t>
      </w:r>
      <w:r>
        <w:rPr>
          <w:sz w:val="20"/>
          <w:szCs w:val="20"/>
        </w:rPr>
        <w:t xml:space="preserve"> foi desenvolvido a partir do Trabalho de Conclusão de Curso da autora, e conta com algumas adaptações de conexão textual, ademais, a participação no Núcleo de Pesquisa e Extensão Comunitária Infanto-Juvenil (NUPECIJ) da Universidade Estadual da Paraíba ta</w:t>
      </w:r>
      <w:r>
        <w:rPr>
          <w:sz w:val="20"/>
          <w:szCs w:val="20"/>
        </w:rPr>
        <w:t xml:space="preserve">mbém foi de suma importância. As análises revelam que práticas como o </w:t>
      </w:r>
      <w:proofErr w:type="spellStart"/>
      <w:r>
        <w:rPr>
          <w:i/>
          <w:sz w:val="20"/>
          <w:szCs w:val="20"/>
        </w:rPr>
        <w:t>bullying</w:t>
      </w:r>
      <w:proofErr w:type="spellEnd"/>
      <w:r>
        <w:rPr>
          <w:sz w:val="20"/>
          <w:szCs w:val="20"/>
        </w:rPr>
        <w:t xml:space="preserve"> racial e o racismo recreativo reforçam o racismo estrutural, afetando a autoestima e o bem-estar de crianças e adolescentes.</w:t>
      </w:r>
    </w:p>
    <w:p w:rsidR="00ED64E6" w:rsidRDefault="009E18D5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Infância/adolescência; </w:t>
      </w:r>
      <w:proofErr w:type="spellStart"/>
      <w:r>
        <w:rPr>
          <w:i/>
          <w:sz w:val="20"/>
          <w:szCs w:val="20"/>
        </w:rPr>
        <w:t>Bullying</w:t>
      </w:r>
      <w:proofErr w:type="spellEnd"/>
      <w:r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Rac</w:t>
      </w:r>
      <w:r>
        <w:rPr>
          <w:sz w:val="20"/>
          <w:szCs w:val="20"/>
        </w:rPr>
        <w:t>ismo</w:t>
      </w:r>
      <w:r>
        <w:rPr>
          <w:sz w:val="20"/>
          <w:szCs w:val="20"/>
        </w:rPr>
        <w:t xml:space="preserve">. </w:t>
      </w:r>
    </w:p>
    <w:p w:rsidR="00ED64E6" w:rsidRDefault="00ED64E6">
      <w:pPr>
        <w:spacing w:line="240" w:lineRule="auto"/>
        <w:ind w:left="2835"/>
        <w:jc w:val="both"/>
        <w:rPr>
          <w:sz w:val="20"/>
          <w:szCs w:val="20"/>
        </w:rPr>
      </w:pPr>
    </w:p>
    <w:p w:rsidR="00ED64E6" w:rsidRDefault="009E18D5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ED64E6" w:rsidRDefault="009E18D5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proofErr w:type="spellStart"/>
      <w:r>
        <w:rPr>
          <w:sz w:val="20"/>
          <w:szCs w:val="20"/>
        </w:rPr>
        <w:t>text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discusses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how</w:t>
      </w:r>
      <w:proofErr w:type="spellEnd"/>
      <w:r>
        <w:rPr>
          <w:sz w:val="20"/>
          <w:szCs w:val="20"/>
        </w:rPr>
        <w:t xml:space="preserve"> Black, </w:t>
      </w:r>
      <w:proofErr w:type="spellStart"/>
      <w:r>
        <w:rPr>
          <w:sz w:val="20"/>
          <w:szCs w:val="20"/>
        </w:rPr>
        <w:t>Indigenous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adolescents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historically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victims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Additionally</w:t>
      </w:r>
      <w:proofErr w:type="spellEnd"/>
      <w:r>
        <w:rPr>
          <w:sz w:val="20"/>
          <w:szCs w:val="20"/>
        </w:rPr>
        <w:t xml:space="preserve">, it </w:t>
      </w:r>
      <w:proofErr w:type="spellStart"/>
      <w:r>
        <w:rPr>
          <w:sz w:val="20"/>
          <w:szCs w:val="20"/>
        </w:rPr>
        <w:t>seeks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distinguish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between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bullying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aim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impact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r>
        <w:rPr>
          <w:sz w:val="20"/>
          <w:szCs w:val="20"/>
        </w:rPr>
        <w:t>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psychological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and</w:t>
      </w:r>
      <w:proofErr w:type="spellEnd"/>
      <w:proofErr w:type="gram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development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Brazilian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youth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qualitative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exploratory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literature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review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media </w:t>
      </w:r>
      <w:proofErr w:type="spellStart"/>
      <w:r>
        <w:rPr>
          <w:sz w:val="20"/>
          <w:szCs w:val="20"/>
        </w:rPr>
        <w:t>excerpts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using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categories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childhood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adolescence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bullyi</w:t>
      </w:r>
      <w:r>
        <w:rPr>
          <w:sz w:val="20"/>
          <w:szCs w:val="20"/>
        </w:rPr>
        <w:t>ng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developed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author's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undergraduate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thesis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with</w:t>
      </w:r>
      <w:proofErr w:type="spellEnd"/>
      <w:r>
        <w:rPr>
          <w:sz w:val="20"/>
          <w:szCs w:val="20"/>
        </w:rPr>
        <w:t xml:space="preserve"> some textual </w:t>
      </w:r>
      <w:proofErr w:type="spellStart"/>
      <w:r>
        <w:rPr>
          <w:sz w:val="20"/>
          <w:szCs w:val="20"/>
        </w:rPr>
        <w:t>adjustments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participation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Community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Extension</w:t>
      </w:r>
      <w:proofErr w:type="spellEnd"/>
      <w:r>
        <w:rPr>
          <w:sz w:val="20"/>
          <w:szCs w:val="20"/>
        </w:rPr>
        <w:t xml:space="preserve"> Center (NUPECIJ) </w:t>
      </w: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University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Paraíba </w:t>
      </w:r>
      <w:proofErr w:type="spellStart"/>
      <w:r>
        <w:rPr>
          <w:sz w:val="20"/>
          <w:szCs w:val="20"/>
        </w:rPr>
        <w:t>was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great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</w:t>
      </w:r>
      <w:r>
        <w:rPr>
          <w:sz w:val="20"/>
          <w:szCs w:val="20"/>
        </w:rPr>
        <w:t>portance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analyses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reveal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practices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such</w:t>
      </w:r>
      <w:proofErr w:type="spellEnd"/>
      <w:r>
        <w:rPr>
          <w:sz w:val="20"/>
          <w:szCs w:val="20"/>
        </w:rPr>
        <w:t xml:space="preserve"> as racial </w:t>
      </w:r>
      <w:proofErr w:type="spellStart"/>
      <w:r>
        <w:rPr>
          <w:sz w:val="20"/>
          <w:szCs w:val="20"/>
        </w:rPr>
        <w:t>bullying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recreational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reinforce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structural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affecting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self-</w:t>
      </w:r>
      <w:proofErr w:type="spellStart"/>
      <w:r>
        <w:rPr>
          <w:sz w:val="20"/>
          <w:szCs w:val="20"/>
        </w:rPr>
        <w:t>esteem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well-being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adolescents</w:t>
      </w:r>
      <w:proofErr w:type="spellEnd"/>
      <w:r>
        <w:rPr>
          <w:sz w:val="20"/>
          <w:szCs w:val="20"/>
        </w:rPr>
        <w:t>.</w:t>
      </w:r>
    </w:p>
    <w:p w:rsidR="00ED64E6" w:rsidRDefault="009E18D5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Childhood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Adolescence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Bullying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>.</w:t>
      </w:r>
    </w:p>
    <w:p w:rsidR="00ED64E6" w:rsidRDefault="00ED64E6">
      <w:pPr>
        <w:spacing w:line="240" w:lineRule="auto"/>
        <w:ind w:left="2835"/>
        <w:jc w:val="both"/>
        <w:rPr>
          <w:sz w:val="20"/>
          <w:szCs w:val="20"/>
        </w:rPr>
      </w:pPr>
    </w:p>
    <w:p w:rsidR="00ED64E6" w:rsidRDefault="009E18D5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longo da história do Brasil, crianças e adolescentes negros, indígenas e pobres foram sistematicamente excluídos de políticas de proteção, sendo tratados com descaso e desumanidade desde o período colonial. A infância negra, em </w:t>
      </w:r>
      <w:r>
        <w:rPr>
          <w:sz w:val="24"/>
          <w:szCs w:val="24"/>
        </w:rPr>
        <w:lastRenderedPageBreak/>
        <w:t>especial, foi marcada po</w:t>
      </w:r>
      <w:r>
        <w:rPr>
          <w:sz w:val="24"/>
          <w:szCs w:val="24"/>
        </w:rPr>
        <w:t>r violências que incluem trabalho forçado, abandono institucional e apagamento da identidade cultural, cujos impactos ainda reverberam na sociedade contemporânea.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Atualmente, essas violências se manifestam de formas diversas, como o racismo estrutural, ins</w:t>
      </w:r>
      <w:r>
        <w:rPr>
          <w:sz w:val="24"/>
          <w:szCs w:val="24"/>
        </w:rPr>
        <w:t xml:space="preserve">titucional, interpessoal e também como 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. Tais práticas afetam o desenvolvimento psicossocial de crianças e adolescentes, comprometendo sua autoestima, convivência social e saúde mental. A confusão entre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e racismo, muitas vezes, resulta n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invisibilização</w:t>
      </w:r>
      <w:proofErr w:type="spellEnd"/>
      <w:r>
        <w:rPr>
          <w:sz w:val="24"/>
          <w:szCs w:val="24"/>
        </w:rPr>
        <w:t xml:space="preserve"> das raízes históricas e estruturais dessas violências.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disso, este estudo busca analisar os impactos do racismo e do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no segmento </w:t>
      </w:r>
      <w:proofErr w:type="spellStart"/>
      <w:r>
        <w:rPr>
          <w:sz w:val="24"/>
          <w:szCs w:val="24"/>
        </w:rPr>
        <w:t>infantojuvenil</w:t>
      </w:r>
      <w:proofErr w:type="spellEnd"/>
      <w:r>
        <w:rPr>
          <w:sz w:val="24"/>
          <w:szCs w:val="24"/>
        </w:rPr>
        <w:t xml:space="preserve"> brasileiro, com base em revisão bibliográfica, recortes midiáticos e casos rea</w:t>
      </w:r>
      <w:r>
        <w:rPr>
          <w:sz w:val="24"/>
          <w:szCs w:val="24"/>
        </w:rPr>
        <w:t>is. A investigação visa contribuir para o entendimento das especificidades dessas violações e reforçar a necessidade de políticas públicas e ações educativas voltadas à promoção do respeito, da diversidade e dos direitos das crianças e adolescentes.</w:t>
      </w:r>
    </w:p>
    <w:p w:rsidR="00ED64E6" w:rsidRDefault="00ED64E6">
      <w:pPr>
        <w:spacing w:line="360" w:lineRule="auto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UM</w:t>
      </w:r>
      <w:r>
        <w:rPr>
          <w:b/>
          <w:sz w:val="24"/>
          <w:szCs w:val="24"/>
        </w:rPr>
        <w:t>A BREVE ANÁLISE HISTÓRICA DA INFÂNCIA NEGRA NO BRASIL</w:t>
      </w:r>
    </w:p>
    <w:p w:rsidR="00ED64E6" w:rsidRDefault="00ED64E6">
      <w:pPr>
        <w:spacing w:line="360" w:lineRule="auto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A infância e a adolescência no Brasil foram historicamente marcadas pela negligência e violência, sobretudo contra crianças negras, indígenas e pobres. Durante o período colonial, elas eram tratadas co</w:t>
      </w:r>
      <w:r>
        <w:rPr>
          <w:sz w:val="24"/>
          <w:szCs w:val="24"/>
        </w:rPr>
        <w:t xml:space="preserve">mo força de trabalho e desprovidas de direitos. Mesmo após avanços legais, como a Constituição de 1988 e o Estatuto da Criança e do Adolescente, essas populações seguem enfrentando desigualdades herdadas de um passado de exclusão, racismo e invisibilidade </w:t>
      </w:r>
      <w:r>
        <w:rPr>
          <w:sz w:val="24"/>
          <w:szCs w:val="24"/>
        </w:rPr>
        <w:t>social.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No Brasil Colônia, as crianças e adolescentes não eram vistos como um público que deveria ser priorizado, cuidado e protegido. Nas palavras de Cunha (2016), as crianças eram vistas como animais, e tinha-se a ideia de que a força de trabalho delas t</w:t>
      </w:r>
      <w:r>
        <w:rPr>
          <w:sz w:val="24"/>
          <w:szCs w:val="24"/>
        </w:rPr>
        <w:t>ambém deveria ser absorvida. A autora ainda destaca a irrelevância dada às crianças e adolescentes.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Essa irrelevância</w:t>
      </w:r>
      <w:r>
        <w:rPr>
          <w:sz w:val="24"/>
          <w:szCs w:val="24"/>
        </w:rPr>
        <w:t xml:space="preserve"> pode ser expressa devido a insuficiência de maiores registros, e mais ainda em relação às crianças pobres e negras, um dos pontos que podem ter contribuído com esse descaso é mencionado por Cunha (2016) “[...] a História por muito tempo relatou os fatos d</w:t>
      </w:r>
      <w:r>
        <w:rPr>
          <w:sz w:val="24"/>
          <w:szCs w:val="24"/>
        </w:rPr>
        <w:t>o ponto de vista da população mais forte e dominante, e obviamente a criança não seria o ponto de partida para tais relatos” (Cunha, 2016, p. 51).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Outra particularidade da infância de crianças negras e que gostaríamos de apontar, trata-se da criança cativa</w:t>
      </w:r>
      <w:r>
        <w:rPr>
          <w:sz w:val="24"/>
          <w:szCs w:val="24"/>
        </w:rPr>
        <w:t xml:space="preserve"> e a forma como ela deveria ser tratada. Apesar de Góes e Florentino (2010) abordarem especificamente sobre a criança cativa do Rio de Janeiro, eles mencionam que os sobreviventes aos tempos hostis (devido aos altos índices de mortalidade infantil) estavam</w:t>
      </w:r>
      <w:r>
        <w:rPr>
          <w:sz w:val="24"/>
          <w:szCs w:val="24"/>
        </w:rPr>
        <w:t xml:space="preserve"> entregues a um destino tenebroso. Assim como a cana-de-açúcar deve ser “fervida”, “torcida” e “arrastada”, o mesmo se aplicava aos escravos filhos e pais (Góes e Florentino, 2010).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Veremos que o povo indígena tampouco ficou isento da violência portuguesa e dos danos provenientes dessas práticas na época colonial, o que inclui não apenas uma perda da identidade de crianças e adolescentes negros(as), mas a de indígenas também:</w:t>
      </w: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Desde o </w:t>
      </w:r>
      <w:r>
        <w:rPr>
          <w:sz w:val="20"/>
          <w:szCs w:val="20"/>
        </w:rPr>
        <w:t>período colonial, as crianças e adolescentes conheceram a violência a partir da colonização portuguesa, quando a Igreja, através da ação de jesuítas, impunha a evangelização às crianças indígenas e, desta forma cruel, provocava a perda de sua identidade (S</w:t>
      </w:r>
      <w:r>
        <w:rPr>
          <w:sz w:val="20"/>
          <w:szCs w:val="20"/>
        </w:rPr>
        <w:t>antos, 2008, p. 15).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Ao mesmo tempo em que foi determinada a evangelização das crianças indígenas, por outro lado “As crianças negras eram tidas como brinquedos e animais de estimação das crianças brancas” (Santos, 2008, p. 15). Além disso, em 1521, crian</w:t>
      </w:r>
      <w:r>
        <w:rPr>
          <w:sz w:val="24"/>
          <w:szCs w:val="24"/>
        </w:rPr>
        <w:t xml:space="preserve">ças indígenas e negras passaram por um processo de “abandono” nas denominadas “rodas dos expostos” das casas de misericórdia. As rodas tinham como objetivo o recolhimento de crianças abandonadas e indesejadas na sociedade. Sendo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definida como um: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[..</w:t>
      </w:r>
      <w:r>
        <w:rPr>
          <w:sz w:val="20"/>
          <w:szCs w:val="20"/>
        </w:rPr>
        <w:t xml:space="preserve">.] cilindro giratório localizado na parede dessas instituições, onde as pessoas abandonavam as crianças chamadas ilegítimas. Assim, surgiram as casas de assistência ou de orfandade. Embora não seja o momento para uma </w:t>
      </w:r>
      <w:r>
        <w:rPr>
          <w:sz w:val="20"/>
          <w:szCs w:val="20"/>
        </w:rPr>
        <w:lastRenderedPageBreak/>
        <w:t>análise das relações de gênero na colôn</w:t>
      </w:r>
      <w:r>
        <w:rPr>
          <w:sz w:val="20"/>
          <w:szCs w:val="20"/>
        </w:rPr>
        <w:t>ia, cabe lembrar que as crianças denominadas ilegítimas eram fruto do estupro, em sua maioria, de mulheres indígenas e negras (Santos, 2008, p. 15).</w:t>
      </w:r>
    </w:p>
    <w:p w:rsidR="00ED64E6" w:rsidRDefault="00ED64E6">
      <w:pPr>
        <w:spacing w:line="360" w:lineRule="auto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ind w:firstLine="705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Também é importante mencionar que Mesmo com a abolição da escravatura, em 1888, a violência não deixou de </w:t>
      </w:r>
      <w:r>
        <w:rPr>
          <w:sz w:val="24"/>
          <w:szCs w:val="24"/>
        </w:rPr>
        <w:t>ser direcionada às crianças negras e suas famílias, a falsa liberdade dessas pessoas pode ser elucidada a partir dos subsídios provenientes do aparato legislativo vigente no país: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Após a abolição da escravatura, em 1888, a vida das crianças negras e de su</w:t>
      </w:r>
      <w:r>
        <w:rPr>
          <w:sz w:val="20"/>
          <w:szCs w:val="20"/>
        </w:rPr>
        <w:t xml:space="preserve">as famílias têm a exclusão e a violência redesenhadas sobre o manto de uma liberdade falseada e substituída por novos mecanismos racistas e de genocídio. Novamente, a principal legislação do país está na esfera do controle, centrando-se no Código Criminal </w:t>
      </w:r>
      <w:r>
        <w:rPr>
          <w:sz w:val="20"/>
          <w:szCs w:val="20"/>
        </w:rPr>
        <w:t>da República de 1890 (Rocha, 2022a, p. 254).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É apenas no Brasil República que a infância e adolescência passam a ser pensadas no âmbito jurídico, dessa vez, desgarrando-se do viés caritativo, mais precisamente na transição para o século XX (Lira, 2022). A</w:t>
      </w:r>
      <w:r>
        <w:rPr>
          <w:sz w:val="24"/>
          <w:szCs w:val="24"/>
        </w:rPr>
        <w:t xml:space="preserve"> partir daí, Silva; Pereira; Santos e Lira (2024), com base em Lira (2022), apontam alguns outros marcos legais voltados para as crianças e adolescentes do Brasil: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Alguns deles são: as discussões em câmaras, a responsabilização do Estado, novas leis, o pr</w:t>
      </w:r>
      <w:r>
        <w:rPr>
          <w:sz w:val="20"/>
          <w:szCs w:val="20"/>
        </w:rPr>
        <w:t xml:space="preserve">imeiro código de menores e o momento em que as crianças e adolescentes passaram a ser sujeitos de direito com a Constituição Federal de 1988 (Silva; Pereira; Santos e Lira, 2024, p. 4).  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crianças e adolescentes passaram a ser vistos como sujeitos </w:t>
      </w:r>
      <w:r>
        <w:rPr>
          <w:sz w:val="24"/>
          <w:szCs w:val="24"/>
        </w:rPr>
        <w:t>de direito apenas com a Constituição de 1988, e sua regulamentação por meio da promulgação do Estatuto da Criança e do adolescente em 1990. Contudo, Saraiva (2019) nos mostra que só a regulamentação na esfera do direito não gera modificações suficientes na</w:t>
      </w:r>
      <w:r>
        <w:rPr>
          <w:sz w:val="24"/>
          <w:szCs w:val="24"/>
        </w:rPr>
        <w:t xml:space="preserve"> vida desse público, que decorre de elementos históricos que configuram parte significativa da vida social, em uma sociedade implicada pela natureza de um capitalismo periférico dependente e seus fundamentos, econômicos, políticos e socioculturais, que o p</w:t>
      </w:r>
      <w:r>
        <w:rPr>
          <w:sz w:val="24"/>
          <w:szCs w:val="24"/>
        </w:rPr>
        <w:t xml:space="preserve">articularizam. </w:t>
      </w:r>
    </w:p>
    <w:p w:rsidR="00ED64E6" w:rsidRDefault="00ED64E6">
      <w:pPr>
        <w:spacing w:line="360" w:lineRule="auto"/>
        <w:ind w:firstLine="705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        O RACISMO NA SOCIEDADE BRASILEIRA E AS TIPOLOGIAS</w:t>
      </w:r>
    </w:p>
    <w:p w:rsidR="00ED64E6" w:rsidRDefault="00ED64E6">
      <w:pPr>
        <w:spacing w:line="360" w:lineRule="auto"/>
        <w:jc w:val="both"/>
        <w:rPr>
          <w:b/>
          <w:sz w:val="24"/>
          <w:szCs w:val="24"/>
        </w:rPr>
      </w:pP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A escravidão e exploração ao longo dos séculos no Brasil, é um fato crucial no que tange os estudos do racismo estrutural e apreensões mais precisas. Ademais, se faz essencial esp</w:t>
      </w:r>
      <w:r>
        <w:rPr>
          <w:sz w:val="24"/>
          <w:szCs w:val="24"/>
        </w:rPr>
        <w:t>ecificar esse tipo de concepção, dada a sua complexidade e a ligação a aspectos da estrutura social. Desse modo, Oliveira (2021) sinaliza que:</w:t>
      </w: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A concepção de racismo estrutural se encaixa na perspectiva da luta pela hegemonia da concepção materialista de r</w:t>
      </w:r>
      <w:r>
        <w:rPr>
          <w:sz w:val="20"/>
          <w:szCs w:val="20"/>
        </w:rPr>
        <w:t xml:space="preserve">acismo. Não se trata apenas de uma outra dimensão da percepção do racismo – o racismo estrutural distinto do institucional e do individual/comportamental. Mas de entender que o racismo estrutural é conceber o racismo como produto de uma estrutura </w:t>
      </w:r>
      <w:proofErr w:type="spellStart"/>
      <w:r>
        <w:rPr>
          <w:sz w:val="20"/>
          <w:szCs w:val="20"/>
        </w:rPr>
        <w:t>sócio-his</w:t>
      </w:r>
      <w:r>
        <w:rPr>
          <w:sz w:val="20"/>
          <w:szCs w:val="20"/>
        </w:rPr>
        <w:t>tórica</w:t>
      </w:r>
      <w:proofErr w:type="spellEnd"/>
      <w:r>
        <w:rPr>
          <w:sz w:val="20"/>
          <w:szCs w:val="20"/>
        </w:rPr>
        <w:t xml:space="preserve"> de produção e reprodução de riquezas. Portanto, é na base material das sociedades que se devem buscar os fundamentos do racismo estrutural (Oliveira, 2021, p. 66-67). 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360" w:lineRule="auto"/>
        <w:ind w:firstLine="705"/>
        <w:jc w:val="both"/>
        <w:rPr>
          <w:b/>
          <w:sz w:val="24"/>
          <w:szCs w:val="24"/>
        </w:rPr>
      </w:pPr>
      <w:r>
        <w:rPr>
          <w:sz w:val="24"/>
          <w:szCs w:val="24"/>
        </w:rPr>
        <w:t>Já o racismo interpessoal ocorre de maneira mais escancarada, considera-se uma d</w:t>
      </w:r>
      <w:r>
        <w:rPr>
          <w:sz w:val="24"/>
          <w:szCs w:val="24"/>
        </w:rPr>
        <w:t>as formas de racismo mais explícitas, porque se dá nas relações entre pares ou pequenos grupos de maneira direta, essa “[...] concepção de racismo individualista, traz um foco muito maior no indivíduo ou em pequenos grupos, resumindo o racismo a atos, comp</w:t>
      </w:r>
      <w:r>
        <w:rPr>
          <w:sz w:val="24"/>
          <w:szCs w:val="24"/>
        </w:rPr>
        <w:t>ortamentos e atitudes individuais” (Junior, 2023, p. 03). Pode ser expresso com xingamentos direcionados a pessoas negras, imagem estereotipada e até mesmo o ideário de “pertencimento” a um local de subserviência dentro da nossa sociedade.</w:t>
      </w:r>
    </w:p>
    <w:p w:rsidR="00ED64E6" w:rsidRDefault="009E18D5">
      <w:pPr>
        <w:spacing w:line="360" w:lineRule="auto"/>
        <w:ind w:firstLine="705"/>
        <w:jc w:val="both"/>
        <w:rPr>
          <w:sz w:val="20"/>
          <w:szCs w:val="20"/>
        </w:rPr>
      </w:pPr>
      <w:r>
        <w:rPr>
          <w:sz w:val="24"/>
          <w:szCs w:val="24"/>
        </w:rPr>
        <w:t>O fato da socied</w:t>
      </w:r>
      <w:r>
        <w:rPr>
          <w:sz w:val="24"/>
          <w:szCs w:val="24"/>
        </w:rPr>
        <w:t>ade ser imbuída pelo racismo estrutural, faz com que o racismo também ocorra nas instituições, seja ele de forma inconsciente ou consciente. As marcas do passado escravocrata ganham forma nesses espaços e aprofundam a exclusão social de pessoas negras. Alé</w:t>
      </w:r>
      <w:r>
        <w:rPr>
          <w:sz w:val="24"/>
          <w:szCs w:val="24"/>
        </w:rPr>
        <w:t>m disso, Eurico (2013) destaca que:</w:t>
      </w: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O racismo institucional refere-se às operações anônimas de discriminação racial em instituições, profissões ou mesmo em sociedades inteiras (</w:t>
      </w:r>
      <w:proofErr w:type="spellStart"/>
      <w:r>
        <w:rPr>
          <w:sz w:val="20"/>
          <w:szCs w:val="20"/>
        </w:rPr>
        <w:t>Cashmore</w:t>
      </w:r>
      <w:proofErr w:type="spellEnd"/>
      <w:r>
        <w:rPr>
          <w:sz w:val="20"/>
          <w:szCs w:val="20"/>
        </w:rPr>
        <w:t xml:space="preserve"> et al., 2000). O anonimato existe à medida que o racismo é institucion</w:t>
      </w:r>
      <w:r>
        <w:rPr>
          <w:sz w:val="20"/>
          <w:szCs w:val="20"/>
        </w:rPr>
        <w:t xml:space="preserve">alizado, perpassa as diversas relações sociais, mas não pode ser atribuído ao indivíduo isoladamente. Ele se expressa no acesso à escola, ao mercado de trabalho, na criação e implantação de políticas públicas que desconsideram as especificidades raciais e </w:t>
      </w:r>
      <w:r>
        <w:rPr>
          <w:sz w:val="20"/>
          <w:szCs w:val="20"/>
        </w:rPr>
        <w:t xml:space="preserve">na reprodução de práticas discriminatórias arraigadas nas instituições (Eurico, 2013, p. 299). 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Por fim, temos o racismo recreativo, segundo Moreira (2019)</w:t>
      </w:r>
      <w:r>
        <w:rPr>
          <w:sz w:val="24"/>
          <w:szCs w:val="24"/>
        </w:rPr>
        <w:t>, pode ser pensado como uma política cultural, e que se manifesta a partir de “piadas”, “brincadeiras” e estereótipos negativos, com o intuito de garantir a manutenção do sistema opressivo e privilégio racial. Para que uma piada seja considerada racista ex</w:t>
      </w:r>
      <w:r>
        <w:rPr>
          <w:sz w:val="24"/>
          <w:szCs w:val="24"/>
        </w:rPr>
        <w:t>istem algumas especificidades a serem elencadas. Com base em alguns estudiosos sobre o tema, Moreira (2019) sinaliza que, uma piada racista tem o intuito de atacar minorias e causar danos morais nas vítimas, ademais: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Piadas são racistas quando propagam es</w:t>
      </w:r>
      <w:r>
        <w:rPr>
          <w:sz w:val="20"/>
          <w:szCs w:val="20"/>
        </w:rPr>
        <w:t>tereótipos negativos sobre membros de grupos minoritários, o que concorre para a reprodução da animosidade social em relação a eles. Outros alegam que o humor pode ser racista quando está acompanhado de algum tipo de malícia, o que implica uma atitude host</w:t>
      </w:r>
      <w:r>
        <w:rPr>
          <w:sz w:val="20"/>
          <w:szCs w:val="20"/>
        </w:rPr>
        <w:t xml:space="preserve">il ou de desconsideração por minorias raciais. Por esse motivo, certos autores argumentam que uma piada pode ser racista independentemente do dano causado a indivíduos específicos porque propaga o ódio em relação a segmentos sociais, o que tem implicações </w:t>
      </w:r>
      <w:r>
        <w:rPr>
          <w:sz w:val="20"/>
          <w:szCs w:val="20"/>
        </w:rPr>
        <w:t xml:space="preserve">significativas na vida de seus membros (Moreira, 2019, p. 54-55). 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Diante do exposto, conclui-se que o racismo no Brasil é um fenômeno multifacetado e profundamente enraizado na estrutura social, econômica e cultural do país. A partir de suas diferentes e</w:t>
      </w:r>
      <w:r>
        <w:rPr>
          <w:sz w:val="24"/>
          <w:szCs w:val="24"/>
        </w:rPr>
        <w:t xml:space="preserve">xpressões percebe-se como a lógica da exclusão racial atravessa as relações sociais, instituições e práticas cotidianas, perpetuando desigualdades históricas herdadas do período escravocrata. </w:t>
      </w:r>
    </w:p>
    <w:p w:rsidR="00ED64E6" w:rsidRDefault="00ED64E6">
      <w:pPr>
        <w:spacing w:line="360" w:lineRule="auto"/>
        <w:ind w:firstLine="705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        RACISMO E</w:t>
      </w:r>
      <w:r>
        <w:rPr>
          <w:b/>
          <w:i/>
          <w:sz w:val="24"/>
          <w:szCs w:val="24"/>
        </w:rPr>
        <w:t xml:space="preserve"> BULLYING</w:t>
      </w:r>
      <w:r>
        <w:rPr>
          <w:b/>
          <w:sz w:val="24"/>
          <w:szCs w:val="24"/>
        </w:rPr>
        <w:t>, IMPACTOS NO SEGMENTO INFANTO-JUVE</w:t>
      </w:r>
      <w:r>
        <w:rPr>
          <w:b/>
          <w:sz w:val="24"/>
          <w:szCs w:val="24"/>
        </w:rPr>
        <w:t>NIL</w:t>
      </w:r>
    </w:p>
    <w:p w:rsidR="00ED64E6" w:rsidRDefault="009E18D5">
      <w:p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4.1 Conceituando o</w:t>
      </w:r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Bullying</w:t>
      </w:r>
      <w:proofErr w:type="spellEnd"/>
      <w:r>
        <w:rPr>
          <w:b/>
          <w:i/>
          <w:sz w:val="24"/>
          <w:szCs w:val="24"/>
        </w:rPr>
        <w:t xml:space="preserve"> </w:t>
      </w:r>
    </w:p>
    <w:p w:rsidR="00ED64E6" w:rsidRDefault="00ED64E6">
      <w:pPr>
        <w:spacing w:line="360" w:lineRule="auto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é uma violência que passou a ser estudada na Suécia, em 1970, mas, as produções científicas no Brasil, só ganham proporção a partir de 2005 (Passos, 2020). </w:t>
      </w:r>
      <w:proofErr w:type="spellStart"/>
      <w:r>
        <w:rPr>
          <w:sz w:val="24"/>
          <w:szCs w:val="24"/>
        </w:rPr>
        <w:t>Almerson</w:t>
      </w:r>
      <w:proofErr w:type="spellEnd"/>
      <w:r>
        <w:rPr>
          <w:sz w:val="24"/>
          <w:szCs w:val="24"/>
        </w:rPr>
        <w:t xml:space="preserve"> Cerqueira Passos, da área da psicologia, contr</w:t>
      </w:r>
      <w:r>
        <w:rPr>
          <w:sz w:val="24"/>
          <w:szCs w:val="24"/>
        </w:rPr>
        <w:t xml:space="preserve">ibui com reflexões importantes sobre o tema. O autor nos mostra que 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“é conceituado como um conjunto de comportamentos agressivos, físicos ou psicológicos, como humilhar, chutar, empurrar, apelidar, discriminar, isolar e excluir, ocorrendo de for</w:t>
      </w:r>
      <w:r>
        <w:rPr>
          <w:sz w:val="24"/>
          <w:szCs w:val="24"/>
        </w:rPr>
        <w:t xml:space="preserve">ma intencional e repetitiva” (Passos, 2020, p. 18). Tratam-se de atos praticados, em </w:t>
      </w:r>
      <w:r>
        <w:rPr>
          <w:sz w:val="24"/>
          <w:szCs w:val="24"/>
        </w:rPr>
        <w:lastRenderedPageBreak/>
        <w:t xml:space="preserve">especial, por crianças, adolescentes e jovens, individualmente ou em grupos, em ambientes de socialização, como instituições escolares e outras, dirigidos a indivíduos ou </w:t>
      </w:r>
      <w:r>
        <w:rPr>
          <w:sz w:val="24"/>
          <w:szCs w:val="24"/>
        </w:rPr>
        <w:t xml:space="preserve">grupos. 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também pode ser constituído como uma dilatação do sistema opressor, praticado com o intuito de aprofundar desigualdades, onde o diferente não é aceito e visto com repulsa. Isso ocorre porque existe um “padrão social” a ser seguido, comp</w:t>
      </w:r>
      <w:r>
        <w:rPr>
          <w:sz w:val="24"/>
          <w:szCs w:val="24"/>
        </w:rPr>
        <w:t xml:space="preserve">osto e idealizado por homens brancos, heterossexuais e cristãos (Passos, 2020). Então, pelo fato do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ter uma essência opressora, articular a essa discussão os marcadores que incidem sobre os grupos que não se enquadram no padrão ideal, se faz urgen</w:t>
      </w:r>
      <w:r>
        <w:rPr>
          <w:sz w:val="24"/>
          <w:szCs w:val="24"/>
        </w:rPr>
        <w:t>te, pois essas mediações nos possibilitam uma apreensão mais ampla entre o</w:t>
      </w: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e as relações de poder.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Eis o desafio, especificar em que se configura o</w:t>
      </w: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, já que ele tem ligação com aspectos de superioridade e inferioridade, prática discriminatória, humilhação, intolerância, preconceito ou qualquer outro desvio daquilo que é estabelecido como padrão. Dessa maneira, como 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se trata de um fenômeno m</w:t>
      </w:r>
      <w:r>
        <w:rPr>
          <w:sz w:val="24"/>
          <w:szCs w:val="24"/>
        </w:rPr>
        <w:t xml:space="preserve">ultifacetado, que abarca uma série de violências, incluindo algumas estruturais, como é o caso do racismo, por exemplo, reduzir este último a práticas de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tem sido um equívoco, são violações distintas. O mesmo se aplica a outras formas de violência</w:t>
      </w:r>
      <w:r>
        <w:rPr>
          <w:sz w:val="24"/>
          <w:szCs w:val="24"/>
        </w:rPr>
        <w:t xml:space="preserve"> quando decretadas como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>:</w:t>
      </w:r>
    </w:p>
    <w:p w:rsidR="00ED64E6" w:rsidRDefault="00ED64E6">
      <w:pPr>
        <w:spacing w:line="240" w:lineRule="auto"/>
        <w:ind w:left="2267"/>
        <w:jc w:val="both"/>
        <w:rPr>
          <w:sz w:val="20"/>
          <w:szCs w:val="20"/>
        </w:rPr>
      </w:pP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Ao agrupar diversas manifestações de violência sob o rótulo de “</w:t>
      </w:r>
      <w:proofErr w:type="spellStart"/>
      <w:r>
        <w:rPr>
          <w:i/>
          <w:sz w:val="20"/>
          <w:szCs w:val="20"/>
        </w:rPr>
        <w:t>bullying</w:t>
      </w:r>
      <w:proofErr w:type="spellEnd"/>
      <w:r>
        <w:rPr>
          <w:sz w:val="20"/>
          <w:szCs w:val="20"/>
        </w:rPr>
        <w:t xml:space="preserve">”, corremos o risco de minimizar e obscurecer a gravidade e a complexidade de problemas como homofobia, </w:t>
      </w:r>
      <w:proofErr w:type="spellStart"/>
      <w:r>
        <w:rPr>
          <w:sz w:val="20"/>
          <w:szCs w:val="20"/>
        </w:rPr>
        <w:t>transfobia</w:t>
      </w:r>
      <w:proofErr w:type="spellEnd"/>
      <w:r>
        <w:rPr>
          <w:sz w:val="20"/>
          <w:szCs w:val="20"/>
        </w:rPr>
        <w:t>, misoginia, racismo, xenofobia e o</w:t>
      </w:r>
      <w:r>
        <w:rPr>
          <w:sz w:val="20"/>
          <w:szCs w:val="20"/>
        </w:rPr>
        <w:t xml:space="preserve">utros tipos de violência que merecem ser abordados de forma específica (Santos, 2023, p. 113). </w:t>
      </w:r>
    </w:p>
    <w:p w:rsidR="00ED64E6" w:rsidRDefault="009E18D5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ED64E6" w:rsidRDefault="009E18D5">
      <w:pPr>
        <w:spacing w:line="360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apropriação indevida, ou seja, generalizar, corrobora para que boa parte das violências e discriminações sejam postas como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>, resultando na minimiz</w:t>
      </w:r>
      <w:r>
        <w:rPr>
          <w:sz w:val="24"/>
          <w:szCs w:val="24"/>
        </w:rPr>
        <w:t xml:space="preserve">ação desses fenômenos. A raiz dos problemas tampouco pode ser identificada por não haver uma especificidade do que seria cada forma de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, o que impacta negativamente na resolutividade de tais demandas, pois elas não são precisas. Sendo </w:t>
      </w:r>
      <w:r>
        <w:rPr>
          <w:sz w:val="24"/>
          <w:szCs w:val="24"/>
        </w:rPr>
        <w:lastRenderedPageBreak/>
        <w:t>assim, por nã</w:t>
      </w:r>
      <w:r>
        <w:rPr>
          <w:sz w:val="24"/>
          <w:szCs w:val="24"/>
        </w:rPr>
        <w:t xml:space="preserve">o haver a devida nomeação e caracterização das violências, a história, as lutas e o enfrentamento de cada uma, acabam sendo </w:t>
      </w:r>
      <w:proofErr w:type="spellStart"/>
      <w:r>
        <w:rPr>
          <w:sz w:val="24"/>
          <w:szCs w:val="24"/>
        </w:rPr>
        <w:t>invisibilizadas</w:t>
      </w:r>
      <w:proofErr w:type="spellEnd"/>
      <w:r>
        <w:rPr>
          <w:sz w:val="24"/>
          <w:szCs w:val="24"/>
        </w:rPr>
        <w:t xml:space="preserve"> (Santos, 2023).</w:t>
      </w:r>
    </w:p>
    <w:p w:rsidR="00ED64E6" w:rsidRDefault="009E18D5">
      <w:pPr>
        <w:spacing w:line="360" w:lineRule="auto"/>
        <w:ind w:firstLine="705"/>
        <w:jc w:val="both"/>
        <w:rPr>
          <w:b/>
          <w:sz w:val="24"/>
          <w:szCs w:val="24"/>
        </w:rPr>
      </w:pPr>
      <w:r>
        <w:rPr>
          <w:sz w:val="24"/>
          <w:szCs w:val="24"/>
        </w:rPr>
        <w:t>Sendo assim, o</w:t>
      </w: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contém múltiplas manifestações, reflete uma violência que, apesar de estar i</w:t>
      </w:r>
      <w:r>
        <w:rPr>
          <w:sz w:val="24"/>
          <w:szCs w:val="24"/>
        </w:rPr>
        <w:t>nserida majoritariamente nas instituições escolares, está imbuída por influências complexas, resultado das interferências sociais, culturais e familiares. Também imprime um comportamento repetitivo por aqueles em condição de poder. Por fim, é fundamental f</w:t>
      </w:r>
      <w:r>
        <w:rPr>
          <w:sz w:val="24"/>
          <w:szCs w:val="24"/>
        </w:rPr>
        <w:t xml:space="preserve">azer as devidas distinções entre 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e as demais violências, a exemplo do racismo estrutural, pois, a sua invisibilidade ocasiona em barreiras para a criação de políticas eficazes, combate das desigualdades e a garantia dos direitos de grupos vulner</w:t>
      </w:r>
      <w:r>
        <w:rPr>
          <w:sz w:val="24"/>
          <w:szCs w:val="24"/>
        </w:rPr>
        <w:t xml:space="preserve">áveis.  </w:t>
      </w:r>
    </w:p>
    <w:p w:rsidR="00ED64E6" w:rsidRDefault="00ED64E6">
      <w:pPr>
        <w:spacing w:line="360" w:lineRule="auto"/>
        <w:ind w:firstLine="705"/>
        <w:jc w:val="both"/>
        <w:rPr>
          <w:b/>
          <w:sz w:val="24"/>
          <w:szCs w:val="24"/>
        </w:rPr>
      </w:pPr>
    </w:p>
    <w:p w:rsidR="00ED64E6" w:rsidRDefault="009E18D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z w:val="24"/>
          <w:szCs w:val="24"/>
        </w:rPr>
        <w:tab/>
        <w:t xml:space="preserve">As expressões do racismo e do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na infância e adolescência brasileira</w:t>
      </w:r>
    </w:p>
    <w:p w:rsidR="00ED64E6" w:rsidRDefault="00ED64E6">
      <w:pPr>
        <w:spacing w:line="360" w:lineRule="auto"/>
        <w:jc w:val="both"/>
        <w:rPr>
          <w:b/>
          <w:sz w:val="24"/>
          <w:szCs w:val="24"/>
        </w:rPr>
      </w:pPr>
    </w:p>
    <w:p w:rsidR="00ED64E6" w:rsidRDefault="009E18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as análises teóricas realizadas para distinguir o racismo do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>, serão apresentados a seguir, alguns indicadores e casos reais dessas violações contra cr</w:t>
      </w:r>
      <w:r>
        <w:rPr>
          <w:sz w:val="24"/>
          <w:szCs w:val="24"/>
        </w:rPr>
        <w:t xml:space="preserve">ianças e adolescentes. Os casos a serem trabalhados tratam de maneira mais precisa sobre casos que envolvem tanto racismo, quanto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>, bem como o racismo recreativo, onde os alvos são crianças e adolescentes negros, em ambientes físicos de socializaçã</w:t>
      </w:r>
      <w:r>
        <w:rPr>
          <w:sz w:val="24"/>
          <w:szCs w:val="24"/>
        </w:rPr>
        <w:t>o e na internet.</w:t>
      </w:r>
    </w:p>
    <w:p w:rsidR="00ED64E6" w:rsidRDefault="009E18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reportagem disponibilizada no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, pelo canal do SBT News em julho de 2022, tem o seguinte título “Delegacia de crimes raciais investiga caso de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contra menina negra | SBT Brasil (07/07/22)”. Essa publicação nos mostra que </w:t>
      </w:r>
      <w:r>
        <w:rPr>
          <w:sz w:val="24"/>
          <w:szCs w:val="24"/>
        </w:rPr>
        <w:t xml:space="preserve">os fenótipos, a curvatura e estilo de cabelo da menina, que é crespo com </w:t>
      </w:r>
      <w:proofErr w:type="spellStart"/>
      <w:r>
        <w:rPr>
          <w:sz w:val="24"/>
          <w:szCs w:val="24"/>
        </w:rPr>
        <w:t>dreads</w:t>
      </w:r>
      <w:proofErr w:type="spellEnd"/>
      <w:r>
        <w:rPr>
          <w:sz w:val="24"/>
          <w:szCs w:val="24"/>
        </w:rPr>
        <w:t xml:space="preserve">, foram os motivos pelo ataque por parte de alguns colegas de classe no grupo de </w:t>
      </w:r>
      <w:proofErr w:type="spellStart"/>
      <w:r>
        <w:rPr>
          <w:sz w:val="24"/>
          <w:szCs w:val="24"/>
        </w:rPr>
        <w:t>whatsapp</w:t>
      </w:r>
      <w:proofErr w:type="spellEnd"/>
      <w:r>
        <w:rPr>
          <w:sz w:val="24"/>
          <w:szCs w:val="24"/>
        </w:rPr>
        <w:t xml:space="preserve">, onde disseminaram falas discriminatórias, preconceituosas e </w:t>
      </w:r>
      <w:proofErr w:type="spellStart"/>
      <w:r>
        <w:rPr>
          <w:sz w:val="24"/>
          <w:szCs w:val="24"/>
        </w:rPr>
        <w:t>estigmatizantes</w:t>
      </w:r>
      <w:proofErr w:type="spellEnd"/>
      <w:r>
        <w:rPr>
          <w:sz w:val="24"/>
          <w:szCs w:val="24"/>
        </w:rPr>
        <w:t xml:space="preserve">. A vítima </w:t>
      </w:r>
      <w:r>
        <w:rPr>
          <w:sz w:val="24"/>
          <w:szCs w:val="24"/>
        </w:rPr>
        <w:t>é modelo e isso também foi motivo de ataques.</w:t>
      </w:r>
    </w:p>
    <w:p w:rsidR="00ED64E6" w:rsidRDefault="009E18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dos áudios encaminhados no grupo de </w:t>
      </w:r>
      <w:proofErr w:type="spellStart"/>
      <w:r>
        <w:rPr>
          <w:i/>
          <w:sz w:val="24"/>
          <w:szCs w:val="24"/>
        </w:rPr>
        <w:t>whatsapp</w:t>
      </w:r>
      <w:proofErr w:type="spellEnd"/>
      <w:r>
        <w:rPr>
          <w:sz w:val="24"/>
          <w:szCs w:val="24"/>
        </w:rPr>
        <w:t xml:space="preserve"> continha a seguinte frase: “Da sua cara, da sua pele, do seu cabelo… </w:t>
      </w:r>
      <w:proofErr w:type="spellStart"/>
      <w:r>
        <w:rPr>
          <w:sz w:val="24"/>
          <w:szCs w:val="24"/>
        </w:rPr>
        <w:t>ahn</w:t>
      </w:r>
      <w:proofErr w:type="spellEnd"/>
      <w:r>
        <w:rPr>
          <w:sz w:val="24"/>
          <w:szCs w:val="24"/>
        </w:rPr>
        <w:t xml:space="preserve">, mais o quê? Teu cabelo é seboso, me irrita”. Ainda que essas ações se remetam ao </w:t>
      </w:r>
      <w:proofErr w:type="spellStart"/>
      <w:r>
        <w:rPr>
          <w:i/>
          <w:sz w:val="24"/>
          <w:szCs w:val="24"/>
        </w:rPr>
        <w:t>bullyin</w:t>
      </w:r>
      <w:r>
        <w:rPr>
          <w:i/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, quem passou a investigar </w:t>
      </w:r>
      <w:r>
        <w:rPr>
          <w:sz w:val="24"/>
          <w:szCs w:val="24"/>
        </w:rPr>
        <w:lastRenderedPageBreak/>
        <w:t xml:space="preserve">o caso foi uma delegacia de crimes raciais, demonstrando que a criança foi vítima de duas violências ao mesmo tempo, o </w:t>
      </w:r>
      <w:proofErr w:type="spellStart"/>
      <w:r>
        <w:rPr>
          <w:sz w:val="24"/>
          <w:szCs w:val="24"/>
        </w:rPr>
        <w:t>cyberbullying</w:t>
      </w:r>
      <w:proofErr w:type="spellEnd"/>
      <w:r>
        <w:rPr>
          <w:sz w:val="24"/>
          <w:szCs w:val="24"/>
        </w:rPr>
        <w:t xml:space="preserve"> e o racismo. Em relação aos danos provocados à menina, durante a entrevista ela aparece chorand</w:t>
      </w:r>
      <w:r>
        <w:rPr>
          <w:sz w:val="24"/>
          <w:szCs w:val="24"/>
        </w:rPr>
        <w:t>o e menciona sua tristeza e sofrimento psíquico pelo ocorrido. A rejeição dos colegas também fez com que a garota decidisse fazer penteados menos chamativos, ela buscou se encaixar em um padrão para ser aceita pelos demais, e por fim, na semana de repercus</w:t>
      </w:r>
      <w:r>
        <w:rPr>
          <w:sz w:val="24"/>
          <w:szCs w:val="24"/>
        </w:rPr>
        <w:t>são do caso, a garota deixou de frequentar as aulas.</w:t>
      </w:r>
    </w:p>
    <w:p w:rsidR="00ED64E6" w:rsidRDefault="009E18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nosso último caso a ser tratado neste estudo, é sobre o racismo recreativo, concepção já discutida tomando como base os estudos de Moreira (2019), que consiste em ações ou falas depreciativas sobre o o</w:t>
      </w:r>
      <w:r>
        <w:rPr>
          <w:sz w:val="24"/>
          <w:szCs w:val="24"/>
        </w:rPr>
        <w:t xml:space="preserve">utro, com um tom de humor e piadas. Algumas crianças foram vítimas de racismo recreativo para engajamento de influenciadoras no </w:t>
      </w:r>
      <w:proofErr w:type="spellStart"/>
      <w:r>
        <w:rPr>
          <w:sz w:val="24"/>
          <w:szCs w:val="24"/>
        </w:rPr>
        <w:t>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</w:t>
      </w:r>
      <w:proofErr w:type="spellEnd"/>
      <w:r>
        <w:rPr>
          <w:sz w:val="24"/>
          <w:szCs w:val="24"/>
        </w:rPr>
        <w:t xml:space="preserve">, que geram “divertimento” às custas de um conteúdo vexatório, elas faziam questionamentos para as crianças na rua, lhes </w:t>
      </w:r>
      <w:r>
        <w:rPr>
          <w:sz w:val="24"/>
          <w:szCs w:val="24"/>
        </w:rPr>
        <w:t>ofertando uma possibilidade de escolha em meio a uma brincadeira, como: “dinheiro ou presente?” após as crianças responderem que queriam um presente, recebiam bananas ou macacos de pelúcia, colocando as crianças em uma situação visível de constrangimento e</w:t>
      </w:r>
      <w:r>
        <w:rPr>
          <w:sz w:val="24"/>
          <w:szCs w:val="24"/>
        </w:rPr>
        <w:t xml:space="preserve"> frustração diante da escolha proferida. No vídeo disponibilizado, foi possível observar que as crianças questionadas eram negras, G1 Rio de Janeiro, 2023.</w:t>
      </w:r>
    </w:p>
    <w:p w:rsidR="00ED64E6" w:rsidRDefault="009E18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indicadores e casos registrados, demonstram a gravidade do racismo estrutural, que se desdobra em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racial, ou os dois ao mesmo tempo, praticados em instituições escolares, ou até mesmo nas ruas, e em ambientes virtuais, ou seja, podendo ocorrer </w:t>
      </w:r>
      <w:r>
        <w:rPr>
          <w:sz w:val="24"/>
          <w:szCs w:val="24"/>
        </w:rPr>
        <w:t>em diversos espaços de socialização e na internet. As características físicas como o cabelo crespo e cor da pele negra, revelam formas de preconceito, racismo e violência que permeiam as relações sociais e impõem um padrão de beleza ideal, onde aqueles que</w:t>
      </w:r>
      <w:r>
        <w:rPr>
          <w:sz w:val="24"/>
          <w:szCs w:val="24"/>
        </w:rPr>
        <w:t xml:space="preserve"> não se encaixam passam a ser alvos e atacados, por meio de atos que configuram: agressões, humilhações, constrangimento, ou seja, lhes infringido um ato de violência.</w:t>
      </w:r>
    </w:p>
    <w:p w:rsidR="00ED64E6" w:rsidRDefault="00ED64E6">
      <w:pPr>
        <w:spacing w:line="360" w:lineRule="auto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</w:t>
      </w:r>
      <w:r>
        <w:rPr>
          <w:b/>
          <w:sz w:val="24"/>
          <w:szCs w:val="24"/>
        </w:rPr>
        <w:tab/>
        <w:t>CONCLUSÃO</w:t>
      </w:r>
    </w:p>
    <w:p w:rsidR="00ED64E6" w:rsidRDefault="00ED64E6">
      <w:pPr>
        <w:spacing w:line="360" w:lineRule="auto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trabalho analisou como o racismo e 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afetam o desenvolviment</w:t>
      </w:r>
      <w:r>
        <w:rPr>
          <w:sz w:val="24"/>
          <w:szCs w:val="24"/>
        </w:rPr>
        <w:t>o de crianças e adolescentes no Brasil, destacando a influência histórica do racismo estrutural nas formas de violência que se manifestam de modo institucional, interpessoal e recreativo. Apesar de distintas, essas violências impactam especialmente criança</w:t>
      </w:r>
      <w:r>
        <w:rPr>
          <w:sz w:val="24"/>
          <w:szCs w:val="24"/>
        </w:rPr>
        <w:t xml:space="preserve">s e jovens negros/as, exigindo atenção dos ambientes escolar, familiar e social. Nesse contexto, o Serviço Social tem papel fundamental na defesa de direitos e na promoção de práticas éticas e </w:t>
      </w:r>
      <w:proofErr w:type="spellStart"/>
      <w:r>
        <w:rPr>
          <w:sz w:val="24"/>
          <w:szCs w:val="24"/>
        </w:rPr>
        <w:t>antidiscriminatórias</w:t>
      </w:r>
      <w:proofErr w:type="spellEnd"/>
      <w:r>
        <w:rPr>
          <w:sz w:val="24"/>
          <w:szCs w:val="24"/>
        </w:rPr>
        <w:t>.</w:t>
      </w:r>
    </w:p>
    <w:p w:rsidR="00ED64E6" w:rsidRDefault="009E18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Práticas como 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racial e o racismo recreativo reforçam estigmas e prejudicam a autoestima e o convívio social de crianças negras, inclusive nas redes sociais. Por isso, é essencial fortalecer políticas públicas e ações educativas que enfrentem essas violências, promovam o</w:t>
      </w:r>
      <w:r>
        <w:rPr>
          <w:sz w:val="24"/>
          <w:szCs w:val="24"/>
        </w:rPr>
        <w:t xml:space="preserve"> respeito à diversidade e assegurem proteção às vítimas. O enfrentamento e as devidas distinções entre o racismo e o </w:t>
      </w:r>
      <w:proofErr w:type="spellStart"/>
      <w:r>
        <w:rPr>
          <w:i/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demandam o compromisso coletivo na construção de uma sociedade mais justa e inclusiva.</w:t>
      </w:r>
    </w:p>
    <w:p w:rsidR="00ED64E6" w:rsidRDefault="00ED64E6">
      <w:pPr>
        <w:spacing w:line="360" w:lineRule="auto"/>
        <w:ind w:firstLine="709"/>
        <w:jc w:val="both"/>
        <w:rPr>
          <w:sz w:val="24"/>
          <w:szCs w:val="24"/>
        </w:rPr>
      </w:pPr>
    </w:p>
    <w:p w:rsidR="00ED64E6" w:rsidRDefault="009E18D5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REFERÊNCIAS</w:t>
      </w:r>
    </w:p>
    <w:p w:rsidR="00ED64E6" w:rsidRDefault="00ED64E6">
      <w:pPr>
        <w:spacing w:line="360" w:lineRule="auto"/>
        <w:rPr>
          <w:b/>
          <w:sz w:val="24"/>
          <w:szCs w:val="24"/>
        </w:rPr>
      </w:pP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CUNHA, I.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S. A evolução </w:t>
      </w:r>
      <w:r>
        <w:rPr>
          <w:sz w:val="24"/>
          <w:szCs w:val="24"/>
        </w:rPr>
        <w:t>das políticas de atendimento à infância no Brasil: entre concessões e o reconhecimento de direitos.</w:t>
      </w:r>
      <w:r>
        <w:rPr>
          <w:b/>
          <w:sz w:val="24"/>
          <w:szCs w:val="24"/>
        </w:rPr>
        <w:t xml:space="preserve"> Revista de Estudos Aplicados em Educação.</w:t>
      </w:r>
      <w:r>
        <w:rPr>
          <w:sz w:val="24"/>
          <w:szCs w:val="24"/>
        </w:rPr>
        <w:t xml:space="preserve"> v.1, n.2, ago./dez., 2016. Disponível em: &lt;</w:t>
      </w:r>
      <w:hyperlink r:id="rId7">
        <w:r>
          <w:rPr>
            <w:sz w:val="24"/>
            <w:szCs w:val="24"/>
            <w:u w:val="single"/>
          </w:rPr>
          <w:t>https://seer.uscs.edu.br/index.php/revista_estudos_aplicados/article/view/4323</w:t>
        </w:r>
      </w:hyperlink>
      <w:r>
        <w:rPr>
          <w:sz w:val="24"/>
          <w:szCs w:val="24"/>
        </w:rPr>
        <w:t xml:space="preserve">&gt;. Acesso em: 2 nov. 2024. 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GÓES, J. R. de; FLORENTINO, M. Crianças escravas, crianças dos escravos. In: DEL PRIORE, Mary. </w:t>
      </w:r>
      <w:r>
        <w:rPr>
          <w:b/>
          <w:sz w:val="24"/>
          <w:szCs w:val="24"/>
        </w:rPr>
        <w:t>História das crianças no Bra</w:t>
      </w:r>
      <w:r>
        <w:rPr>
          <w:b/>
          <w:sz w:val="24"/>
          <w:szCs w:val="24"/>
        </w:rPr>
        <w:t>sil.</w:t>
      </w:r>
      <w:r>
        <w:rPr>
          <w:sz w:val="24"/>
          <w:szCs w:val="24"/>
        </w:rPr>
        <w:t xml:space="preserve"> 7. ed. São Paulo: Contexto, 2010. 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SANTOS, D. V. B. dos. </w:t>
      </w:r>
      <w:proofErr w:type="spellStart"/>
      <w:r>
        <w:rPr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como um conceito guarda-chuva: </w:t>
      </w:r>
      <w:proofErr w:type="spellStart"/>
      <w:r>
        <w:rPr>
          <w:sz w:val="24"/>
          <w:szCs w:val="24"/>
        </w:rPr>
        <w:t>silenciamento</w:t>
      </w:r>
      <w:proofErr w:type="spellEnd"/>
      <w:r>
        <w:rPr>
          <w:sz w:val="24"/>
          <w:szCs w:val="24"/>
        </w:rPr>
        <w:t xml:space="preserve"> e descaracterização das violências. </w:t>
      </w:r>
      <w:r>
        <w:rPr>
          <w:b/>
          <w:sz w:val="24"/>
          <w:szCs w:val="24"/>
        </w:rPr>
        <w:t xml:space="preserve">Revista Cadernos de Ciências Sociais da UFRPE, </w:t>
      </w:r>
      <w:r>
        <w:rPr>
          <w:sz w:val="24"/>
          <w:szCs w:val="24"/>
        </w:rPr>
        <w:t>[S. l.], v. 1, n. 21, p. 112–124, 2023. Disponível em: &lt;</w:t>
      </w:r>
      <w:hyperlink r:id="rId8">
        <w:r>
          <w:rPr>
            <w:sz w:val="24"/>
            <w:szCs w:val="24"/>
            <w:u w:val="single"/>
          </w:rPr>
          <w:t>https://www.journals.ufrpe.br/index.php/cadernosdecienciassociais/article/view/602</w:t>
        </w:r>
      </w:hyperlink>
      <w:r>
        <w:rPr>
          <w:sz w:val="24"/>
          <w:szCs w:val="24"/>
        </w:rPr>
        <w:t>&gt;. Acesso em: 2 nov. 2024.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SANTOS, G. Da Lei do Ventre Livre ao Estatuto</w:t>
      </w:r>
      <w:r>
        <w:rPr>
          <w:sz w:val="24"/>
          <w:szCs w:val="24"/>
        </w:rPr>
        <w:t xml:space="preserve"> da Criança e do Adolescente: uma abordagem de interesse da juventude negra. BIS, 2008, p. 15-18. 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ROCHA, A. P. Da escravidão à pandemia: racismo estrutural e desproteção de crianças e adolescentes. </w:t>
      </w:r>
      <w:r>
        <w:rPr>
          <w:b/>
          <w:sz w:val="24"/>
          <w:szCs w:val="24"/>
        </w:rPr>
        <w:t>Revista Em Pauta: teoria social e realidade contemporânea</w:t>
      </w:r>
      <w:r>
        <w:rPr>
          <w:sz w:val="24"/>
          <w:szCs w:val="24"/>
        </w:rPr>
        <w:t>, [S. l.], v. 20, n. 50, p. 248–264, 2022a. DOI: 10.12957/rep.2022.68586. Disponível em: &lt;</w:t>
      </w:r>
      <w:hyperlink r:id="rId9">
        <w:r>
          <w:rPr>
            <w:sz w:val="24"/>
            <w:szCs w:val="24"/>
            <w:u w:val="single"/>
          </w:rPr>
          <w:t>https://www.epublicacoes.uerj.br/revistaempauta/article/view/68586</w:t>
        </w:r>
      </w:hyperlink>
      <w:proofErr w:type="gramStart"/>
      <w:r>
        <w:rPr>
          <w:sz w:val="24"/>
          <w:szCs w:val="24"/>
        </w:rPr>
        <w:t>&gt; .</w:t>
      </w:r>
      <w:proofErr w:type="gramEnd"/>
      <w:r>
        <w:rPr>
          <w:sz w:val="24"/>
          <w:szCs w:val="24"/>
        </w:rPr>
        <w:t xml:space="preserve"> Acesso em:</w:t>
      </w:r>
      <w:r>
        <w:rPr>
          <w:sz w:val="24"/>
          <w:szCs w:val="24"/>
        </w:rPr>
        <w:t xml:space="preserve"> 11 out. 2024. 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SILVA, A. A.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; PEREIRA, F.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S.; SANTOS, M. L. dos; LIRA, T. S. V. O racismo contra crianças e adolescentes brasileiros/as. </w:t>
      </w:r>
      <w:r>
        <w:rPr>
          <w:b/>
          <w:sz w:val="24"/>
          <w:szCs w:val="24"/>
        </w:rPr>
        <w:t>Anais do V Congresso Internacional de Política Social e Serviço Social: desafios contemporâneos; VI Seminário Nac</w:t>
      </w:r>
      <w:r>
        <w:rPr>
          <w:b/>
          <w:sz w:val="24"/>
          <w:szCs w:val="24"/>
        </w:rPr>
        <w:t>ional de Território e Gestão de Políticas Sociais; V Congresso de Direito à Cidade e Justiça Ambiental,</w:t>
      </w:r>
      <w:r>
        <w:rPr>
          <w:sz w:val="24"/>
          <w:szCs w:val="24"/>
        </w:rPr>
        <w:t xml:space="preserve"> v. 5, n. 1, p. 1-13, 2024.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LIRA, T. S. V. </w:t>
      </w:r>
      <w:r>
        <w:rPr>
          <w:b/>
          <w:sz w:val="24"/>
          <w:szCs w:val="24"/>
        </w:rPr>
        <w:t>A (</w:t>
      </w:r>
      <w:proofErr w:type="spellStart"/>
      <w:r>
        <w:rPr>
          <w:b/>
          <w:sz w:val="24"/>
          <w:szCs w:val="24"/>
        </w:rPr>
        <w:t>des</w:t>
      </w:r>
      <w:proofErr w:type="spellEnd"/>
      <w:r>
        <w:rPr>
          <w:b/>
          <w:sz w:val="24"/>
          <w:szCs w:val="24"/>
        </w:rPr>
        <w:t>)proteção social à infância e adolescência no Brasil: o golpe de 2016 e suas implicações</w:t>
      </w:r>
      <w:r>
        <w:rPr>
          <w:sz w:val="24"/>
          <w:szCs w:val="24"/>
        </w:rPr>
        <w:t>. Campina Grande</w:t>
      </w:r>
      <w:r>
        <w:rPr>
          <w:sz w:val="24"/>
          <w:szCs w:val="24"/>
        </w:rPr>
        <w:t>- PB: EDUEPB, 2022.  &lt;</w:t>
      </w:r>
      <w:hyperlink r:id="rId10">
        <w:r>
          <w:rPr>
            <w:sz w:val="24"/>
            <w:szCs w:val="24"/>
            <w:u w:val="single"/>
          </w:rPr>
          <w:t>https://eduepb.uepb.edu.br/download/a-desprotecao-social-a-infancia-e-adolescencia-no-brasil/?wpdmdl=1987&amp;masterkey=2FycA7Tozzxpb288XQ1KwCneY0DA8Zsbw5QDEffUgE4cQtvwtSjOU44dGuvqjq_dFG_UdTMHldan58_KTpLmnt2VmaKSbIsA4NrBOyCyM</w:t>
        </w:r>
      </w:hyperlink>
      <w:r>
        <w:rPr>
          <w:sz w:val="24"/>
          <w:szCs w:val="24"/>
        </w:rPr>
        <w:t xml:space="preserve">&gt; Acesso em: 24 out. 2024. 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G1 RIO DE JANEIRO. Influenciadoras que deram banana e macaco de pelúcia para crianças são indiciadas por racismo. </w:t>
      </w:r>
      <w:r>
        <w:rPr>
          <w:b/>
          <w:sz w:val="24"/>
          <w:szCs w:val="24"/>
        </w:rPr>
        <w:t>G1</w:t>
      </w:r>
      <w:r>
        <w:rPr>
          <w:sz w:val="24"/>
          <w:szCs w:val="24"/>
        </w:rPr>
        <w:t>, 14 nov. 2023. Disponível em: &lt;</w:t>
      </w:r>
      <w:hyperlink r:id="rId11">
        <w:r>
          <w:rPr>
            <w:sz w:val="24"/>
            <w:szCs w:val="24"/>
            <w:u w:val="single"/>
          </w:rPr>
          <w:t>https://g1.globo.com/rj/rio-de-janeiro/noticia/2023/11/14/influenciadoras-que-deram-banana-e-macaco-de-pelucia-para-criancas-sao-indiciadas-por-racismo.ghtml</w:t>
        </w:r>
      </w:hyperlink>
      <w:r>
        <w:rPr>
          <w:sz w:val="24"/>
          <w:szCs w:val="24"/>
        </w:rPr>
        <w:t>&gt;. Acesso em: 2 nov. 2024.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JUN</w:t>
      </w:r>
      <w:r>
        <w:rPr>
          <w:sz w:val="24"/>
          <w:szCs w:val="24"/>
        </w:rPr>
        <w:t xml:space="preserve">IOR, A. A. Racismo individual, estrutural ou institucional? O caso da rede de supermercados Carrefour. </w:t>
      </w:r>
      <w:r>
        <w:rPr>
          <w:b/>
          <w:sz w:val="24"/>
          <w:szCs w:val="24"/>
        </w:rPr>
        <w:t>Ciência &amp; Tecnologia: FATEC-JB</w:t>
      </w:r>
      <w:r>
        <w:rPr>
          <w:sz w:val="24"/>
          <w:szCs w:val="24"/>
        </w:rPr>
        <w:t>, Jaboticabal (SP), v. 15, n. 1, e15110, 2023.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EURICO, M. C. A percepção do assistente social acerca do racismo institucion</w:t>
      </w:r>
      <w:r>
        <w:rPr>
          <w:sz w:val="24"/>
          <w:szCs w:val="24"/>
        </w:rPr>
        <w:t xml:space="preserve">al. </w:t>
      </w:r>
      <w:r>
        <w:rPr>
          <w:b/>
          <w:sz w:val="24"/>
          <w:szCs w:val="24"/>
        </w:rPr>
        <w:t>Serviço Social &amp; Sociedade</w:t>
      </w:r>
      <w:r>
        <w:rPr>
          <w:sz w:val="24"/>
          <w:szCs w:val="24"/>
        </w:rPr>
        <w:t xml:space="preserve">, São Paulo, n. 114, p. 290-310, abr./jun. 2013. 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SARAIVA, V. C. dos S. Direito à convivência familiar: crianças e adolescentes – limites e desafios enfrentados face ao racismo institucional. </w:t>
      </w:r>
      <w:r>
        <w:rPr>
          <w:b/>
          <w:sz w:val="24"/>
          <w:szCs w:val="24"/>
        </w:rPr>
        <w:t xml:space="preserve">Anais do XVI </w:t>
      </w:r>
      <w:proofErr w:type="gramStart"/>
      <w:r>
        <w:rPr>
          <w:b/>
          <w:sz w:val="24"/>
          <w:szCs w:val="24"/>
        </w:rPr>
        <w:t>Encontro  Nacional</w:t>
      </w:r>
      <w:proofErr w:type="gramEnd"/>
      <w:r>
        <w:rPr>
          <w:b/>
          <w:sz w:val="24"/>
          <w:szCs w:val="24"/>
        </w:rPr>
        <w:t xml:space="preserve"> de Pesquisadores em Serviço Social</w:t>
      </w:r>
      <w:r>
        <w:rPr>
          <w:sz w:val="24"/>
          <w:szCs w:val="24"/>
        </w:rPr>
        <w:t>, v. 1, n. 1, 2019. Seção: Comunicações orais - Serviço Social, Relações de Exploração/Opressão de Gênero, Raça/Etnia, Sexualidades. Disponível em: &lt;</w:t>
      </w:r>
      <w:hyperlink r:id="rId12">
        <w:r>
          <w:rPr>
            <w:sz w:val="24"/>
            <w:szCs w:val="24"/>
            <w:u w:val="single"/>
          </w:rPr>
          <w:t>https://periodicos.ufes.br/abepss/article/view/22953</w:t>
        </w:r>
      </w:hyperlink>
      <w:r>
        <w:rPr>
          <w:sz w:val="24"/>
          <w:szCs w:val="24"/>
        </w:rPr>
        <w:t>&gt;. Acesso em: 11 out. 2024.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OLIVEIRA, D. de. </w:t>
      </w:r>
      <w:r>
        <w:rPr>
          <w:b/>
          <w:sz w:val="24"/>
          <w:szCs w:val="24"/>
        </w:rPr>
        <w:t>Racismo estrutural: uma perspectiva histórico-crítica.</w:t>
      </w:r>
      <w:r>
        <w:rPr>
          <w:sz w:val="24"/>
          <w:szCs w:val="24"/>
        </w:rPr>
        <w:t xml:space="preserve"> 1. ed. São Paulo: Editora </w:t>
      </w:r>
      <w:proofErr w:type="spellStart"/>
      <w:r>
        <w:rPr>
          <w:sz w:val="24"/>
          <w:szCs w:val="24"/>
        </w:rPr>
        <w:t>Dandara</w:t>
      </w:r>
      <w:proofErr w:type="spellEnd"/>
      <w:r>
        <w:rPr>
          <w:sz w:val="24"/>
          <w:szCs w:val="24"/>
        </w:rPr>
        <w:t xml:space="preserve">, 2021. </w:t>
      </w:r>
    </w:p>
    <w:p w:rsidR="00ED64E6" w:rsidRDefault="009E18D5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MOREIRA, A. </w:t>
      </w:r>
      <w:r>
        <w:rPr>
          <w:b/>
          <w:sz w:val="24"/>
          <w:szCs w:val="24"/>
        </w:rPr>
        <w:t>Racismo recreativo.</w:t>
      </w:r>
      <w:r>
        <w:rPr>
          <w:sz w:val="24"/>
          <w:szCs w:val="24"/>
        </w:rPr>
        <w:t xml:space="preserve"> São Paulo: Sueli Carneiro; Pólen, 2019.</w:t>
      </w:r>
    </w:p>
    <w:p w:rsidR="00ED64E6" w:rsidRDefault="009E18D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PASSOS, A. C. O </w:t>
      </w:r>
      <w:proofErr w:type="spellStart"/>
      <w:r>
        <w:rPr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escolar no Brasil: Reflexões </w:t>
      </w:r>
      <w:proofErr w:type="spellStart"/>
      <w:r>
        <w:rPr>
          <w:sz w:val="24"/>
          <w:szCs w:val="24"/>
        </w:rPr>
        <w:t>gendradas</w:t>
      </w:r>
      <w:proofErr w:type="spellEnd"/>
      <w:r>
        <w:rPr>
          <w:sz w:val="24"/>
          <w:szCs w:val="24"/>
        </w:rPr>
        <w:t xml:space="preserve"> e a emergência de olhares intersecionais. </w:t>
      </w:r>
      <w:r>
        <w:rPr>
          <w:b/>
          <w:sz w:val="24"/>
          <w:szCs w:val="24"/>
        </w:rPr>
        <w:t xml:space="preserve">Revista Brasileira de Estudos da </w:t>
      </w:r>
      <w:proofErr w:type="spellStart"/>
      <w:r>
        <w:rPr>
          <w:b/>
          <w:sz w:val="24"/>
          <w:szCs w:val="24"/>
        </w:rPr>
        <w:t>Homocultura</w:t>
      </w:r>
      <w:proofErr w:type="spellEnd"/>
      <w:r>
        <w:rPr>
          <w:sz w:val="24"/>
          <w:szCs w:val="24"/>
        </w:rPr>
        <w:t>, [S. l.], v.  2, n. 5, 2020. DOI: 10.31560/2595-3206.2019.5.9928</w:t>
      </w:r>
      <w:r>
        <w:rPr>
          <w:sz w:val="24"/>
          <w:szCs w:val="24"/>
        </w:rPr>
        <w:t>. Disponível em:  &lt;</w:t>
      </w:r>
      <w:hyperlink r:id="rId13">
        <w:r>
          <w:rPr>
            <w:sz w:val="24"/>
            <w:szCs w:val="24"/>
            <w:u w:val="single"/>
          </w:rPr>
          <w:t>https://periodicoscientificos.ufmt.br/ojs/index.php/rebeh/article/view/9928</w:t>
        </w:r>
      </w:hyperlink>
      <w:r>
        <w:rPr>
          <w:sz w:val="24"/>
          <w:szCs w:val="24"/>
        </w:rPr>
        <w:t xml:space="preserve">&gt;. Acesso </w:t>
      </w:r>
    </w:p>
    <w:p w:rsidR="00ED64E6" w:rsidRDefault="009E18D5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em</w:t>
      </w:r>
      <w:proofErr w:type="gramEnd"/>
      <w:r>
        <w:rPr>
          <w:sz w:val="24"/>
          <w:szCs w:val="24"/>
        </w:rPr>
        <w:t>: 2 nov. 2024.</w:t>
      </w:r>
    </w:p>
    <w:p w:rsidR="00ED64E6" w:rsidRDefault="00ED64E6">
      <w:pPr>
        <w:spacing w:line="240" w:lineRule="auto"/>
        <w:rPr>
          <w:sz w:val="24"/>
          <w:szCs w:val="24"/>
        </w:rPr>
      </w:pPr>
    </w:p>
    <w:p w:rsidR="00ED64E6" w:rsidRDefault="009E18D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ROCHA, I. Pesquisa revela que 32% dos casos de </w:t>
      </w:r>
      <w:proofErr w:type="spellStart"/>
      <w:r>
        <w:rPr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são contra pessoas negras. </w:t>
      </w:r>
      <w:r>
        <w:rPr>
          <w:b/>
          <w:sz w:val="24"/>
          <w:szCs w:val="24"/>
        </w:rPr>
        <w:t>Notícia Preta</w:t>
      </w:r>
      <w:r>
        <w:rPr>
          <w:sz w:val="24"/>
          <w:szCs w:val="24"/>
        </w:rPr>
        <w:t xml:space="preserve">, 7 jul. 2022b. Disponível em: </w:t>
      </w:r>
    </w:p>
    <w:p w:rsidR="00ED64E6" w:rsidRDefault="009E18D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>
        <w:rPr>
          <w:sz w:val="24"/>
          <w:szCs w:val="24"/>
        </w:rPr>
        <w:t>https://noticiapreta.com.br/pesquisa-revela-que-32-dos-casos-de-bullying-sao</w:t>
      </w:r>
      <w:proofErr w:type="gramEnd"/>
    </w:p>
    <w:p w:rsidR="00ED64E6" w:rsidRDefault="009E18D5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contra</w:t>
      </w:r>
      <w:proofErr w:type="gramEnd"/>
      <w:r>
        <w:rPr>
          <w:sz w:val="24"/>
          <w:szCs w:val="24"/>
        </w:rPr>
        <w:t xml:space="preserve">-pessoas-negras/&gt;. Acesso em: 2 nov. 2024.  </w:t>
      </w:r>
    </w:p>
    <w:p w:rsidR="00ED64E6" w:rsidRDefault="00ED64E6">
      <w:pPr>
        <w:spacing w:line="240" w:lineRule="auto"/>
        <w:rPr>
          <w:sz w:val="24"/>
          <w:szCs w:val="24"/>
        </w:rPr>
      </w:pPr>
    </w:p>
    <w:p w:rsidR="00ED64E6" w:rsidRDefault="009E18D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SBT NEWS. Delegacia de crimes raciais investiga caso de </w:t>
      </w:r>
      <w:proofErr w:type="spellStart"/>
      <w:r>
        <w:rPr>
          <w:sz w:val="24"/>
          <w:szCs w:val="24"/>
        </w:rPr>
        <w:t>bullying</w:t>
      </w:r>
      <w:proofErr w:type="spellEnd"/>
      <w:r>
        <w:rPr>
          <w:sz w:val="24"/>
          <w:szCs w:val="24"/>
        </w:rPr>
        <w:t xml:space="preserve"> contra menina negra | SBT Brasil (07/07/22). </w:t>
      </w:r>
      <w:proofErr w:type="spellStart"/>
      <w:r>
        <w:rPr>
          <w:b/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, 7 jul. 2022. Disponível em: </w:t>
      </w:r>
      <w:hyperlink r:id="rId14">
        <w:r>
          <w:rPr>
            <w:sz w:val="24"/>
            <w:szCs w:val="24"/>
            <w:u w:val="single"/>
          </w:rPr>
          <w:t>https://youtu.be/9w_YTvWNRVs?si=tMZKJCm</w:t>
        </w:r>
        <w:r>
          <w:rPr>
            <w:sz w:val="24"/>
            <w:szCs w:val="24"/>
            <w:u w:val="single"/>
          </w:rPr>
          <w:t>FEay9EYxN</w:t>
        </w:r>
      </w:hyperlink>
      <w:r>
        <w:rPr>
          <w:sz w:val="24"/>
          <w:szCs w:val="24"/>
        </w:rPr>
        <w:t xml:space="preserve">. Acesso em: 11 nov. 2024. </w:t>
      </w:r>
    </w:p>
    <w:p w:rsidR="00ED64E6" w:rsidRDefault="00ED64E6">
      <w:pPr>
        <w:spacing w:line="360" w:lineRule="auto"/>
        <w:jc w:val="both"/>
        <w:rPr>
          <w:sz w:val="24"/>
          <w:szCs w:val="24"/>
          <w:highlight w:val="green"/>
        </w:rPr>
      </w:pPr>
    </w:p>
    <w:sectPr w:rsidR="00ED64E6">
      <w:headerReference w:type="default" r:id="rId15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8D5" w:rsidRDefault="009E18D5">
      <w:pPr>
        <w:spacing w:line="240" w:lineRule="auto"/>
      </w:pPr>
      <w:r>
        <w:separator/>
      </w:r>
    </w:p>
  </w:endnote>
  <w:endnote w:type="continuationSeparator" w:id="0">
    <w:p w:rsidR="009E18D5" w:rsidRDefault="009E18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8D5" w:rsidRDefault="009E18D5">
      <w:pPr>
        <w:spacing w:line="240" w:lineRule="auto"/>
      </w:pPr>
      <w:r>
        <w:separator/>
      </w:r>
    </w:p>
  </w:footnote>
  <w:footnote w:type="continuationSeparator" w:id="0">
    <w:p w:rsidR="009E18D5" w:rsidRDefault="009E18D5">
      <w:pPr>
        <w:spacing w:line="240" w:lineRule="auto"/>
      </w:pPr>
      <w:r>
        <w:continuationSeparator/>
      </w:r>
    </w:p>
  </w:footnote>
  <w:footnote w:id="1">
    <w:p w:rsidR="00ED64E6" w:rsidRDefault="009E18D5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Mestranda no Programa de Pós-Graduação em Serviço Social da Universidade Estadual da Paraíba (PPGSS/UEPB). Graduada em Serviço Social pela Unive</w:t>
      </w:r>
      <w:r>
        <w:rPr>
          <w:sz w:val="20"/>
          <w:szCs w:val="20"/>
        </w:rPr>
        <w:t xml:space="preserve">rsidade Estadual da Paraíba (UEPB), </w:t>
      </w:r>
      <w:hyperlink r:id="rId1">
        <w:r>
          <w:rPr>
            <w:color w:val="1155CC"/>
            <w:sz w:val="20"/>
            <w:szCs w:val="20"/>
            <w:u w:val="single"/>
          </w:rPr>
          <w:t>ariane.andrade@aluno.uepb.edu.br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4E6" w:rsidRDefault="009E18D5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0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E6"/>
    <w:rsid w:val="009E18D5"/>
    <w:rsid w:val="00A473F5"/>
    <w:rsid w:val="00ED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43C13-CC37-4291-B6ED-981824D3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uppressAutoHyphens/>
      <w:spacing w:before="400" w:after="120"/>
      <w:ind w:leftChars="-1" w:left="-1" w:hangingChars="1" w:hanging="1"/>
      <w:textDirection w:val="btLr"/>
      <w:textAlignment w:val="top"/>
      <w:outlineLvl w:val="0"/>
    </w:pPr>
    <w:rPr>
      <w:position w:val="-1"/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uppressAutoHyphens/>
      <w:spacing w:before="360" w:after="120"/>
      <w:ind w:leftChars="-1" w:left="-1" w:hangingChars="1" w:hanging="1"/>
      <w:textDirection w:val="btLr"/>
      <w:textAlignment w:val="top"/>
      <w:outlineLvl w:val="1"/>
    </w:pPr>
    <w:rPr>
      <w:position w:val="-1"/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uppressAutoHyphens/>
      <w:spacing w:before="320" w:after="80"/>
      <w:ind w:leftChars="-1" w:left="-1" w:hangingChars="1" w:hanging="1"/>
      <w:textDirection w:val="btLr"/>
      <w:textAlignment w:val="top"/>
      <w:outlineLvl w:val="2"/>
    </w:pPr>
    <w:rPr>
      <w:color w:val="434343"/>
      <w:position w:val="-1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uppressAutoHyphens/>
      <w:spacing w:before="280" w:after="80"/>
      <w:ind w:leftChars="-1" w:left="-1" w:hangingChars="1" w:hanging="1"/>
      <w:textDirection w:val="btLr"/>
      <w:textAlignment w:val="top"/>
      <w:outlineLvl w:val="3"/>
    </w:pPr>
    <w:rPr>
      <w:color w:val="666666"/>
      <w:position w:val="-1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4"/>
    </w:pPr>
    <w:rPr>
      <w:color w:val="666666"/>
      <w:position w:val="-1"/>
    </w:rPr>
  </w:style>
  <w:style w:type="paragraph" w:styleId="Ttulo6">
    <w:name w:val="heading 6"/>
    <w:basedOn w:val="Normal"/>
    <w:next w:val="Normal"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5"/>
    </w:pPr>
    <w:rPr>
      <w:i/>
      <w:color w:val="666666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52"/>
      <w:szCs w:val="52"/>
    </w:rPr>
  </w:style>
  <w:style w:type="table" w:customStyle="1" w:styleId="TableNormal0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urnals.ufrpe.br/index.php/cadernosdecienciassociais/article/view/6023" TargetMode="External"/><Relationship Id="rId13" Type="http://schemas.openxmlformats.org/officeDocument/2006/relationships/hyperlink" Target="https://periodicoscientificos.ufmt.br/ojs/index.php/rebeh/article/view/992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eer.uscs.edu.br/index.php/revista_estudos_aplicados/article/view/4323" TargetMode="External"/><Relationship Id="rId12" Type="http://schemas.openxmlformats.org/officeDocument/2006/relationships/hyperlink" Target="https://periodicos.ufes.br/abepss/article/view/2295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1.globo.com/rj/rio-de-janeiro/noticia/2023/11/14/influenciadoras-que-deram-banana-e-macaco-de-pelucia-para-criancas-sao-indiciadas-por-racismo.g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duepb.uepb.edu.br/download/a-desprotecao-social-a-infancia-e-adolescencia-no-brasil/?wpdmdl=1987&amp;masterkey=2FycA7Tozzxpb288XQ1KwCneY0DA8Zsbw5QDEffUgE4cQtvwtSjOU44dGuvqjq_dFG_UdTMHldan58_KTpLmnt2VmaKSbIsA4NrBOyCy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publicacoes.uerj.br/revistaempauta/article/view/68586" TargetMode="External"/><Relationship Id="rId14" Type="http://schemas.openxmlformats.org/officeDocument/2006/relationships/hyperlink" Target="https://youtu.be/9w_YTvWNRVs?si=tMZKJCmFEay9EYx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riane.andrade@aluno.uep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qOsND8rjZaGlRBzCdSS/q7EfCg==">CgMxLjA4AHIhMWxPYzg3SF9nZkFMWUlvcEFpNlJhWjhpcEJNT3U0ZlFX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4010</Words>
  <Characters>21655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Zaira Sabry</cp:lastModifiedBy>
  <cp:revision>2</cp:revision>
  <dcterms:created xsi:type="dcterms:W3CDTF">2025-08-18T13:04:00Z</dcterms:created>
  <dcterms:modified xsi:type="dcterms:W3CDTF">2025-08-18T13:04:00Z</dcterms:modified>
</cp:coreProperties>
</file>