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highlight w:val="white"/>
          <w:rtl w:val="0"/>
        </w:rPr>
        <w:t xml:space="preserve">COLONIALISMO VERDE E SUBORDINAÇÃO AMBIENTAL: </w:t>
      </w:r>
      <w:r w:rsidDel="00000000" w:rsidR="00000000" w:rsidRPr="00000000">
        <w:rPr>
          <w:sz w:val="24"/>
          <w:szCs w:val="24"/>
          <w:highlight w:val="white"/>
          <w:rtl w:val="0"/>
        </w:rPr>
        <w:t xml:space="preserve">uma análise crítica da política de créditos de carbono na Amazônia brasileira.</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right"/>
        <w:rPr>
          <w:sz w:val="24"/>
          <w:szCs w:val="24"/>
        </w:rPr>
      </w:pPr>
      <w:r w:rsidDel="00000000" w:rsidR="00000000" w:rsidRPr="00000000">
        <w:rPr>
          <w:sz w:val="24"/>
          <w:szCs w:val="24"/>
          <w:rtl w:val="0"/>
        </w:rPr>
        <w:t xml:space="preserve">Ana Luisa Romano Campos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sz w:val="20"/>
          <w:szCs w:val="20"/>
          <w:highlight w:val="white"/>
          <w:rtl w:val="0"/>
        </w:rPr>
        <w:t xml:space="preserve">A presente análise oferece uma reflexão crítica sobre a política de créditos de carbono na Amazônia brasileira, inserida no contexto do chamado “colonialismo verde”, evidenciando como discursos de sustentabilidade e justiça climática frequentemente ocultam relações neocoloniais de dominação e dependência. A financeirização da natureza, ao transformar ecossistemas em ativos financeiros, compromete a soberania estatal e invisibiliza os saberes tradicionais. Fundamentada nos referenciais teóricos de Pierre Bourdieu e Charles Tilly, a pesquisa revela como a tecnocracia institucionalizada legitima formas de dominação simbólica, restringindo a autonomia do Estado e das comunidades locais, assim como o estudo do Programa REDD+ e da atuação da certificadora Verra explicita expressões da subordinação ambiental, ao centralizar o poder normativo em atores externos. Assim, esta investigação contribui para as Políticas Públicas ao destacar a urgência de epistemologias plurais e da participação efetiva das comunidades tradicionais na construção de uma governança ambiental legítima, inclusiva e soberana. </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Créditos de carbono; Amazônia; Colonialismo Verde; Subordinação ambiental.</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highlight w:val="white"/>
          <w:rtl w:val="0"/>
        </w:rPr>
        <w:t xml:space="preserve">This analysis offers a critical reflection on carbon credit policy in the Brazilian Amazon, within the context of so-called “green colonialism,” highlighting how discourses of sustainability and climate justice often conceal neocolonial relations of domination and dependence. The financialization of nature, by transforming ecosystems into financial assets, compromises state sovereignty and renders traditional knowledge invisible. Based on the theoretical references of Pierre Bourdieu and Charles Tilly, the research reveals how institutionalized technocracy legitimizes forms of symbolic domination, restricting the autonomy of the state and local communities, while the study of the REDD+ Program and the actions of the certifier Verra explicitly show expressions of environmental subordination by centralizing normative power in external actors. Therefore, this research contributes to public policy by highlighting the urgency of plural epistemologies and the effective participation of traditional communities in the </w:t>
      </w:r>
      <w:r w:rsidDel="00000000" w:rsidR="00000000" w:rsidRPr="00000000">
        <w:rPr>
          <w:sz w:val="20"/>
          <w:szCs w:val="20"/>
          <w:shd w:fill="ffe5e5" w:val="clear"/>
          <w:rtl w:val="0"/>
        </w:rPr>
        <w:t xml:space="preserve">construction</w:t>
      </w:r>
      <w:r w:rsidDel="00000000" w:rsidR="00000000" w:rsidRPr="00000000">
        <w:rPr>
          <w:sz w:val="20"/>
          <w:szCs w:val="20"/>
          <w:highlight w:val="white"/>
          <w:rtl w:val="0"/>
        </w:rPr>
        <w:t xml:space="preserve"> of legitimate, inclusive, and sovereign environmental governance.</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highlight w:val="white"/>
          <w:rtl w:val="0"/>
        </w:rPr>
        <w:t xml:space="preserve">Carbon credits; Amazon; Green colonialism; Environmental subordination. </w:t>
      </w:r>
      <w:r w:rsidDel="00000000" w:rsidR="00000000" w:rsidRPr="00000000">
        <w:rPr>
          <w:rtl w:val="0"/>
        </w:rPr>
      </w:r>
    </w:p>
    <w:p w:rsidR="00000000" w:rsidDel="00000000" w:rsidP="00000000" w:rsidRDefault="00000000" w:rsidRPr="00000000" w14:paraId="0000000B">
      <w:pPr>
        <w:spacing w:line="360" w:lineRule="auto"/>
        <w:rPr>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A Amazônia brasileira tem sido centro de uma intensa mobilização política, ambiental e institucional, especialmente diante dos desafios impostos pelas mudanças climáticas globais e pela crescente pressão por conservação. Nesse cenário, as políticas públicas ambientais tornam-se campo estratégico de disputa, particularmente no que tange à adoção de mecanismos de mercado, como os créditos de carbono, que buscam associar a conservação ambiental à geração de ativos econômicos negociáveis (Confederação Nacional da Indústria, 2021).  </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Contudo, essas políticas suscitam debates importantes acerca da autonomia do Estado brasileiro e da participação dos povos e comunidades tradicionais na definição e gestão de seus territórios, revelando uma problematização fundamental sobre a relação entre as agendas ambientais globais e as dinâmicas locais de poder e resistência.  </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A presente análise parte da perspectiva crítica do que se denomina “colonialismo verde”, processo pelo qual agendas ambientais, frequentemente promovidas por atores internacionais, acabam por reproduzir relações de dominação e dependência, desconsiderando as especificidades sociais, culturais e políticas das populações locais (Lang; Bringel; Manahan, 2024). Neste contexto, a política de créditos de carbono pode ser compreendida não apenas como uma ferramenta ambiental, mas como um instrumento que, ao impor lógicas técnicas e mercantis, contribui para a subordinação ambiental da Amazônia.  </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Portanto, este estudo tem como objetivo analisar criticamente a política de créditos de carbono na Amazônia, buscando evidenciar as tensões e contradições presentes em sua implementação, especialmente no que diz respeito à influência de atores externos e à marginalização dos saberes e direitos das populações locais (Alkmin, 2023).  </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vertAlign w:val="baseline"/>
        </w:rPr>
      </w:pPr>
      <w:r w:rsidDel="00000000" w:rsidR="00000000" w:rsidRPr="00000000">
        <w:rPr>
          <w:sz w:val="24"/>
          <w:szCs w:val="24"/>
          <w:rtl w:val="0"/>
        </w:rPr>
        <w:t xml:space="preserve">Para tanto, adota-se uma perspectiva teórico-metodológica que articula a compreensão da dominação simbólica e da naturalização das práticas tecnocráticas na formulação de políticas públicas, com base nos princípios desenvolvidos por Pierre Bourdieu, junto à análise das dinâmicas de coerção e poder na constituição e manutenção dos Estados, conforme elaborado por Charles Tilly.</w:t>
      </w: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rtl w:val="0"/>
        </w:rPr>
      </w:r>
    </w:p>
    <w:p w:rsidR="00000000" w:rsidDel="00000000" w:rsidP="00000000" w:rsidRDefault="00000000" w:rsidRPr="00000000" w14:paraId="00000012">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highlight w:val="white"/>
          <w:rtl w:val="0"/>
        </w:rPr>
        <w:t xml:space="preserve">IMPERIALISMO AMBIENTAL E A LÓGICA DA SUBORDINAÇÃO VERDE  </w:t>
      </w: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A emergência do debate ambiental nas agendas internacionais tem sido acompanhada pela consolidação de discursos e práticas que, embora revestidos de uma retórica de sustentabilidade e justiça climática, frequentemente reproduzem lógicas de dominação e subordinação características da expansão capitalista global. Esse fenômeno, denominado por alguns autores como “colonialismo verde”, refere-se à imposição de modelos de governança ambiental formulados por atores do Norte Global sobre territórios do Sul, sob a justificativa de preservar a biodiversidade e mitigar as mudanças climáticas, mas o fazem a partir de estruturas assimétricas de poder e interesse (Lang; Bringel; Manahan, 2024).   </w:t>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No contexto latino-americano, tais dinâmicas assumem contornos ainda mais complexos, uma vez que a região, historicamente marcada pela exploração colonial e pela dependência econômica, ressurge como epicentro de disputas geopolíticas sobre a gestão de seus bens comuns, como a biodiversidade amazônica. Nesse cenário, tais disputas são frequentemente mediadas por instrumentos técnico-normativos, a exemplo dos créditos de carbono, que transformam ecossistemas inteiros em ativos negociáveis, ao mesmo tempo em que restringem o protagonismo decisório dos Estados nacionais e das populações que habitam esses territórios (Gudynas, 2015).   </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Conforme aponta Lander (2005), a produção e imposição de conhecimentos eurocentrados, que desconsideram os saberes locais e os modos de vida tradicionais, reforça a subalternização epistêmica das sociedades periféricas, revelando uma atualização da colonialidade sob novas roupagens. Nesse sentido, o colonialismo verde não opera apenas sobre os recursos naturais, mas também sobre os regimes de conhecimento, as práticas culturais e os direitos territoriais, evidenciando uma dominação que é ao mesmo tempo material e simbólica.   </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Bourdieu (2008) alerta que os campos burocráticos e técnicos possuem formas próprias de produção de autoridade e legitimidade, frequentemente desvinculadas das dinâmicas participativas e democráticas. Nesse sentido, a dominação simbólica se concretiza, em grande parte, por meio de dispositivos institucionais e tecnocráticos que moldam a formulação de políticas públicas. No campo das políticas ambientais, essa característica se manifesta na adoção de métricas, indicadores e modelos de mercado como critérios principais de decisão, o que tende a despolitizar o debate e a neutralizar os conflitos socioambientais em nome da “eficiência” ou da “boa governança” (Gudynas, 2015).    </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Como indicam Capella (2006) e Souza (2006), a formação da agenda de políticas públicas está profundamente vinculada à correlação de forças políticas e institucionais que moldam o que entra ou não no debate decisório e, no caso da governança ambiental, essa seleção tem privilegiado soluções de mercado em detrimento de modelos baseados em justiça social e soberania territorial.   </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Nesse contexto, a dinâmica de dependência presente nesse cenário pode ser compreendida à luz da teoria de Charles Tilly (1996), segundo a qual os Estados se consolidam historicamente por meio da monopolização legítima da coerção e da arrecadação. Assim, os Estados periféricos operam muitas vezes como mediadores subordinados entre as pressões externas e os interesses internos. Ou seja, a coerção, aqui, não se manifesta necessariamente de forma bélica ou direta, mas por meio da dependência financeira, da validação técnica e do reconhecimento institucional internacional.   </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40" w:firstLine="700"/>
        <w:jc w:val="both"/>
        <w:rPr>
          <w:sz w:val="24"/>
          <w:szCs w:val="24"/>
        </w:rPr>
      </w:pPr>
      <w:r w:rsidDel="00000000" w:rsidR="00000000" w:rsidRPr="00000000">
        <w:rPr>
          <w:sz w:val="24"/>
          <w:szCs w:val="24"/>
          <w:rtl w:val="0"/>
        </w:rPr>
        <w:t xml:space="preserve">Como alerta o sociólogo francês, Pierre Bourdieu (2008), os campos técnicos e burocráticos operam sob formas de dominação simbólica que impõem suas classificações e estruturas como legítimas, mesmo quando estão desconectadas das realidades vividas pelas populações afetadas. Assim, o que se observa é a conformação de um regime ambiental transnacional que, embora discursivamente ancorado em metas globais e consensos técnicos, opera por meio de relações profundamente desiguais.</w:t>
      </w:r>
    </w:p>
    <w:p w:rsidR="00000000" w:rsidDel="00000000" w:rsidP="00000000" w:rsidRDefault="00000000" w:rsidRPr="00000000" w14:paraId="0000001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C">
      <w:pPr>
        <w:spacing w:line="360" w:lineRule="auto"/>
        <w:jc w:val="both"/>
        <w:rPr>
          <w:b w:val="0"/>
          <w:sz w:val="24"/>
          <w:szCs w:val="24"/>
          <w:vertAlign w:val="baseline"/>
        </w:rPr>
      </w:pPr>
      <w:r w:rsidDel="00000000" w:rsidR="00000000" w:rsidRPr="00000000">
        <w:rPr>
          <w:b w:val="1"/>
          <w:sz w:val="24"/>
          <w:szCs w:val="24"/>
          <w:rtl w:val="0"/>
        </w:rPr>
        <w:t xml:space="preserve">3</w:t>
      </w:r>
      <w:r w:rsidDel="00000000" w:rsidR="00000000" w:rsidRPr="00000000">
        <w:rPr>
          <w:b w:val="1"/>
          <w:sz w:val="24"/>
          <w:szCs w:val="24"/>
          <w:vertAlign w:val="baseline"/>
          <w:rtl w:val="0"/>
        </w:rPr>
        <w:tab/>
      </w:r>
      <w:r w:rsidDel="00000000" w:rsidR="00000000" w:rsidRPr="00000000">
        <w:rPr>
          <w:b w:val="1"/>
          <w:sz w:val="24"/>
          <w:szCs w:val="24"/>
          <w:highlight w:val="white"/>
          <w:rtl w:val="0"/>
        </w:rPr>
        <w:t xml:space="preserve">AMAZÔNIA E O MERCADO DE CARBONO: ENTRE A CONSERVAÇÃO E A CAPTURA DA DECISÃO POLÍTICA </w:t>
      </w: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Quando se discute a Amazônia enquanto espaço de conservação, é imprescindível compreender que reconhecer os direitos da natureza implica reconhecê-la como sujeito de direito, e não apenas como objeto de manejo ou controle. Isso exige uma ruptura com paradigmas antropocêntricos e a adoção de uma ética biocêntrica, que conceba a natureza como portadora de valor intrínseco, independentemente de sua utilidade econômica (Gudynas, 2015). </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Entretanto, o que se observa na prática é a inserção da Amazônia em uma lógica global de compensação ambiental baseada em mecanismos de mercado, como os créditos de carbono, que operam por meio da financeirização da natureza: ecossistemas inteiros são convertidos em ativos financeiros, e sua preservação passa a ser condicionada à sua capacidade de gerar valor econômico (dos </w:t>
        <w:tab/>
        <w:t xml:space="preserve">Santos Santana et al., 2025). Além disso, embora a proposta aparente ser conciliatória ao oferecer incentivos financeiros para a conservação, ela oculta contradições estruturais profundas. </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O funcionamento dos mercados de carbono é pautado por uma lógica de compensação, segundo a qual agentes poluidores, majoritariamente situados no Norte Global, podem continuar suas emissões mediante a aquisição de créditos gerados por projetos de conservação em países periféricos. Essa estrutura, ao invés de representar uma solução efetiva para a crise climática, frequentemente consolida desigualdades e mecanismos de dominação. Como explica Alkmin (2023): </w:t>
      </w:r>
    </w:p>
    <w:p w:rsidR="00000000" w:rsidDel="00000000" w:rsidP="00000000" w:rsidRDefault="00000000" w:rsidRPr="00000000" w14:paraId="00000020">
      <w:pPr>
        <w:spacing w:line="240" w:lineRule="auto"/>
        <w:ind w:left="2268" w:firstLine="0"/>
        <w:jc w:val="both"/>
        <w:rPr>
          <w:sz w:val="20"/>
          <w:szCs w:val="20"/>
          <w:highlight w:val="white"/>
        </w:rPr>
      </w:pPr>
      <w:r w:rsidDel="00000000" w:rsidR="00000000" w:rsidRPr="00000000">
        <w:rPr>
          <w:sz w:val="20"/>
          <w:szCs w:val="20"/>
          <w:highlight w:val="white"/>
          <w:rtl w:val="0"/>
        </w:rPr>
        <w:t xml:space="preserve">“O processo de financeirização dos bens comuns naturais dá origem, dessa forma, à noção de ‘pagamentos por serviços ambientais’ (PSAs). Essa perspectiva converte as incongruências produtivas do capitalismo em novas oportunidades de lucro e extração de renda. No entanto, ao precificar e comercializar esses ‘serviços’ ambientais, quem tem recursos para pagar por eles adquire, indiretamente, o direito de poluir. Eis a grande contradição que sustenta os mercados de emissões: a ideia de compensação, que mascara o colonialismo de carbono a partir do pressuposto de mercantilização de responsabilidades.”   </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Nesse sentido, observa-se que, é mais vantajoso manter seus padrões de emissão e “compensá-los” financeiramente do que efetivamente alterar seus modos de produção. Sendo assim, essa lógica gera um mercado ambiental que não combate estruturalmente as causas do problema climático, mas transforma a crise em oportunidade de negócios, aprofundando a dependência de países periféricos em relação a fluxos de capitais e certificações internacionais (Castro; Castro, 2022).  </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Ademais, a perspectiva neoliberal por trás dessas políticas assume que atribuir valor monetário a bens naturais, como o carbono, é suficiente para garantir sua proteção. Essa crença é sustentada por uma lógica que tenta transformar externalidades negativas em ativos negociáveis, conferindo ao mercado o papel de principal regulador da crise ecológica. Como observa Alkmin (2023): </w:t>
      </w:r>
    </w:p>
    <w:p w:rsidR="00000000" w:rsidDel="00000000" w:rsidP="00000000" w:rsidRDefault="00000000" w:rsidRPr="00000000" w14:paraId="00000023">
      <w:pPr>
        <w:spacing w:line="240" w:lineRule="auto"/>
        <w:ind w:left="2268" w:firstLine="0"/>
        <w:jc w:val="both"/>
        <w:rPr>
          <w:sz w:val="20"/>
          <w:szCs w:val="20"/>
          <w:highlight w:val="white"/>
        </w:rPr>
      </w:pPr>
      <w:r w:rsidDel="00000000" w:rsidR="00000000" w:rsidRPr="00000000">
        <w:rPr>
          <w:sz w:val="20"/>
          <w:szCs w:val="20"/>
          <w:highlight w:val="white"/>
          <w:rtl w:val="0"/>
        </w:rPr>
        <w:t xml:space="preserve">“A promessa da economia verde reside na ideia de conciliar o crescimento da economia capitalista com uma gestão ambiental racional e sustentável [...]. Sob a perspectiva neoliberal, esse processo permitiria que as forças de mercado corrigissem as ‘distorções ambientais’ originadas da exploração dessa ‘natureza barata’ (cheap nature). Em resumo, a argumentação é que as externalidades negativas associadas às atividades econômicas deveriam ser quantificadas em termos financeiros e incorporadas ao sistema de mercado [...]”.   </w:t>
      </w:r>
    </w:p>
    <w:p w:rsidR="00000000" w:rsidDel="00000000" w:rsidP="00000000" w:rsidRDefault="00000000" w:rsidRPr="00000000" w14:paraId="00000024">
      <w:pPr>
        <w:spacing w:line="360" w:lineRule="auto"/>
        <w:jc w:val="both"/>
        <w:rPr>
          <w:sz w:val="24"/>
          <w:szCs w:val="24"/>
        </w:rPr>
      </w:pPr>
      <w:r w:rsidDel="00000000" w:rsidR="00000000" w:rsidRPr="00000000">
        <w:rPr>
          <w:rtl w:val="0"/>
        </w:rPr>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highlight w:val="white"/>
          <w:rtl w:val="0"/>
        </w:rPr>
        <w:t xml:space="preserve">Logo, essa mercantilização da política ambiental compromete sua dimensão pública e democrática, ao deslocar decisões de interesse coletivo para arenas privadas, pautadas pela lógica do lucro e do investimento. Dessa forrma, a adesão do Brasil a esse modelo, inclusive com a criação do Sistema Brasileiro de Comércio de Emissões (SBCE) por meio da Lei nº 15.042/2024, sinaliza uma institucionalização desse regime de governança ambiental financeirizada, no qual o Estado atua mais como gestor de ativos do que como garantidor de direitos (Alkmin, 2023).   </w:t>
      </w:r>
      <w:r w:rsidDel="00000000" w:rsidR="00000000" w:rsidRPr="00000000">
        <w:rPr>
          <w:rtl w:val="0"/>
        </w:rPr>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b w:val="0"/>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r>
      <w:r w:rsidDel="00000000" w:rsidR="00000000" w:rsidRPr="00000000">
        <w:rPr>
          <w:b w:val="1"/>
          <w:sz w:val="24"/>
          <w:szCs w:val="24"/>
          <w:highlight w:val="white"/>
          <w:rtl w:val="0"/>
        </w:rPr>
        <w:t xml:space="preserve">EXPRESSÕES DA SUBORDINAÇÃO AMBIENTAL NO BRASIL: ESTUDO DE CASO DA POLÍTICA DE CRÉDITOS DE CARBONO </w:t>
      </w: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No atual arranjo das políticas ambientais brasileiras, a Amazônia deixa de ser apenas um território a ser preservado para se tornar um espaço estratégico de captura da decisão política, à medida que a intensificação da presença de fundos de investimento, certificadoras internacionais e projetos financiados por instituições estrangeiras evidencia a crescente subordinação da política ambiental a lógicas e interesses externos. Nesse sentido, a financeirização da natureza está articulada à flexibilização de regulamentos ambientais, sociais e fundiários, promovida pelo próprio Estado com o objetivo de viabilizar o livre fluxo do capital financeiro transnacional (Castro; Castro, 2022). </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Exemplo desse processo é o Programa REDD+ no Acre, que constitui um dos casos mais emblemáticos da introdução de mecanismos de mercado para conservação ambiental no país. Reconhecido internacionalmente, o programa foi concebido com o apoio financeiro de instituições como o Banco de Desenvolvimento Alemão (KfW), a cooperação internacional alemã (GIZ) e organizações como a WWF (Fundo Mundial para a Natureza). </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Entretanto, embora formalmente vinculado aos objetivos de redução do desmatamento e da degradação florestal, o programa incorporou uma lógica de “pagamento por resultados” atrelada à mensuração de estoques de carbono, baseando-se em modelos técnico-científicos externos e desconsiderando as formas tradicionais de uso e manejo da floresta (Alkmin, 2023). Dessa forma, expressa o que Castro e Castro (2022) identificam como subordinação da política ambiental às dinâmicas de acumulação capitalista, articulando mercados globais, especulação fundiária e financeirização dos territórios. </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Além disso, a atuação da Verra (Verified Carbon Standard), principal certificadora de créditos de carbono no Brasil, intensifica esse processo ao responder por 92% dos créditos registrados no país, através de um processo de contabilização marcado por opacidades e padronizações exógenas que frequentemente ignoram a complexidade socioambiental amazônica (dos Santos Santana et al., 2025). </w:t>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Nesse cenário, a criação do Sistema Brasileiro de Comércio de Emissões (SBCE) representa um marco na consolidação de um mercado regulado de carbono. No entanto, essa legislação foi fortemente influenciada por propostas originadas de organismos multilaterais, como o Banco Mundial, por meio do projeto PMR Brasil, e pelo Conselho Empresarial Brasileiro para o Desenvolvimento Sustentável (CEBDS), que elaborou um marco regulatório baseado em experiências internacionais (Vargas; Delazeri; Ferrera, 2022). </w:t>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Ainda que o SBCE represente um avanço em termos de normatização e transparência, ele também reforça a dependência do país em relação a modelos e parâmetros externos, tornando a política ambiental nacional permeável a interesses do mercado global e potencialmente alheia às complexidades socioambientais da realidade amazônica. </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rPr>
      </w:pPr>
      <w:r w:rsidDel="00000000" w:rsidR="00000000" w:rsidRPr="00000000">
        <w:rPr>
          <w:sz w:val="24"/>
          <w:szCs w:val="24"/>
          <w:rtl w:val="0"/>
        </w:rPr>
        <w:t xml:space="preserve">Como destaca Alkmin (2023), esse tipo de institucionalização reforça um “colonialismo climático” no qual o território amazônico é tratado como espaço de compensação para emissões produzidas no Norte Global. Tal lógica sustenta, na prática, um “direito de poluir” para aqueles que dispõem de recursos financeiros, promovendo uma lógica de mercantilização da responsabilidade ambiental. </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b w:val="1"/>
          <w:sz w:val="24"/>
          <w:szCs w:val="24"/>
          <w:highlight w:val="white"/>
        </w:rPr>
      </w:pPr>
      <w:r w:rsidDel="00000000" w:rsidR="00000000" w:rsidRPr="00000000">
        <w:rPr>
          <w:b w:val="1"/>
          <w:sz w:val="24"/>
          <w:szCs w:val="24"/>
          <w:rtl w:val="0"/>
        </w:rPr>
        <w:t xml:space="preserve">4.1</w:t>
        <w:tab/>
      </w:r>
      <w:r w:rsidDel="00000000" w:rsidR="00000000" w:rsidRPr="00000000">
        <w:rPr>
          <w:b w:val="1"/>
          <w:sz w:val="24"/>
          <w:szCs w:val="24"/>
          <w:highlight w:val="white"/>
          <w:rtl w:val="0"/>
        </w:rPr>
        <w:t xml:space="preserve">Contradições e riscos de uma política ambiental subordinada </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A política de créditos de carbono, ao se articular com estruturas normativas internacionais e operar sob uma lógica de compensação financeira, pressupõe a racionalidade econômica dos atores envolvidos e a superioridade da eficiência de mercado como instrumento de regulação ambiental. Contudo, na prática, ela mascara o deslocamento da responsabilidade ambiental do emissor para terceiros, geralmente localizados em regiões periféricas (Alkmin, 2023). </w:t>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Sendo assim, esse arranjo expressa a consolidação de uma governança ambiental centrada na quantificação, na padronização técnica e na fluidez mercantil dos bens comuns. Ou seja, longe de representar uma ruptura com estruturas coloniais de dominação, esse modelo opera uma reatualização da colonialidade sob o véu do discurso da neutralidade técnica e da urgência climática (Castro; Castro, 2022).  </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Nesse sentido, a financeirização da natureza não apenas aprofunda a dependência estrutural dos Estados periféricos frente ao capital transnacional, como também esvazia a dimensão política da formulação das políticas públicas. Sendo assim, essa lógica é sustentada por uma ética ambiental utilitarista, que converte a natureza em ativo e desconsidera sua dimensão intrínseca, como alerta Gudynas (2015) ao defender os direitos da natureza e uma ética biocêntrica de políticas ambientais. </w:t>
      </w:r>
    </w:p>
    <w:p w:rsidR="00000000" w:rsidDel="00000000" w:rsidP="00000000" w:rsidRDefault="00000000" w:rsidRPr="00000000" w14:paraId="00000033">
      <w:pPr>
        <w:spacing w:line="360" w:lineRule="auto"/>
        <w:jc w:val="both"/>
        <w:rPr>
          <w:sz w:val="24"/>
          <w:szCs w:val="24"/>
          <w:highlight w:val="white"/>
        </w:rPr>
      </w:pPr>
      <w:r w:rsidDel="00000000" w:rsidR="00000000" w:rsidRPr="00000000">
        <w:rPr>
          <w:b w:val="1"/>
          <w:sz w:val="24"/>
          <w:szCs w:val="24"/>
          <w:rtl w:val="0"/>
        </w:rPr>
        <w:t xml:space="preserve">5</w:t>
        <w:tab/>
      </w:r>
      <w:r w:rsidDel="00000000" w:rsidR="00000000" w:rsidRPr="00000000">
        <w:rPr>
          <w:b w:val="1"/>
          <w:sz w:val="24"/>
          <w:szCs w:val="24"/>
          <w:highlight w:val="white"/>
          <w:rtl w:val="0"/>
        </w:rPr>
        <w:t xml:space="preserve">CONSIDERAÇÕES FINAIS </w:t>
      </w: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sz w:val="24"/>
          <w:szCs w:val="24"/>
          <w:highlight w:val="white"/>
        </w:rPr>
      </w:pPr>
      <w:r w:rsidDel="00000000" w:rsidR="00000000" w:rsidRPr="00000000">
        <w:rPr>
          <w:b w:val="1"/>
          <w:sz w:val="24"/>
          <w:szCs w:val="24"/>
          <w:highlight w:val="white"/>
          <w:rtl w:val="0"/>
        </w:rPr>
        <w:tab/>
      </w:r>
      <w:r w:rsidDel="00000000" w:rsidR="00000000" w:rsidRPr="00000000">
        <w:rPr>
          <w:sz w:val="24"/>
          <w:szCs w:val="24"/>
          <w:highlight w:val="white"/>
          <w:rtl w:val="0"/>
        </w:rPr>
        <w:t xml:space="preserve">A presente análise permitiu revelar as complexas tensões que permeiam a política de créditos de carbono na Amazônia brasileira, destacando suas contradições centrais no âmbito das políticas públicas ambientais. Ao inserir-se no contexto do chamado “colonialismo verde”, esse modelo de governança ambiental transnacional não apenas reflete, mas também reconfigura relações históricas de dominação e dependência entre o Norte e o Sul Global. </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Além disso, o estudo de caso do Programa REDD+ e da atuação da certificadora Verra, demonstram que a financeirização da natureza e a mercantilização dos serviços ambientais impõem um modelo técnico-normativo externo, que condiciona a soberania do Estado brasileiro e marginaliza a participação dos povos amazônicos na gestão territorial. </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Assim, os créditos de carbono, longe de constituírem uma solução neutra ou consensual para a crise climática, expressam um processo de subordinação ambiental que instrumentaliza a conservação da Amazônia para fins de acumulação financeira, ao passo que redefinem o papel do Estado, que se torna mediador de interesses econômicos transnacionais e gestor de ativos ambientais, ao invés de garantidor dos direitos socioambientais. Dessa forma, este fenômeno impõe uma profunda reflexão sobre os fundamentos epistemológicos, éticos e políticos das políticas públicas ambientais contemporâneas, especialmente em contextos periféricos. </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Diante desse quadro, as considerações aqui expostas apontam para a necessidade urgente de repensar os paradigmas dominantes que orientam as políticas ambientais na Amazônia. Novos caminhos devem ser explorados, valorizando epistemologias plurais e incorporando a participação efetiva das populações tradicionais, a fim de assegurar uma governança ambiental baseada em justiça, soberania e reconhecimento dos direitos da natureza.  </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sz w:val="24"/>
          <w:szCs w:val="24"/>
          <w:highlight w:val="white"/>
        </w:rPr>
      </w:pPr>
      <w:r w:rsidDel="00000000" w:rsidR="00000000" w:rsidRPr="00000000">
        <w:rPr>
          <w:sz w:val="24"/>
          <w:szCs w:val="24"/>
          <w:highlight w:val="white"/>
          <w:rtl w:val="0"/>
        </w:rPr>
        <w:t xml:space="preserve">Adicionalmente, torna-se imperativo aprofundar estudos sobre os impactos socioeconômicos e culturais decorrentes da implementação dos créditos de carbono, bem como sobre as formas de resistência e organização dos atores locais frente ao colonialismo verde. Nesse sentido, a produção de conhecimento crítico que articule teoria e prática no campo das políticas públicas ambientais é fundamental para contribuir na formulação de estratégias que potencializem a autonomia dos sujeitos locais e a proteção integral dos bens comuns amazônicos. </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00"/>
        <w:jc w:val="both"/>
        <w:rPr>
          <w:b w:val="0"/>
          <w:sz w:val="24"/>
          <w:szCs w:val="24"/>
          <w:vertAlign w:val="baseline"/>
        </w:rPr>
      </w:pPr>
      <w:r w:rsidDel="00000000" w:rsidR="00000000" w:rsidRPr="00000000">
        <w:rPr>
          <w:sz w:val="24"/>
          <w:szCs w:val="24"/>
          <w:highlight w:val="white"/>
          <w:rtl w:val="0"/>
        </w:rPr>
        <w:t xml:space="preserve">Em síntese, a análise aqui desenvolvida reforça que a superação dos desafios socioambientais da Amazônia passa necessariamente pela descolonização das políticas ambientais e pelo fortalecimento de uma agenda que articule justiça climática, direitos humanos e sustentabilidade de modo integrado, plural e democrático. </w:t>
      </w:r>
      <w:r w:rsidDel="00000000" w:rsidR="00000000" w:rsidRPr="00000000">
        <w:rPr>
          <w:rtl w:val="0"/>
        </w:rPr>
      </w:r>
    </w:p>
    <w:p w:rsidR="00000000" w:rsidDel="00000000" w:rsidP="00000000" w:rsidRDefault="00000000" w:rsidRPr="00000000" w14:paraId="0000003A">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B">
      <w:pPr>
        <w:spacing w:after="240" w:before="240" w:line="240" w:lineRule="auto"/>
        <w:jc w:val="both"/>
        <w:rPr>
          <w:sz w:val="24"/>
          <w:szCs w:val="24"/>
        </w:rPr>
      </w:pPr>
      <w:r w:rsidDel="00000000" w:rsidR="00000000" w:rsidRPr="00000000">
        <w:rPr>
          <w:sz w:val="24"/>
          <w:szCs w:val="24"/>
          <w:rtl w:val="0"/>
        </w:rPr>
        <w:t xml:space="preserve">ALKMIN, Fábio Márcio. </w:t>
      </w:r>
      <w:r w:rsidDel="00000000" w:rsidR="00000000" w:rsidRPr="00000000">
        <w:rPr>
          <w:b w:val="1"/>
          <w:sz w:val="24"/>
          <w:szCs w:val="24"/>
          <w:rtl w:val="0"/>
        </w:rPr>
        <w:t xml:space="preserve">Colonialismo climático e financeirização do carbono: Reflexões sobre o REDD+ e a autonomia socioterritorial dos povos indígenas na Amazônia. Ambientes</w:t>
      </w:r>
      <w:r w:rsidDel="00000000" w:rsidR="00000000" w:rsidRPr="00000000">
        <w:rPr>
          <w:sz w:val="24"/>
          <w:szCs w:val="24"/>
          <w:rtl w:val="0"/>
        </w:rPr>
        <w:t xml:space="preserve">: Revista de Geografia e Ecologia Política, v. 5, n. 2, 2023.</w:t>
      </w:r>
    </w:p>
    <w:p w:rsidR="00000000" w:rsidDel="00000000" w:rsidP="00000000" w:rsidRDefault="00000000" w:rsidRPr="00000000" w14:paraId="0000003C">
      <w:pPr>
        <w:spacing w:after="240" w:before="240" w:line="240" w:lineRule="auto"/>
        <w:jc w:val="both"/>
        <w:rPr>
          <w:sz w:val="24"/>
          <w:szCs w:val="24"/>
        </w:rPr>
      </w:pPr>
      <w:r w:rsidDel="00000000" w:rsidR="00000000" w:rsidRPr="00000000">
        <w:rPr>
          <w:sz w:val="24"/>
          <w:szCs w:val="24"/>
          <w:rtl w:val="0"/>
        </w:rPr>
        <w:t xml:space="preserve">BOURDIEU, Pierre. </w:t>
      </w:r>
      <w:r w:rsidDel="00000000" w:rsidR="00000000" w:rsidRPr="00000000">
        <w:rPr>
          <w:b w:val="1"/>
          <w:sz w:val="24"/>
          <w:szCs w:val="24"/>
          <w:rtl w:val="0"/>
        </w:rPr>
        <w:t xml:space="preserve">Razões práticas: sobre a teoria da ação.</w:t>
      </w:r>
      <w:r w:rsidDel="00000000" w:rsidR="00000000" w:rsidRPr="00000000">
        <w:rPr>
          <w:sz w:val="24"/>
          <w:szCs w:val="24"/>
          <w:rtl w:val="0"/>
        </w:rPr>
        <w:t xml:space="preserve"> Papirus Editora – 9ª edição, 2008.</w:t>
      </w:r>
    </w:p>
    <w:p w:rsidR="00000000" w:rsidDel="00000000" w:rsidP="00000000" w:rsidRDefault="00000000" w:rsidRPr="00000000" w14:paraId="0000003D">
      <w:pPr>
        <w:spacing w:after="240" w:before="240" w:line="240" w:lineRule="auto"/>
        <w:jc w:val="both"/>
        <w:rPr>
          <w:sz w:val="24"/>
          <w:szCs w:val="24"/>
        </w:rPr>
      </w:pPr>
      <w:r w:rsidDel="00000000" w:rsidR="00000000" w:rsidRPr="00000000">
        <w:rPr>
          <w:sz w:val="24"/>
          <w:szCs w:val="24"/>
          <w:rtl w:val="0"/>
        </w:rPr>
        <w:t xml:space="preserve">BRASIL. Ministério do Meio Ambiente e Mudança do Clima. </w:t>
      </w:r>
      <w:r w:rsidDel="00000000" w:rsidR="00000000" w:rsidRPr="00000000">
        <w:rPr>
          <w:b w:val="1"/>
          <w:sz w:val="24"/>
          <w:szCs w:val="24"/>
          <w:rtl w:val="0"/>
        </w:rPr>
        <w:t xml:space="preserve">Nota informativa REDD+ Brasil.</w:t>
      </w:r>
      <w:r w:rsidDel="00000000" w:rsidR="00000000" w:rsidRPr="00000000">
        <w:rPr>
          <w:sz w:val="24"/>
          <w:szCs w:val="24"/>
          <w:rtl w:val="0"/>
        </w:rPr>
        <w:t xml:space="preserve"> Brasília: MMA, 2025. Disponível em:</w:t>
      </w:r>
      <w:hyperlink r:id="rId8">
        <w:r w:rsidDel="00000000" w:rsidR="00000000" w:rsidRPr="00000000">
          <w:rPr>
            <w:sz w:val="24"/>
            <w:szCs w:val="24"/>
            <w:rtl w:val="0"/>
          </w:rPr>
          <w:t xml:space="preserve"> </w:t>
        </w:r>
      </w:hyperlink>
      <w:hyperlink r:id="rId9">
        <w:r w:rsidDel="00000000" w:rsidR="00000000" w:rsidRPr="00000000">
          <w:rPr>
            <w:sz w:val="24"/>
            <w:szCs w:val="24"/>
            <w:u w:val="single"/>
            <w:rtl w:val="0"/>
          </w:rPr>
          <w:t xml:space="preserve">https://www.gov.br/mma/pt-br/composicao/secd/redd</w:t>
        </w:r>
      </w:hyperlink>
      <w:r w:rsidDel="00000000" w:rsidR="00000000" w:rsidRPr="00000000">
        <w:rPr>
          <w:sz w:val="24"/>
          <w:szCs w:val="24"/>
          <w:rtl w:val="0"/>
        </w:rPr>
        <w:t xml:space="preserve">. Acesso em: 6 jul. 2025.</w:t>
      </w:r>
    </w:p>
    <w:p w:rsidR="00000000" w:rsidDel="00000000" w:rsidP="00000000" w:rsidRDefault="00000000" w:rsidRPr="00000000" w14:paraId="0000003E">
      <w:pPr>
        <w:spacing w:after="240" w:before="240" w:line="240" w:lineRule="auto"/>
        <w:jc w:val="both"/>
        <w:rPr>
          <w:sz w:val="24"/>
          <w:szCs w:val="24"/>
        </w:rPr>
      </w:pPr>
      <w:r w:rsidDel="00000000" w:rsidR="00000000" w:rsidRPr="00000000">
        <w:rPr>
          <w:sz w:val="24"/>
          <w:szCs w:val="24"/>
          <w:rtl w:val="0"/>
        </w:rPr>
        <w:t xml:space="preserve">CASTRO, Edna Maria R. de; CASTRO, Carlos Potiara. </w:t>
      </w:r>
      <w:r w:rsidDel="00000000" w:rsidR="00000000" w:rsidRPr="00000000">
        <w:rPr>
          <w:b w:val="1"/>
          <w:sz w:val="24"/>
          <w:szCs w:val="24"/>
          <w:rtl w:val="0"/>
        </w:rPr>
        <w:t xml:space="preserve">Desmatamento na Amazônia, desregulação socioambiental e financeirização do mercado de terras e de commodities.</w:t>
      </w:r>
      <w:r w:rsidDel="00000000" w:rsidR="00000000" w:rsidRPr="00000000">
        <w:rPr>
          <w:sz w:val="24"/>
          <w:szCs w:val="24"/>
          <w:rtl w:val="0"/>
        </w:rPr>
        <w:t xml:space="preserve"> Novos Cadernos NAEA, v. 25, n. 1, p. 11-36, 2022.</w:t>
      </w:r>
    </w:p>
    <w:p w:rsidR="00000000" w:rsidDel="00000000" w:rsidP="00000000" w:rsidRDefault="00000000" w:rsidRPr="00000000" w14:paraId="0000003F">
      <w:pPr>
        <w:spacing w:after="240" w:before="240" w:line="240" w:lineRule="auto"/>
        <w:jc w:val="both"/>
        <w:rPr>
          <w:sz w:val="24"/>
          <w:szCs w:val="24"/>
        </w:rPr>
      </w:pPr>
      <w:r w:rsidDel="00000000" w:rsidR="00000000" w:rsidRPr="00000000">
        <w:rPr>
          <w:sz w:val="24"/>
          <w:szCs w:val="24"/>
          <w:rtl w:val="0"/>
        </w:rPr>
        <w:t xml:space="preserve">CONFEDERAÇÃO NACIONAL DA INDÚSTRIA. </w:t>
      </w:r>
      <w:r w:rsidDel="00000000" w:rsidR="00000000" w:rsidRPr="00000000">
        <w:rPr>
          <w:b w:val="1"/>
          <w:sz w:val="24"/>
          <w:szCs w:val="24"/>
          <w:rtl w:val="0"/>
        </w:rPr>
        <w:t xml:space="preserve">Mercado de carbono: análise de experiências internacionais.</w:t>
      </w:r>
      <w:r w:rsidDel="00000000" w:rsidR="00000000" w:rsidRPr="00000000">
        <w:rPr>
          <w:sz w:val="24"/>
          <w:szCs w:val="24"/>
          <w:rtl w:val="0"/>
        </w:rPr>
        <w:t xml:space="preserve"> Brasília: CNI, 2021. Disponível em:</w:t>
      </w:r>
      <w:hyperlink r:id="rId10">
        <w:r w:rsidDel="00000000" w:rsidR="00000000" w:rsidRPr="00000000">
          <w:rPr>
            <w:sz w:val="24"/>
            <w:szCs w:val="24"/>
            <w:rtl w:val="0"/>
          </w:rPr>
          <w:t xml:space="preserve"> </w:t>
        </w:r>
      </w:hyperlink>
      <w:hyperlink r:id="rId11">
        <w:r w:rsidDel="00000000" w:rsidR="00000000" w:rsidRPr="00000000">
          <w:rPr>
            <w:sz w:val="24"/>
            <w:szCs w:val="24"/>
            <w:u w:val="single"/>
            <w:rtl w:val="0"/>
          </w:rPr>
          <w:t xml:space="preserve">https://static.portaldaindustria.com.br/media/filer_public/20/ad/20ad7878-2807-48b4-8178-c3d772e6b018/mercado_de_carbono.pdf</w:t>
        </w:r>
      </w:hyperlink>
      <w:r w:rsidDel="00000000" w:rsidR="00000000" w:rsidRPr="00000000">
        <w:rPr>
          <w:sz w:val="24"/>
          <w:szCs w:val="24"/>
          <w:rtl w:val="0"/>
        </w:rPr>
        <w:t xml:space="preserve">. Acesso em: 29 jun. 2025.</w:t>
      </w:r>
    </w:p>
    <w:p w:rsidR="00000000" w:rsidDel="00000000" w:rsidP="00000000" w:rsidRDefault="00000000" w:rsidRPr="00000000" w14:paraId="00000040">
      <w:pPr>
        <w:spacing w:after="240" w:before="240" w:line="240" w:lineRule="auto"/>
        <w:jc w:val="both"/>
        <w:rPr>
          <w:sz w:val="24"/>
          <w:szCs w:val="24"/>
        </w:rPr>
      </w:pPr>
      <w:r w:rsidDel="00000000" w:rsidR="00000000" w:rsidRPr="00000000">
        <w:rPr>
          <w:sz w:val="24"/>
          <w:szCs w:val="24"/>
          <w:rtl w:val="0"/>
        </w:rPr>
        <w:t xml:space="preserve">DOS SANTOS SANTANA, Aleff et al. </w:t>
      </w:r>
      <w:r w:rsidDel="00000000" w:rsidR="00000000" w:rsidRPr="00000000">
        <w:rPr>
          <w:b w:val="1"/>
          <w:sz w:val="24"/>
          <w:szCs w:val="24"/>
          <w:rtl w:val="0"/>
        </w:rPr>
        <w:t xml:space="preserve">Navegando pelos rios da sustentabilidade na Amazônia: o dilema da contabilização dos créditos de carbono.</w:t>
      </w:r>
      <w:r w:rsidDel="00000000" w:rsidR="00000000" w:rsidRPr="00000000">
        <w:rPr>
          <w:sz w:val="24"/>
          <w:szCs w:val="24"/>
          <w:rtl w:val="0"/>
        </w:rPr>
        <w:t xml:space="preserve"> Revista Ambiente Contábil – Universidade Federal do Rio Grande do Norte – ISSN 2176-9036, v. 17, n. 1, p. 500-516, 2025.</w:t>
      </w:r>
    </w:p>
    <w:p w:rsidR="00000000" w:rsidDel="00000000" w:rsidP="00000000" w:rsidRDefault="00000000" w:rsidRPr="00000000" w14:paraId="00000041">
      <w:pPr>
        <w:spacing w:after="240" w:before="240" w:line="240" w:lineRule="auto"/>
        <w:jc w:val="both"/>
        <w:rPr>
          <w:sz w:val="24"/>
          <w:szCs w:val="24"/>
        </w:rPr>
      </w:pPr>
      <w:r w:rsidDel="00000000" w:rsidR="00000000" w:rsidRPr="00000000">
        <w:rPr>
          <w:sz w:val="24"/>
          <w:szCs w:val="24"/>
          <w:rtl w:val="0"/>
        </w:rPr>
        <w:t xml:space="preserve">GUDYNAS, Eduardo. </w:t>
      </w:r>
      <w:r w:rsidDel="00000000" w:rsidR="00000000" w:rsidRPr="00000000">
        <w:rPr>
          <w:b w:val="1"/>
          <w:sz w:val="24"/>
          <w:szCs w:val="24"/>
          <w:rtl w:val="0"/>
        </w:rPr>
        <w:t xml:space="preserve">Direitos da natureza: ética biocêntrica e políticas ambientais. </w:t>
      </w:r>
      <w:r w:rsidDel="00000000" w:rsidR="00000000" w:rsidRPr="00000000">
        <w:rPr>
          <w:sz w:val="24"/>
          <w:szCs w:val="24"/>
          <w:rtl w:val="0"/>
        </w:rPr>
        <w:t xml:space="preserve">São Paulo: Editora Elefante, 2015.</w:t>
      </w:r>
    </w:p>
    <w:p w:rsidR="00000000" w:rsidDel="00000000" w:rsidP="00000000" w:rsidRDefault="00000000" w:rsidRPr="00000000" w14:paraId="00000042">
      <w:pPr>
        <w:spacing w:after="240" w:before="240" w:line="240" w:lineRule="auto"/>
        <w:jc w:val="both"/>
        <w:rPr>
          <w:sz w:val="24"/>
          <w:szCs w:val="24"/>
        </w:rPr>
      </w:pPr>
      <w:r w:rsidDel="00000000" w:rsidR="00000000" w:rsidRPr="00000000">
        <w:rPr>
          <w:sz w:val="24"/>
          <w:szCs w:val="24"/>
          <w:rtl w:val="0"/>
        </w:rPr>
        <w:t xml:space="preserve">LANDER, Edgardo et al. (Ed.). </w:t>
      </w:r>
      <w:r w:rsidDel="00000000" w:rsidR="00000000" w:rsidRPr="00000000">
        <w:rPr>
          <w:b w:val="1"/>
          <w:sz w:val="24"/>
          <w:szCs w:val="24"/>
          <w:rtl w:val="0"/>
        </w:rPr>
        <w:t xml:space="preserve">A colonialidade do saber: eurocentrismo e ciências sociais: perspectivas latino-americanas.</w:t>
      </w:r>
      <w:r w:rsidDel="00000000" w:rsidR="00000000" w:rsidRPr="00000000">
        <w:rPr>
          <w:sz w:val="24"/>
          <w:szCs w:val="24"/>
          <w:rtl w:val="0"/>
        </w:rPr>
        <w:t xml:space="preserve"> Buenos Aires: CLACSO – Consejo Latinoamericano de Ciencias Sociales, 2005.</w:t>
      </w:r>
    </w:p>
    <w:p w:rsidR="00000000" w:rsidDel="00000000" w:rsidP="00000000" w:rsidRDefault="00000000" w:rsidRPr="00000000" w14:paraId="00000043">
      <w:pPr>
        <w:spacing w:after="240" w:before="240" w:line="240" w:lineRule="auto"/>
        <w:jc w:val="both"/>
        <w:rPr>
          <w:sz w:val="24"/>
          <w:szCs w:val="24"/>
        </w:rPr>
      </w:pPr>
      <w:r w:rsidDel="00000000" w:rsidR="00000000" w:rsidRPr="00000000">
        <w:rPr>
          <w:sz w:val="24"/>
          <w:szCs w:val="24"/>
          <w:rtl w:val="0"/>
        </w:rPr>
        <w:t xml:space="preserve">LANG, Miriam; BRINGEL, Breno; MANAHAN, Mary Ann. </w:t>
      </w:r>
      <w:r w:rsidDel="00000000" w:rsidR="00000000" w:rsidRPr="00000000">
        <w:rPr>
          <w:b w:val="1"/>
          <w:sz w:val="24"/>
          <w:szCs w:val="24"/>
          <w:rtl w:val="0"/>
        </w:rPr>
        <w:t xml:space="preserve">Más allá del colonialismo verde: justicia global y geopolítica de las transiciones ecosociales.</w:t>
      </w:r>
      <w:r w:rsidDel="00000000" w:rsidR="00000000" w:rsidRPr="00000000">
        <w:rPr>
          <w:sz w:val="24"/>
          <w:szCs w:val="24"/>
          <w:rtl w:val="0"/>
        </w:rPr>
        <w:t xml:space="preserve"> Ciudad Autónoma de Buenos Aires, AR: CLACSO/Plataformas para el Diálogo Social/Universidad Andina Simón Bolívar, Sede Ecuador, 2024.</w:t>
      </w:r>
    </w:p>
    <w:p w:rsidR="00000000" w:rsidDel="00000000" w:rsidP="00000000" w:rsidRDefault="00000000" w:rsidRPr="00000000" w14:paraId="00000044">
      <w:pPr>
        <w:spacing w:after="240" w:before="240" w:line="240" w:lineRule="auto"/>
        <w:jc w:val="both"/>
        <w:rPr>
          <w:sz w:val="24"/>
          <w:szCs w:val="24"/>
        </w:rPr>
      </w:pPr>
      <w:r w:rsidDel="00000000" w:rsidR="00000000" w:rsidRPr="00000000">
        <w:rPr>
          <w:sz w:val="24"/>
          <w:szCs w:val="24"/>
          <w:rtl w:val="0"/>
        </w:rPr>
        <w:t xml:space="preserve">SEVCENKO, Nicolau. </w:t>
      </w:r>
      <w:r w:rsidDel="00000000" w:rsidR="00000000" w:rsidRPr="00000000">
        <w:rPr>
          <w:b w:val="1"/>
          <w:sz w:val="24"/>
          <w:szCs w:val="24"/>
          <w:rtl w:val="0"/>
        </w:rPr>
        <w:t xml:space="preserve">O front brasileiro na guerra verde: vegetais, colonialismo e cultura.</w:t>
      </w:r>
      <w:r w:rsidDel="00000000" w:rsidR="00000000" w:rsidRPr="00000000">
        <w:rPr>
          <w:sz w:val="24"/>
          <w:szCs w:val="24"/>
          <w:rtl w:val="0"/>
        </w:rPr>
        <w:t xml:space="preserve"> Revista USP, n. 30, p. 108-119, 1996.</w:t>
      </w:r>
    </w:p>
    <w:p w:rsidR="00000000" w:rsidDel="00000000" w:rsidP="00000000" w:rsidRDefault="00000000" w:rsidRPr="00000000" w14:paraId="00000045">
      <w:pPr>
        <w:spacing w:after="240" w:before="240" w:line="240" w:lineRule="auto"/>
        <w:jc w:val="both"/>
        <w:rPr>
          <w:sz w:val="24"/>
          <w:szCs w:val="24"/>
        </w:rPr>
      </w:pPr>
      <w:r w:rsidDel="00000000" w:rsidR="00000000" w:rsidRPr="00000000">
        <w:rPr>
          <w:sz w:val="24"/>
          <w:szCs w:val="24"/>
          <w:rtl w:val="0"/>
        </w:rPr>
        <w:t xml:space="preserve">TILLY, Charles. </w:t>
      </w:r>
      <w:r w:rsidDel="00000000" w:rsidR="00000000" w:rsidRPr="00000000">
        <w:rPr>
          <w:b w:val="1"/>
          <w:sz w:val="24"/>
          <w:szCs w:val="24"/>
          <w:rtl w:val="0"/>
        </w:rPr>
        <w:t xml:space="preserve">Coerção, capital e Estados europeus 990-1992.</w:t>
      </w:r>
      <w:r w:rsidDel="00000000" w:rsidR="00000000" w:rsidRPr="00000000">
        <w:rPr>
          <w:sz w:val="24"/>
          <w:szCs w:val="24"/>
          <w:rtl w:val="0"/>
        </w:rPr>
        <w:t xml:space="preserve"> São Paulo: Edusp, 1996.</w:t>
      </w:r>
    </w:p>
    <w:p w:rsidR="00000000" w:rsidDel="00000000" w:rsidP="00000000" w:rsidRDefault="00000000" w:rsidRPr="00000000" w14:paraId="00000046">
      <w:pPr>
        <w:spacing w:after="240" w:before="240" w:line="240" w:lineRule="auto"/>
        <w:jc w:val="both"/>
        <w:rPr>
          <w:sz w:val="24"/>
          <w:szCs w:val="24"/>
        </w:rPr>
      </w:pPr>
      <w:r w:rsidDel="00000000" w:rsidR="00000000" w:rsidRPr="00000000">
        <w:rPr>
          <w:sz w:val="24"/>
          <w:szCs w:val="24"/>
          <w:rtl w:val="0"/>
        </w:rPr>
        <w:t xml:space="preserve">VARGAS, Daniel Barcelos; DELAZERI, Linda Márcia Mendes; FERRERA, Vinícius Hector Pires. </w:t>
      </w:r>
      <w:r w:rsidDel="00000000" w:rsidR="00000000" w:rsidRPr="00000000">
        <w:rPr>
          <w:b w:val="1"/>
          <w:sz w:val="24"/>
          <w:szCs w:val="24"/>
          <w:rtl w:val="0"/>
        </w:rPr>
        <w:t xml:space="preserve">O avanço do mercado voluntário de carbono no Brasil: desafios estruturais, técnicos e científicos.</w:t>
      </w:r>
      <w:r w:rsidDel="00000000" w:rsidR="00000000" w:rsidRPr="00000000">
        <w:rPr>
          <w:sz w:val="24"/>
          <w:szCs w:val="24"/>
          <w:rtl w:val="0"/>
        </w:rPr>
        <w:t xml:space="preserve"> São Paulo: Escola de Economia de São Paulo, 2022.</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after="200" w:lineRule="auto"/>
        <w:jc w:val="both"/>
        <w:rPr>
          <w:sz w:val="24"/>
          <w:szCs w:val="24"/>
          <w:vertAlign w:val="baseline"/>
        </w:rPr>
      </w:pPr>
      <w:r w:rsidDel="00000000" w:rsidR="00000000" w:rsidRPr="00000000">
        <w:rPr>
          <w:rtl w:val="0"/>
        </w:rPr>
      </w:r>
    </w:p>
    <w:sectPr>
      <w:headerReference r:id="rId12" w:type="default"/>
      <w:headerReference r:id="rId13" w:type="first"/>
      <w:footerReference r:id="rId14" w:type="firs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do Maranhão </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sz w:val="20"/>
          <w:szCs w:val="20"/>
        </w:rPr>
      </w:pPr>
      <w:r w:rsidDel="00000000" w:rsidR="00000000" w:rsidRPr="00000000">
        <w:rPr>
          <w:sz w:val="20"/>
          <w:szCs w:val="20"/>
          <w:rtl w:val="0"/>
        </w:rPr>
        <w:t xml:space="preserve">Graduanda de Relações Internacionais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sz w:val="20"/>
          <w:szCs w:val="20"/>
        </w:rPr>
      </w:pPr>
      <w:r w:rsidDel="00000000" w:rsidR="00000000" w:rsidRPr="00000000">
        <w:rPr>
          <w:sz w:val="20"/>
          <w:szCs w:val="20"/>
          <w:rtl w:val="0"/>
        </w:rPr>
        <w:t xml:space="preserve">analuisarcampos@gmail.com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static.portaldaindustria.com.br/media/filer_public/20/ad/20ad7878-2807-48b4-8178-c3d772e6b018/mercado_de_carbono.pdf" TargetMode="External"/><Relationship Id="rId10" Type="http://schemas.openxmlformats.org/officeDocument/2006/relationships/hyperlink" Target="https://static.portaldaindustria.com.br/media/filer_public/20/ad/20ad7878-2807-48b4-8178-c3d772e6b018/mercado_de_carbono.pdf"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v.br/mma/pt-br/composicao/secd/redd"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gov.br/mma/pt-br/composicao/secd/red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ueWcijGdZnkpAhxoXmDCLIjg==">CgMxLjA4AHIhMWpRMFotdklJcHJ5bmFmU184S3h6RXBwcnNpc0JEVnEx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