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D28AA" w:rsidRDefault="008A0D28">
      <w:pPr>
        <w:spacing w:line="360" w:lineRule="auto"/>
        <w:jc w:val="center"/>
        <w:rPr>
          <w:b/>
        </w:rPr>
      </w:pPr>
      <w:r>
        <w:rPr>
          <w:b/>
        </w:rPr>
        <w:t xml:space="preserve"> POLÍTICAS PÚBLICAS DE ERRADICAÇÃO DO SUB – REGISTRO DE NASCIMENTO</w:t>
      </w:r>
    </w:p>
    <w:p w14:paraId="4EF6AA66" w14:textId="77777777" w:rsidR="00684D01" w:rsidRDefault="00684D01">
      <w:pPr>
        <w:spacing w:line="360" w:lineRule="auto"/>
        <w:jc w:val="center"/>
        <w:rPr>
          <w:b/>
        </w:rPr>
      </w:pPr>
    </w:p>
    <w:p w14:paraId="124ABABF" w14:textId="293545F1" w:rsidR="00684D01" w:rsidRPr="0072151F" w:rsidRDefault="00684D01" w:rsidP="00684D01">
      <w:pPr>
        <w:spacing w:line="360" w:lineRule="auto"/>
        <w:jc w:val="right"/>
        <w:rPr>
          <w:bCs/>
        </w:rPr>
      </w:pPr>
      <w:r w:rsidRPr="0072151F">
        <w:rPr>
          <w:bCs/>
        </w:rPr>
        <w:t xml:space="preserve">Roberto Victor Costa Batista </w:t>
      </w:r>
      <w:r w:rsidR="007E3605" w:rsidRPr="0072151F">
        <w:rPr>
          <w:bCs/>
        </w:rPr>
        <w:t>¹</w:t>
      </w:r>
    </w:p>
    <w:p w14:paraId="00000002" w14:textId="2C3B646B" w:rsidR="004D28AA" w:rsidRPr="0072151F" w:rsidRDefault="008810B7" w:rsidP="008810B7">
      <w:pPr>
        <w:spacing w:line="360" w:lineRule="auto"/>
        <w:jc w:val="right"/>
        <w:rPr>
          <w:bCs/>
        </w:rPr>
      </w:pPr>
      <w:r w:rsidRPr="0072151F">
        <w:rPr>
          <w:bCs/>
        </w:rPr>
        <w:t>Marcio Jose</w:t>
      </w:r>
      <w:r w:rsidR="00DE06FB" w:rsidRPr="0072151F">
        <w:rPr>
          <w:bCs/>
        </w:rPr>
        <w:t xml:space="preserve"> </w:t>
      </w:r>
      <w:proofErr w:type="spellStart"/>
      <w:r w:rsidR="007E3605" w:rsidRPr="0072151F">
        <w:rPr>
          <w:bCs/>
        </w:rPr>
        <w:t>Celeri</w:t>
      </w:r>
      <w:proofErr w:type="spellEnd"/>
      <w:r w:rsidR="007E3605" w:rsidRPr="0072151F">
        <w:rPr>
          <w:bCs/>
        </w:rPr>
        <w:t xml:space="preserve"> ²</w:t>
      </w:r>
    </w:p>
    <w:p w14:paraId="00000003" w14:textId="77777777" w:rsidR="004D28AA" w:rsidRDefault="004D28AA">
      <w:pPr>
        <w:spacing w:line="240" w:lineRule="auto"/>
        <w:ind w:left="2835"/>
        <w:rPr>
          <w:sz w:val="20"/>
          <w:szCs w:val="20"/>
        </w:rPr>
      </w:pPr>
    </w:p>
    <w:p w14:paraId="00000004" w14:textId="77777777" w:rsidR="004D28AA" w:rsidRDefault="008A0D28">
      <w:pPr>
        <w:spacing w:line="240" w:lineRule="auto"/>
        <w:ind w:left="2835" w:firstLine="0"/>
        <w:rPr>
          <w:sz w:val="20"/>
          <w:szCs w:val="20"/>
        </w:rPr>
      </w:pPr>
      <w:r>
        <w:rPr>
          <w:b/>
          <w:sz w:val="20"/>
          <w:szCs w:val="20"/>
        </w:rPr>
        <w:t>Resumo</w:t>
      </w:r>
    </w:p>
    <w:p w14:paraId="00000005" w14:textId="77777777" w:rsidR="004D28AA" w:rsidRDefault="008A0D28">
      <w:pPr>
        <w:spacing w:line="240" w:lineRule="auto"/>
        <w:ind w:left="2835" w:firstLine="0"/>
        <w:rPr>
          <w:sz w:val="20"/>
          <w:szCs w:val="20"/>
        </w:rPr>
      </w:pPr>
      <w:r>
        <w:rPr>
          <w:sz w:val="20"/>
          <w:szCs w:val="20"/>
        </w:rPr>
        <w:t>O sub-registro de nascimento ocorre quando uma criança não é registrada no ano em que nasce ou no primeiro trimestre do ano seguinte. Essa situação compromete o acesso aos direitos fundamentais, como saúde, educação e programas sociais. Entre suas principais causas estão a desigualdade social, a ausência paterna, a desinformação e a dificuldade de acesso a cartórios. O presente artigo analisa a legislação vigente, os impactos sociais do sub-registro e as principais políticas públicas implementadas para sua erradicação no Brasil, com ênfase no estado do Maranhão. Conclui-se que é fundamental fortalecer a articulação entre o poder público, a sociedade civil e os cartórios para assegurar a cidadania plena a todos os brasileiros.</w:t>
      </w:r>
    </w:p>
    <w:p w14:paraId="00000006" w14:textId="77777777" w:rsidR="004D28AA" w:rsidRPr="00DB6505" w:rsidRDefault="008A0D28">
      <w:pPr>
        <w:spacing w:line="240" w:lineRule="auto"/>
        <w:ind w:left="2835" w:firstLine="0"/>
        <w:rPr>
          <w:sz w:val="20"/>
          <w:szCs w:val="20"/>
          <w:lang w:val="en-US"/>
        </w:rPr>
      </w:pPr>
      <w:r>
        <w:rPr>
          <w:b/>
          <w:sz w:val="20"/>
          <w:szCs w:val="20"/>
        </w:rPr>
        <w:t>Palavras-chave</w:t>
      </w:r>
      <w:r>
        <w:rPr>
          <w:sz w:val="20"/>
          <w:szCs w:val="20"/>
        </w:rPr>
        <w:t xml:space="preserve">: Sub – registro 1; Políticas públicas 2. </w:t>
      </w:r>
      <w:r w:rsidRPr="00DB6505">
        <w:rPr>
          <w:sz w:val="20"/>
          <w:szCs w:val="20"/>
          <w:lang w:val="en-US"/>
        </w:rPr>
        <w:t>Cidadania 3.</w:t>
      </w:r>
    </w:p>
    <w:p w14:paraId="00000007" w14:textId="77777777" w:rsidR="004D28AA" w:rsidRPr="00DB6505" w:rsidRDefault="004D28AA">
      <w:pPr>
        <w:spacing w:line="240" w:lineRule="auto"/>
        <w:ind w:left="2835"/>
        <w:rPr>
          <w:sz w:val="20"/>
          <w:szCs w:val="20"/>
          <w:lang w:val="en-US"/>
        </w:rPr>
      </w:pPr>
    </w:p>
    <w:p w14:paraId="00000008" w14:textId="77777777" w:rsidR="004D28AA" w:rsidRPr="00DB6505" w:rsidRDefault="008A0D28">
      <w:pPr>
        <w:spacing w:line="240" w:lineRule="auto"/>
        <w:ind w:left="2835" w:firstLine="0"/>
        <w:rPr>
          <w:sz w:val="20"/>
          <w:szCs w:val="20"/>
          <w:lang w:val="en-US"/>
        </w:rPr>
      </w:pPr>
      <w:r w:rsidRPr="00DB6505">
        <w:rPr>
          <w:b/>
          <w:sz w:val="20"/>
          <w:szCs w:val="20"/>
          <w:lang w:val="en-US"/>
        </w:rPr>
        <w:t>Abstract</w:t>
      </w:r>
    </w:p>
    <w:p w14:paraId="00000009" w14:textId="77777777" w:rsidR="004D28AA" w:rsidRPr="00DB6505" w:rsidRDefault="008A0D28">
      <w:pPr>
        <w:spacing w:line="240" w:lineRule="auto"/>
        <w:ind w:left="2835" w:firstLine="0"/>
        <w:rPr>
          <w:sz w:val="20"/>
          <w:szCs w:val="20"/>
          <w:lang w:val="en-US"/>
        </w:rPr>
      </w:pPr>
      <w:r w:rsidRPr="00DB6505">
        <w:rPr>
          <w:sz w:val="20"/>
          <w:szCs w:val="20"/>
          <w:lang w:val="en-US"/>
        </w:rPr>
        <w:t>Birth underregistration occurs when a child is not officially registered in the year of birth or within the first quarter of the following year. This situation hinders access to fundamental rights such as healthcare, education, and social programs. Its main causes include social inequality, paternal absence, lack of information, and difficulties accessing civil registry offices. This article analyzes current legislation, the social impacts of underregistration, and the main public policies implemented to eradicate it in Brazil, with a special focus on the state of Maranhão. It concludes that strengthening the collaboration between public authorities, civil society, and registry offices is essential to ensuring full citizenship for all Brazilians.</w:t>
      </w:r>
    </w:p>
    <w:p w14:paraId="0000000A" w14:textId="77777777" w:rsidR="004D28AA" w:rsidRDefault="008A0D28">
      <w:pPr>
        <w:spacing w:line="240" w:lineRule="auto"/>
        <w:ind w:left="2835" w:firstLine="0"/>
        <w:rPr>
          <w:sz w:val="20"/>
          <w:szCs w:val="20"/>
          <w:lang w:val="en-US"/>
        </w:rPr>
      </w:pPr>
      <w:r w:rsidRPr="00DB6505">
        <w:rPr>
          <w:b/>
          <w:sz w:val="20"/>
          <w:szCs w:val="20"/>
          <w:lang w:val="en-US"/>
        </w:rPr>
        <w:t>Keywords</w:t>
      </w:r>
      <w:r w:rsidRPr="00DB6505">
        <w:rPr>
          <w:sz w:val="20"/>
          <w:szCs w:val="20"/>
          <w:lang w:val="en-US"/>
        </w:rPr>
        <w:t>: Underregistration 1; Public policies 2; Citizenship 3.</w:t>
      </w:r>
    </w:p>
    <w:p w14:paraId="376A0A73" w14:textId="77777777" w:rsidR="008C45CB" w:rsidRPr="00DB6505" w:rsidRDefault="008C45CB">
      <w:pPr>
        <w:spacing w:line="240" w:lineRule="auto"/>
        <w:ind w:left="2835" w:firstLine="0"/>
        <w:rPr>
          <w:sz w:val="20"/>
          <w:szCs w:val="20"/>
          <w:lang w:val="en-US"/>
        </w:rPr>
      </w:pPr>
    </w:p>
    <w:p w14:paraId="0000000B" w14:textId="77777777" w:rsidR="004D28AA" w:rsidRPr="00DB6505" w:rsidRDefault="004D28AA">
      <w:pPr>
        <w:spacing w:line="360" w:lineRule="auto"/>
        <w:rPr>
          <w:lang w:val="en-US"/>
        </w:rPr>
      </w:pPr>
    </w:p>
    <w:p w14:paraId="0000000C" w14:textId="77777777" w:rsidR="004D28AA" w:rsidRPr="00DB6505" w:rsidRDefault="004D28AA">
      <w:pPr>
        <w:spacing w:line="360" w:lineRule="auto"/>
        <w:rPr>
          <w:lang w:val="en-US"/>
        </w:rPr>
      </w:pPr>
    </w:p>
    <w:p w14:paraId="1DBC4073" w14:textId="77777777" w:rsidR="008E32C3" w:rsidRDefault="008E32C3" w:rsidP="002554C5">
      <w:pPr>
        <w:spacing w:line="360" w:lineRule="auto"/>
        <w:ind w:firstLine="0"/>
        <w:rPr>
          <w:sz w:val="20"/>
          <w:szCs w:val="20"/>
          <w:lang w:val="en-US"/>
        </w:rPr>
      </w:pPr>
    </w:p>
    <w:p w14:paraId="3C04F616" w14:textId="77777777" w:rsidR="008400F4" w:rsidRDefault="008400F4" w:rsidP="002554C5">
      <w:pPr>
        <w:spacing w:line="360" w:lineRule="auto"/>
        <w:ind w:firstLine="0"/>
        <w:rPr>
          <w:sz w:val="20"/>
          <w:szCs w:val="20"/>
          <w:lang w:val="en-US"/>
        </w:rPr>
      </w:pPr>
    </w:p>
    <w:p w14:paraId="6199E50D" w14:textId="77777777" w:rsidR="00FE0434" w:rsidRDefault="00FE0434" w:rsidP="002554C5">
      <w:pPr>
        <w:spacing w:line="360" w:lineRule="auto"/>
        <w:ind w:firstLine="0"/>
        <w:rPr>
          <w:sz w:val="20"/>
          <w:szCs w:val="20"/>
          <w:lang w:val="en-US"/>
        </w:rPr>
      </w:pPr>
    </w:p>
    <w:p w14:paraId="761D35F2" w14:textId="2563C67F" w:rsidR="007F063F" w:rsidRDefault="00347B7E" w:rsidP="001D7B65">
      <w:pPr>
        <w:spacing w:line="240" w:lineRule="auto"/>
        <w:jc w:val="left"/>
        <w:rPr>
          <w:sz w:val="20"/>
          <w:szCs w:val="20"/>
          <w:lang w:val="en-US"/>
        </w:rPr>
      </w:pPr>
      <w:r>
        <w:rPr>
          <w:sz w:val="20"/>
          <w:szCs w:val="20"/>
          <w:lang w:val="en-US"/>
        </w:rPr>
        <w:t xml:space="preserve">              </w:t>
      </w:r>
      <w:r w:rsidR="0072151F">
        <w:rPr>
          <w:sz w:val="20"/>
          <w:szCs w:val="20"/>
          <w:lang w:val="en-US"/>
        </w:rPr>
        <w:t xml:space="preserve">¹ </w:t>
      </w:r>
      <w:r w:rsidR="00EB5086">
        <w:rPr>
          <w:sz w:val="20"/>
          <w:szCs w:val="20"/>
          <w:lang w:val="en-US"/>
        </w:rPr>
        <w:t xml:space="preserve">   </w:t>
      </w:r>
      <w:r w:rsidR="007569DB" w:rsidRPr="00F94B37">
        <w:rPr>
          <w:sz w:val="20"/>
          <w:szCs w:val="20"/>
          <w:lang w:val="en-US"/>
        </w:rPr>
        <w:t xml:space="preserve">Graduando em Geografia </w:t>
      </w:r>
      <w:r w:rsidR="00BA6765" w:rsidRPr="00F94B37">
        <w:rPr>
          <w:sz w:val="20"/>
          <w:szCs w:val="20"/>
          <w:lang w:val="en-US"/>
        </w:rPr>
        <w:t>–</w:t>
      </w:r>
      <w:r w:rsidR="007569DB" w:rsidRPr="00F94B37">
        <w:rPr>
          <w:sz w:val="20"/>
          <w:szCs w:val="20"/>
          <w:lang w:val="en-US"/>
        </w:rPr>
        <w:t xml:space="preserve"> </w:t>
      </w:r>
      <w:r w:rsidR="00BA6765" w:rsidRPr="00F94B37">
        <w:rPr>
          <w:sz w:val="20"/>
          <w:szCs w:val="20"/>
          <w:lang w:val="en-US"/>
        </w:rPr>
        <w:t>Universidade Federal do Maranhão –</w:t>
      </w:r>
    </w:p>
    <w:p w14:paraId="56BAF68F" w14:textId="41F1D8F6" w:rsidR="008C45CB" w:rsidRPr="00F94B37" w:rsidRDefault="008E32C3" w:rsidP="001D7B65">
      <w:pPr>
        <w:spacing w:line="240" w:lineRule="auto"/>
        <w:jc w:val="left"/>
        <w:rPr>
          <w:sz w:val="20"/>
          <w:szCs w:val="20"/>
          <w:lang w:val="en-US"/>
        </w:rPr>
      </w:pPr>
      <w:r w:rsidRPr="00F94B37">
        <w:rPr>
          <w:sz w:val="20"/>
          <w:szCs w:val="20"/>
          <w:lang w:val="en-US"/>
        </w:rPr>
        <w:t xml:space="preserve"> </w:t>
      </w:r>
      <w:r w:rsidR="004A0016" w:rsidRPr="00F94B37">
        <w:rPr>
          <w:sz w:val="20"/>
          <w:szCs w:val="20"/>
          <w:lang w:val="en-US"/>
        </w:rPr>
        <w:t>r</w:t>
      </w:r>
      <w:r w:rsidR="00BA6765" w:rsidRPr="00F94B37">
        <w:rPr>
          <w:sz w:val="20"/>
          <w:szCs w:val="20"/>
          <w:lang w:val="en-US"/>
        </w:rPr>
        <w:t>oberto.victor@discente.ufma.br</w:t>
      </w:r>
    </w:p>
    <w:p w14:paraId="24E4F8A6" w14:textId="79EA13B0" w:rsidR="007F063F" w:rsidRDefault="00347B7E" w:rsidP="001D7B65">
      <w:pPr>
        <w:spacing w:line="240" w:lineRule="auto"/>
        <w:jc w:val="left"/>
        <w:rPr>
          <w:sz w:val="20"/>
          <w:szCs w:val="20"/>
          <w:lang w:val="en-US"/>
        </w:rPr>
      </w:pPr>
      <w:r>
        <w:rPr>
          <w:sz w:val="20"/>
          <w:szCs w:val="20"/>
          <w:lang w:val="en-US"/>
        </w:rPr>
        <w:t xml:space="preserve">             </w:t>
      </w:r>
      <w:r w:rsidR="006B4F0A">
        <w:rPr>
          <w:sz w:val="20"/>
          <w:szCs w:val="20"/>
          <w:lang w:val="en-US"/>
        </w:rPr>
        <w:t xml:space="preserve">² </w:t>
      </w:r>
      <w:r w:rsidR="00EB5086">
        <w:rPr>
          <w:sz w:val="20"/>
          <w:szCs w:val="20"/>
          <w:lang w:val="en-US"/>
        </w:rPr>
        <w:t xml:space="preserve">   </w:t>
      </w:r>
      <w:r w:rsidR="00623870" w:rsidRPr="00F94B37">
        <w:rPr>
          <w:sz w:val="20"/>
          <w:szCs w:val="20"/>
          <w:lang w:val="en-US"/>
        </w:rPr>
        <w:t>Professor Doutor</w:t>
      </w:r>
      <w:r w:rsidR="007B1139" w:rsidRPr="00F94B37">
        <w:rPr>
          <w:sz w:val="20"/>
          <w:szCs w:val="20"/>
          <w:lang w:val="en-US"/>
        </w:rPr>
        <w:t xml:space="preserve"> em Geografi</w:t>
      </w:r>
      <w:r w:rsidR="00C14F0E" w:rsidRPr="00F94B37">
        <w:rPr>
          <w:sz w:val="20"/>
          <w:szCs w:val="20"/>
          <w:lang w:val="en-US"/>
        </w:rPr>
        <w:t xml:space="preserve">a </w:t>
      </w:r>
      <w:r w:rsidR="00BD51B6" w:rsidRPr="00F94B37">
        <w:rPr>
          <w:sz w:val="20"/>
          <w:szCs w:val="20"/>
          <w:lang w:val="en-US"/>
        </w:rPr>
        <w:t>–</w:t>
      </w:r>
      <w:r w:rsidR="00C14F0E" w:rsidRPr="00F94B37">
        <w:rPr>
          <w:sz w:val="20"/>
          <w:szCs w:val="20"/>
          <w:lang w:val="en-US"/>
        </w:rPr>
        <w:t xml:space="preserve"> U</w:t>
      </w:r>
      <w:r w:rsidR="007B1139" w:rsidRPr="00F94B37">
        <w:rPr>
          <w:sz w:val="20"/>
          <w:szCs w:val="20"/>
          <w:lang w:val="en-US"/>
        </w:rPr>
        <w:t xml:space="preserve">niversidade </w:t>
      </w:r>
      <w:r w:rsidR="00C14F0E" w:rsidRPr="00F94B37">
        <w:rPr>
          <w:sz w:val="20"/>
          <w:szCs w:val="20"/>
          <w:lang w:val="en-US"/>
        </w:rPr>
        <w:t xml:space="preserve">Federal do Maranhão </w:t>
      </w:r>
      <w:r w:rsidR="008A049F" w:rsidRPr="00F94B37">
        <w:rPr>
          <w:sz w:val="20"/>
          <w:szCs w:val="20"/>
          <w:lang w:val="en-US"/>
        </w:rPr>
        <w:t>–</w:t>
      </w:r>
    </w:p>
    <w:p w14:paraId="6EC3B6B3" w14:textId="59AB8A49" w:rsidR="004A0016" w:rsidRPr="00F94B37" w:rsidRDefault="008E32C3" w:rsidP="001D7B65">
      <w:pPr>
        <w:spacing w:line="240" w:lineRule="auto"/>
        <w:jc w:val="left"/>
        <w:rPr>
          <w:sz w:val="20"/>
          <w:szCs w:val="20"/>
          <w:lang w:val="en-US"/>
        </w:rPr>
      </w:pPr>
      <w:r w:rsidRPr="00F94B37">
        <w:rPr>
          <w:sz w:val="20"/>
          <w:szCs w:val="20"/>
          <w:lang w:val="en-US"/>
        </w:rPr>
        <w:t xml:space="preserve"> </w:t>
      </w:r>
      <w:r w:rsidR="008A049F" w:rsidRPr="00F94B37">
        <w:rPr>
          <w:sz w:val="20"/>
          <w:szCs w:val="20"/>
          <w:lang w:val="en-US"/>
        </w:rPr>
        <w:t>marcio.celeri@ufma.br</w:t>
      </w:r>
    </w:p>
    <w:p w14:paraId="0000000E" w14:textId="18E5180B" w:rsidR="004D28AA" w:rsidRDefault="008A0D28">
      <w:pPr>
        <w:spacing w:line="360" w:lineRule="auto"/>
      </w:pPr>
      <w:r>
        <w:rPr>
          <w:b/>
        </w:rPr>
        <w:lastRenderedPageBreak/>
        <w:t>1</w:t>
      </w:r>
      <w:r>
        <w:rPr>
          <w:b/>
        </w:rPr>
        <w:tab/>
        <w:t>INTRODUÇÃO</w:t>
      </w:r>
    </w:p>
    <w:p w14:paraId="0000000F" w14:textId="77777777" w:rsidR="004D28AA" w:rsidRDefault="004D28AA">
      <w:pPr>
        <w:spacing w:line="360" w:lineRule="auto"/>
      </w:pPr>
    </w:p>
    <w:p w14:paraId="00000010" w14:textId="77777777" w:rsidR="004D28AA" w:rsidRDefault="008A0D28">
      <w:pPr>
        <w:spacing w:line="360" w:lineRule="auto"/>
      </w:pPr>
      <w:r>
        <w:t>O registro civil de nascimento é um direito humano fundamental, reconhecido pela Declaração Universal dos Direitos Humanos de 1948 e pela Convenção sobre os Direitos da Criança de 1989. Trata-se de um ato jurídico que garante ao indivíduo existência legal perante o Estado, sendo condição para o exercício pleno da cidadania e o acesso a direitos básicos, como saúde, educação, assistência social e participação política (ONU, 1989; UNICEF, 2019). No entanto, milhões de pessoas em todo o mundo ainda não possuem certidão de nascimento, permanecendo à margem das políticas públicas e invisíveis nas estatísticas oficiais.</w:t>
      </w:r>
    </w:p>
    <w:p w14:paraId="00000011" w14:textId="027D9CC1" w:rsidR="004D28AA" w:rsidRDefault="008A0D28">
      <w:pPr>
        <w:spacing w:line="360" w:lineRule="auto"/>
      </w:pPr>
      <w:r>
        <w:t xml:space="preserve">No Brasil, o fenômeno do sub-registro de nascimento, definido como o não registro da criança no ano de nascimento ou no primeiro trimestre do ano seguinte, tem sido historicamente associado à desigualdade social, à ausência do Estado em territórios vulneráveis, à desinformação e à burocracia cartorária. Embora o país tenha apresentado avanços significativos desde os anos 2000, com a criação de </w:t>
      </w:r>
      <w:sdt>
        <w:sdtPr>
          <w:tag w:val="goog_rdk_0"/>
          <w:id w:val="-652690793"/>
        </w:sdtPr>
        <w:sdtEndPr/>
        <w:sdtContent>
          <w:commentRangeStart w:id="0"/>
        </w:sdtContent>
      </w:sdt>
      <w:r>
        <w:t>políticas intersetoriais¹,</w:t>
      </w:r>
      <w:commentRangeEnd w:id="0"/>
      <w:r>
        <w:commentReference w:id="0"/>
      </w:r>
      <w:r>
        <w:t xml:space="preserve"> mutirões de documentação e unidades interligadas em maternidades, os índices ainda se concentram em regiões marcadas por pobreza estrutural, como o Norte e o Nordeste do país (IBGE, 2019; DPE/MA, 2023).</w:t>
      </w:r>
    </w:p>
    <w:p w14:paraId="00000012" w14:textId="77777777" w:rsidR="004D28AA" w:rsidRDefault="008A0D28">
      <w:pPr>
        <w:spacing w:line="360" w:lineRule="auto"/>
      </w:pPr>
      <w:r>
        <w:t xml:space="preserve">O estado do Maranhão, exemplifica essa realidade com vastas áreas rurais, comunidades indígenas, quilombolas e ribeirinhas, o estado enfrenta dificuldades para garantir o registro civil universal. Dados do IBGE indicam que, em 2018, o Maranhão apresentava um dos maiores índices de sub-registro do país, com 6,4%, </w:t>
      </w:r>
      <w:r>
        <w:rPr>
          <w:color w:val="000000"/>
        </w:rPr>
        <w:t xml:space="preserve">enquanto a média nacional em 2018 foi de 2,37% </w:t>
      </w:r>
      <w:r>
        <w:t>(IBGE, 2019). Diante desse cenário, surgem iniciativas locais voltadas à erradicação do problema, com destaque para a atuação da Defensoria Pública, a implementação de unidades interligadas, a Justiça Itinerante e o programa “Selo Município Defensor da Cidadania”.</w:t>
      </w:r>
    </w:p>
    <w:p w14:paraId="00000013" w14:textId="77777777" w:rsidR="004D28AA" w:rsidRDefault="008A0D28">
      <w:pPr>
        <w:spacing w:line="360" w:lineRule="auto"/>
      </w:pPr>
      <w:r>
        <w:t xml:space="preserve">Neste artigo, propõe-se uma análise crítica e contextualizada das políticas públicas voltadas à erradicação do sub-registro civil de nascimento no Brasil e, especialmente, no Maranhão, com base em revisão bibliográfica, documentos </w:t>
      </w:r>
      <w:r>
        <w:lastRenderedPageBreak/>
        <w:t>institucionais e dados estatísticos oficiais. O objetivo é compreender as causas estruturais do sub-registro, os marcos legais que amparam o direito ao registro civil e os desafios persistentes que dificultam a universalização desse direito fundamental. Adota-se como perspectiva teórico-metodológica uma abordagem qualitativa, com ênfase em autores clássicos e contemporâneos que discutem cidadania, invisibilidade social e justiça.</w:t>
      </w:r>
    </w:p>
    <w:p w14:paraId="00000014" w14:textId="77777777" w:rsidR="004D28AA" w:rsidRDefault="004D28AA">
      <w:pPr>
        <w:spacing w:line="360" w:lineRule="auto"/>
      </w:pPr>
    </w:p>
    <w:p w14:paraId="00000015" w14:textId="77777777" w:rsidR="004D28AA" w:rsidRDefault="008A0D28">
      <w:pPr>
        <w:spacing w:line="360" w:lineRule="auto"/>
      </w:pPr>
      <w:r>
        <w:rPr>
          <w:b/>
        </w:rPr>
        <w:t>2</w:t>
      </w:r>
      <w:r>
        <w:rPr>
          <w:b/>
        </w:rPr>
        <w:tab/>
        <w:t>CIDADANIA E INVISIBILIDADE SOCIAL</w:t>
      </w:r>
    </w:p>
    <w:p w14:paraId="00000016" w14:textId="77777777" w:rsidR="004D28AA" w:rsidRDefault="004D28AA">
      <w:pPr>
        <w:spacing w:line="360" w:lineRule="auto"/>
      </w:pPr>
    </w:p>
    <w:p w14:paraId="00000017" w14:textId="77777777" w:rsidR="004D28AA" w:rsidRDefault="008A0D28">
      <w:pPr>
        <w:spacing w:line="360" w:lineRule="auto"/>
      </w:pPr>
      <w:r>
        <w:t>A ausência do registro civil de nascimento representa, em termos práticos e simbólicos, uma violação ao direito de existência legal e social de um indivíduo. Do ponto de vista da teoria da cidadania, esse direito é um dos pilares do pertencimento jurídico ao Estado-nação. Marshall (1967) foi um dos primeiros teóricos a sistematizar a cidadania como um processo histórico de conquista de direitos civis, políticos e sociais. Segundo o autor, o acesso ao registro civil é uma condição para o usufruto desses direitos, sobretudo os sociais, como saúde, educação e seguridade.</w:t>
      </w:r>
    </w:p>
    <w:p w14:paraId="00000018" w14:textId="77777777" w:rsidR="004D28AA" w:rsidRDefault="008A0D28">
      <w:pPr>
        <w:spacing w:line="360" w:lineRule="auto"/>
      </w:pPr>
      <w:bookmarkStart w:id="1" w:name="_heading=h.78sf8r9rdwu0" w:colFirst="0" w:colLast="0"/>
      <w:bookmarkEnd w:id="1"/>
      <w:r>
        <w:t xml:space="preserve">Na mesma linha, Arendt (1983) argumenta que o “direito a ter direitos” começa com o reconhecimento jurídico da pessoa. A ausência de um documento oficial de nascimento inviabiliza esse reconhecimento, tornando o indivíduo um “apátrida interno”, ou seja, alguém que vive no território nacional, mas é excluído dos mecanismos formais de proteção e participação cívica. Como afirma a autora: “a perda da pátria implica a perda da comunidade política e jurídica que confere sentido à vida pública e aos direitos” (ARENDT, 1983, p. 293). </w:t>
      </w:r>
    </w:p>
    <w:p w14:paraId="00000019" w14:textId="77777777" w:rsidR="004D28AA" w:rsidRDefault="008A0D28">
      <w:pPr>
        <w:spacing w:line="360" w:lineRule="auto"/>
      </w:pPr>
      <w:proofErr w:type="spellStart"/>
      <w:r>
        <w:t>Donzelot</w:t>
      </w:r>
      <w:proofErr w:type="spellEnd"/>
      <w:r>
        <w:t xml:space="preserve"> (1979), ao analisar a formação dos dispositivos de controle social nas sociedades modernas, aponta que o registro civil não é apenas um instrumento administrativo, mas também uma ferramenta de disciplinamento e vigilância. Nesse sentido, o registro funciona como um dispositivo de visibilidade: estar registrado é tornar-se elegível para o Estado e para as suas políticas públicas. No contexto brasileiro, Silva (2001) destaca que a documentação de identidade vai além da </w:t>
      </w:r>
      <w:r>
        <w:lastRenderedPageBreak/>
        <w:t xml:space="preserve">simples individualização. Ela representa o critério de acesso aos bens sociais. Conforme o autor:  </w:t>
      </w:r>
    </w:p>
    <w:p w14:paraId="0000001A" w14:textId="77777777" w:rsidR="004D28AA" w:rsidRDefault="004D28AA">
      <w:pPr>
        <w:spacing w:line="360" w:lineRule="auto"/>
        <w:ind w:firstLine="0"/>
      </w:pPr>
    </w:p>
    <w:p w14:paraId="0000001B" w14:textId="77777777" w:rsidR="004D28AA" w:rsidRDefault="008A0D28">
      <w:pPr>
        <w:spacing w:line="240" w:lineRule="auto"/>
        <w:ind w:left="2267" w:firstLine="0"/>
        <w:rPr>
          <w:sz w:val="20"/>
          <w:szCs w:val="20"/>
        </w:rPr>
      </w:pPr>
      <w:r>
        <w:rPr>
          <w:sz w:val="20"/>
          <w:szCs w:val="20"/>
        </w:rPr>
        <w:t>“A documentação é o filtro de acesso à cidadania e, por isso, a sua ausência não é apenas um problema burocrático, mas uma questão de justiça social” (..) .A documentação é o critério que o Estado utiliza para dizer quem existe e  quem tem direito. Sua ausência revela que o Estado apenas reconhece como cidadão aquele que pode ser nomeado, inscrito, localizado. A não documentação é, portanto, uma estratégia implícita de exclusão. (SILVA, 2001, p.41-  47).</w:t>
      </w:r>
    </w:p>
    <w:p w14:paraId="0000001C" w14:textId="77777777" w:rsidR="004D28AA" w:rsidRDefault="004D28AA">
      <w:pPr>
        <w:spacing w:line="360" w:lineRule="auto"/>
        <w:ind w:left="2268"/>
        <w:rPr>
          <w:sz w:val="20"/>
          <w:szCs w:val="20"/>
        </w:rPr>
      </w:pPr>
    </w:p>
    <w:p w14:paraId="0000001D" w14:textId="77777777" w:rsidR="004D28AA" w:rsidRDefault="008A0D28">
      <w:pPr>
        <w:spacing w:line="360" w:lineRule="auto"/>
      </w:pPr>
      <w:r>
        <w:t>Em abordagem mais recente, Diniz (2020) compreende o sub-registro como uma das expressões da violência estrutural que organiza a relação entre o Estado e populações vulnerabilizadas. Para a autora, a invisibilidade documental funciona ao mesmo tempo como sintoma e causa da exclusão social, afetando com maior intensidade crianças indígenas, ribeirinhas, negras e em situação de rua. Como resume, o sub-registro “é a face burocrática da desigualdade” (DINIZ, 2020, p. 53).</w:t>
      </w:r>
    </w:p>
    <w:p w14:paraId="0000001E" w14:textId="77777777" w:rsidR="004D28AA" w:rsidRDefault="008A0D28">
      <w:pPr>
        <w:spacing w:line="360" w:lineRule="auto"/>
      </w:pPr>
      <w:r>
        <w:t>Complementando essa perspectiva, Pereira (2022) propõe uma abordagem interseccional do sub-registro, articulando os marcadores de raça, território e gênero. A autora argumenta que a ausência de registro de crianças negras e indígenas se ancora numa lógica estatal colonial, que historicamente exclui determinados corpos e territórios da estrutura legal e cidadã.</w:t>
      </w:r>
    </w:p>
    <w:p w14:paraId="0000001F" w14:textId="77777777" w:rsidR="004D28AA" w:rsidRDefault="008A0D28">
      <w:pPr>
        <w:spacing w:line="360" w:lineRule="auto"/>
      </w:pPr>
      <w:r>
        <w:t>Dessa forma, a literatura evidencia que o sub-registro civil não deve ser reduzido a uma falha administrativa ou ausência física de cartórios. Trata-se de uma exclusão sistemática, que se enraíza nas desigualdades históricas e sociais brasileiras. Para Bezerra e Ramos (2023), o direito à identidade civil precisa ser concebido como parte de um projeto nacional de reparação histórica e emancipação cidadã.</w:t>
      </w:r>
    </w:p>
    <w:p w14:paraId="00000020" w14:textId="77777777" w:rsidR="004D28AA" w:rsidRDefault="004D28AA">
      <w:pPr>
        <w:spacing w:line="360" w:lineRule="auto"/>
      </w:pPr>
    </w:p>
    <w:p w14:paraId="00000021" w14:textId="77777777" w:rsidR="004D28AA" w:rsidRDefault="008A0D28">
      <w:pPr>
        <w:spacing w:line="360" w:lineRule="auto"/>
        <w:ind w:left="720" w:firstLine="0"/>
      </w:pPr>
      <w:r>
        <w:rPr>
          <w:b/>
        </w:rPr>
        <w:t>3</w:t>
      </w:r>
      <w:r>
        <w:rPr>
          <w:b/>
        </w:rPr>
        <w:tab/>
        <w:t>O SUB-REGISTRO DE NASCIMENTO NO CONTEXTO BRASILEIRO E MARANHENSE</w:t>
      </w:r>
    </w:p>
    <w:p w14:paraId="00000022" w14:textId="77777777" w:rsidR="004D28AA" w:rsidRDefault="004D28AA">
      <w:pPr>
        <w:spacing w:line="360" w:lineRule="auto"/>
        <w:ind w:firstLine="0"/>
      </w:pPr>
    </w:p>
    <w:p w14:paraId="00000023" w14:textId="77777777" w:rsidR="004D28AA" w:rsidRDefault="008A0D28">
      <w:pPr>
        <w:spacing w:line="360" w:lineRule="auto"/>
      </w:pPr>
      <w:r>
        <w:lastRenderedPageBreak/>
        <w:t xml:space="preserve">O Maranhão é um dos estados com maior número de registros tardios, segundo o relatório da Secretaria de Direitos Humanos (2019). A ausência do documento atinge, de forma mais acentuada, comunidades ribeirinhas, quilombolas e indígenas, que enfrentam barreiras geográficas, econômicas e culturais. Muitas dessas comunidades estão distantes de centros urbanos, onde se concentram os cartórios, e carecem de informações sobre a gratuidade e a obrigatoriedade do registro.  </w:t>
      </w:r>
    </w:p>
    <w:p w14:paraId="00000024" w14:textId="77777777" w:rsidR="004D28AA" w:rsidRDefault="008A0D28">
      <w:pPr>
        <w:spacing w:line="360" w:lineRule="auto"/>
      </w:pPr>
      <w:r>
        <w:t>Outro fator relevante é a ausência paterna, que impacta diretamente os índices de sub-registro.</w:t>
      </w:r>
      <w:r>
        <w:rPr>
          <w:color w:val="FF0000"/>
        </w:rPr>
        <w:t xml:space="preserve"> </w:t>
      </w:r>
      <w:r>
        <w:t xml:space="preserve">Segundo </w:t>
      </w:r>
      <w:proofErr w:type="spellStart"/>
      <w:r>
        <w:t>Petrocelli</w:t>
      </w:r>
      <w:proofErr w:type="spellEnd"/>
      <w:r>
        <w:t xml:space="preserve"> e </w:t>
      </w:r>
      <w:proofErr w:type="spellStart"/>
      <w:r>
        <w:t>Fermentão</w:t>
      </w:r>
      <w:proofErr w:type="spellEnd"/>
      <w:r>
        <w:t xml:space="preserve"> (2023), muitas famílias ainda acreditam que é necessário apresentar a presença do pai ou pagar taxas para registrar seus filhos, mesmo em casos de registros tardios. Muitas mães, especialmente jovens e sem escolaridade, desconhecem a possibilidade de registrar os filhos sozinhas. Além disso, quando elas próprias não possuem documentação, tornam-se legalmente incapazes de realizar o registro dos recém-nascidos, perpetuando o ciclo de invisibilidade civil.</w:t>
      </w:r>
    </w:p>
    <w:p w14:paraId="00000025" w14:textId="77777777" w:rsidR="004D28AA" w:rsidRDefault="008A0D28">
      <w:pPr>
        <w:spacing w:line="360" w:lineRule="auto"/>
      </w:pPr>
      <w:r>
        <w:t>Segundo a UNICEF (2015), o sub-registro pode ser considerado a primeira forma de violação de direitos de uma criança. Essa violação compromete o acesso à saúde, educação, programas sociais como o Bolsa Família e à própria construção da cidadania. Em regiões com altas taxas de pobreza, como o Maranhão, o fenômeno do sub-registro acentua ainda mais a exclusão e a vulnerabilidade social.</w:t>
      </w:r>
    </w:p>
    <w:p w14:paraId="00000026" w14:textId="77777777" w:rsidR="004D28AA" w:rsidRDefault="008A0D28">
      <w:pPr>
        <w:spacing w:line="360" w:lineRule="auto"/>
      </w:pPr>
      <w:r>
        <w:t>Nesse contexto, a falta de registro civil não se limita à ausência de um documento, mas implica a negação do direito à cidadania, ao acesso a políticas públicas e à construção de uma identidade reconhecida. Apesar da existência de leis como a nº 9.534/1997, que garante a gratuidade do registro civil, a falta de conhecimento sobre esse direito ainda é uma das principais causas da não realização do registro. Dados da Pesquisa da Defensoria Pública do Maranhão (2023) demonstram que 34% das pessoas entrevistadas em comunidades rurais desconhecem que o registro de nascimento é gratuito e sem exceção.</w:t>
      </w:r>
    </w:p>
    <w:p w14:paraId="00000027" w14:textId="77777777" w:rsidR="004D28AA" w:rsidRDefault="008A0D28">
      <w:pPr>
        <w:spacing w:line="360" w:lineRule="auto"/>
      </w:pPr>
      <w:r>
        <w:t xml:space="preserve"> Em resposta a essa realidade, o Maranhão tem implementado iniciativas para enfrentar o problema, como a criação de unidades interligadas em maternidades, a </w:t>
      </w:r>
      <w:r>
        <w:lastRenderedPageBreak/>
        <w:t xml:space="preserve">atuação da Justiça Itinerante, mutirões de documentação e a aprovação da Lei Complementar nº 233/2021, que reformula a estrutura dos serviços de registro civil no estado. </w:t>
      </w:r>
    </w:p>
    <w:p w14:paraId="00000028" w14:textId="77777777" w:rsidR="004D28AA" w:rsidRDefault="004D28AA">
      <w:pPr>
        <w:spacing w:line="360" w:lineRule="auto"/>
      </w:pPr>
    </w:p>
    <w:p w14:paraId="00000029" w14:textId="77777777" w:rsidR="004D28AA" w:rsidRDefault="008A0D28">
      <w:pPr>
        <w:spacing w:line="360" w:lineRule="auto"/>
        <w:ind w:left="720" w:firstLine="0"/>
        <w:rPr>
          <w:b/>
        </w:rPr>
      </w:pPr>
      <w:r>
        <w:rPr>
          <w:b/>
        </w:rPr>
        <w:t>3.1</w:t>
      </w:r>
      <w:r>
        <w:rPr>
          <w:b/>
        </w:rPr>
        <w:tab/>
        <w:t>Políticas públicas para erradicação do sub-registro civil no Maranhão</w:t>
      </w:r>
    </w:p>
    <w:p w14:paraId="0000002A" w14:textId="77777777" w:rsidR="004D28AA" w:rsidRDefault="004D28AA">
      <w:pPr>
        <w:spacing w:line="360" w:lineRule="auto"/>
        <w:ind w:left="720" w:firstLine="0"/>
      </w:pPr>
    </w:p>
    <w:p w14:paraId="0000002B" w14:textId="77777777" w:rsidR="004D28AA" w:rsidRDefault="008A0D28">
      <w:pPr>
        <w:spacing w:line="360" w:lineRule="auto"/>
      </w:pPr>
      <w:r>
        <w:t>A erradicação do sub-registro civil de nascimento no Maranhão tem mobilizado uma série de políticas públicas intersetoriais, com foco na redução das desigualdades históricas que comprometem o direito à cidadania de crianças, jovens e adultos. Mesmo com avanços legais e institucionais nos últimos anos, o estado segue entre os que apresentam os maiores índices de registros tardios no país, ficando atrás apenas de alguns estados da região Norte, respectivamente, Roraima, Amazonas e Amapá (IBGE, 2022).</w:t>
      </w:r>
    </w:p>
    <w:p w14:paraId="0000002C" w14:textId="77777777" w:rsidR="004D28AA" w:rsidRDefault="008A0D28">
      <w:pPr>
        <w:spacing w:line="360" w:lineRule="auto"/>
      </w:pPr>
      <w:r>
        <w:t>Para enfrentar esse quadro, o governo estadual e órgãos do sistema de justiça vêm implementando estratégias inovadoras. Entre as principais ações destaca-se a criação do Plano Institucional para Erradicação do Sub-registro de Nascimento de 2022, conduzido pela Defensoria Pública do Estado do Maranhão, que integra o programa Selo Município Defensor da Cidadania. Este selo reconhece boas práticas de gestão municipal voltadas à identificação e documentação de pessoas sem registro civil, promovendo articulação entre cartórios, secretarias de saúde, educação e assistência social (DPE/MA, 2023).</w:t>
      </w:r>
    </w:p>
    <w:p w14:paraId="0000002D" w14:textId="77777777" w:rsidR="004D28AA" w:rsidRDefault="008A0D28">
      <w:pPr>
        <w:spacing w:line="360" w:lineRule="auto"/>
      </w:pPr>
      <w:r>
        <w:t xml:space="preserve">O </w:t>
      </w:r>
      <w:r w:rsidRPr="008A0D28">
        <w:rPr>
          <w:iCs/>
        </w:rPr>
        <w:t xml:space="preserve">Selo </w:t>
      </w:r>
      <w:r>
        <w:t>Município Defensor da Cidadania</w:t>
      </w:r>
      <w:r>
        <w:rPr>
          <w:i/>
        </w:rPr>
        <w:t xml:space="preserve">, </w:t>
      </w:r>
      <w:r>
        <w:t xml:space="preserve">é concedido aos municípios que, no período de 1 ano, atuam implementando os cinco eixos estruturantes do plano institucional da defensoria para a erradicação do sub–registro de nascimento e acesso à documentação básica. Esses eixos são organizados em capacitação, protocolo de participação permanente, campanhas e mutirões, comitês gestores e unidades interligadas. Dessa forma, os selos são divididos em três versões: Selo ouro (para os </w:t>
      </w:r>
      <w:r>
        <w:lastRenderedPageBreak/>
        <w:t>municípios que cumprirem 5 eixos), selo prata (municípios que cumprirem 4 eixos) e selo bronze (para municípios que cumprirem 3 eixos). (DPE/MA, 2023)</w:t>
      </w:r>
    </w:p>
    <w:p w14:paraId="0000002E" w14:textId="77777777" w:rsidR="004D28AA" w:rsidRDefault="008A0D28">
      <w:pPr>
        <w:spacing w:line="360" w:lineRule="auto"/>
      </w:pPr>
      <w:r>
        <w:t>Os municípios maranhenses que receberem a certificação, entram na lista de aprovados da Defensoria Pública do Estado, poderão usar o selo em ações de comunicação, publicidade e terão prioridade no pedido de atendimento de mutirões das unidades móveis pela Defensoria. Essa iniciativa por parte do Estado, vem buscando assim, promover o acesso aos documentos básicos e consequentemente a garantia de direitos aos cidadãos. (DPE/MA, 2023)</w:t>
      </w:r>
    </w:p>
    <w:p w14:paraId="0000002F" w14:textId="77777777" w:rsidR="004D28AA" w:rsidRDefault="008A0D28">
      <w:pPr>
        <w:spacing w:line="360" w:lineRule="auto"/>
      </w:pPr>
      <w:r>
        <w:t>No campo legislativo, a Lei Complementar nº 233/2021, de iniciativa estadual, reformulou o funcionamento das serventias de registro civil, estabelecendo parâmetros de eficiência, acesso e controle que permitiram a expansão territorial dos serviços, inclusive em municípios com baixo Índice de Desenvolvimento Humano (IDH). Essa legislação tem fortalecido a presença institucional do Estado nas zonas rurais e nas comunidades tradicionais, reduzindo a distância entre o cidadão e o cartório (CLARO, 2020).</w:t>
      </w:r>
    </w:p>
    <w:p w14:paraId="00000030" w14:textId="77777777" w:rsidR="004D28AA" w:rsidRDefault="008A0D28">
      <w:pPr>
        <w:spacing w:line="360" w:lineRule="auto"/>
      </w:pPr>
      <w:r>
        <w:t>Outra política pública de destaque é a implantação das Unidades Interligadas em Maternidades, que permite que recém-nascidos saiam dos hospitais já com sua certidão de nascimento. Essa medida está alinhada ao Marco Legal da Primeira Infância e à Resolução n.º 299/2019 do Conselho Nacional de Justiça (CNJ), que recomenda a instalação desses postos de registro em unidades de saúde com atendimento obstétrico. Entre 2020 e 2022, o Maranhão instalou 97 dessas unidades, alcançando o terceiro lugar no ranking nacional (CNJ, 2022).</w:t>
      </w:r>
    </w:p>
    <w:p w14:paraId="00000031" w14:textId="77777777" w:rsidR="004D28AA" w:rsidRDefault="008A0D28">
      <w:pPr>
        <w:spacing w:line="360" w:lineRule="auto"/>
      </w:pPr>
      <w:r>
        <w:t>A Justiça Itinerante também tem sido um instrumento fundamental para alcançar populações em áreas de difícil acesso. Barcos e unidades móveis percorreram, entre 2021 e 2023, comunidades ribeirinhas, indígenas e quilombolas, oferecendo registro civil gratuito e outros documentos essenciais. Tais ações foram realizadas em cooperação com o Tribunal de Justiça do Maranhão, a Defensoria Pública e cartórios locais, e têm sido citadas como exemplo nacional em estratégias de inclusão jurídica (ESCÓSSIA, 2018; UNICEF, 2019).</w:t>
      </w:r>
    </w:p>
    <w:p w14:paraId="00000032" w14:textId="77777777" w:rsidR="004D28AA" w:rsidRDefault="008A0D28">
      <w:pPr>
        <w:spacing w:line="360" w:lineRule="auto"/>
      </w:pPr>
      <w:r>
        <w:lastRenderedPageBreak/>
        <w:t>A atuação intersetorial é outro aspecto relevante no combate ao sub-registro. Escolas e unidades básicas de saúde têm sido pontos estratégicos de identificação de casos de ausência de documentação. Em muitos municípios maranhenses, o processo de matrícula escolar ou de vacinação infantil é uma oportunidade para encaminhamento de famílias à regularização civil. Segundo a cartilha da Defensoria Pública, essas ações foram potencializadas com campanhas educativas que esclarecem o caráter gratuito do registro e desconstroem mitos sobre punições ou multas em registros tardios (DPE/MA, 2023).</w:t>
      </w:r>
    </w:p>
    <w:p w14:paraId="00000033" w14:textId="77777777" w:rsidR="004D28AA" w:rsidRDefault="008A0D28">
      <w:pPr>
        <w:spacing w:line="360" w:lineRule="auto"/>
      </w:pPr>
      <w:r>
        <w:t>Paralelamente, o Maranhão vem adotando medidas de capacitação de agentes públicos, como assistentes sociais, conselheiros tutelares e técnicos da saúde, para atuar diretamente no rastreamento e encaminhamento de casos de sub-registro. Essas formações reforçam o papel da administração pública na garantia de um direito básico: a identidade civil.</w:t>
      </w:r>
    </w:p>
    <w:p w14:paraId="00000034" w14:textId="77777777" w:rsidR="004D28AA" w:rsidRDefault="008A0D28">
      <w:pPr>
        <w:spacing w:line="360" w:lineRule="auto"/>
      </w:pPr>
      <w:r>
        <w:t xml:space="preserve">Segundo </w:t>
      </w:r>
      <w:proofErr w:type="spellStart"/>
      <w:r>
        <w:t>Petrocelli</w:t>
      </w:r>
      <w:proofErr w:type="spellEnd"/>
      <w:r>
        <w:t xml:space="preserve"> e </w:t>
      </w:r>
      <w:proofErr w:type="spellStart"/>
      <w:r>
        <w:t>Fermentão</w:t>
      </w:r>
      <w:proofErr w:type="spellEnd"/>
      <w:r>
        <w:t xml:space="preserve"> (2023), erradicar o sub-registro não é apenas garantir um documento, mas afirmar a existência jurídica e a dignidade de pessoas historicamente invisibilizadas. No Maranhão, essa invisibilidade sempre esteve associada a fatores estruturais como pobreza extrema, baixa escolaridade, racismo institucional e barreiras territoriais. Enfrentá-la exige compromisso contínuo, recursos públicos e integração entre os entes federativos. Sua superação depende da consolidação e fiscalização das políticas já implementadas e da criação de mecanismos que garantam o acesso universal e permanente à documentação básica.</w:t>
      </w:r>
    </w:p>
    <w:p w14:paraId="00000035" w14:textId="77777777" w:rsidR="004D28AA" w:rsidRDefault="004D28AA">
      <w:pPr>
        <w:spacing w:line="360" w:lineRule="auto"/>
        <w:ind w:left="720" w:firstLine="0"/>
      </w:pPr>
    </w:p>
    <w:p w14:paraId="00000036" w14:textId="77777777" w:rsidR="004D28AA" w:rsidRDefault="008A0D28">
      <w:pPr>
        <w:spacing w:line="360" w:lineRule="auto"/>
      </w:pPr>
      <w:r>
        <w:rPr>
          <w:b/>
        </w:rPr>
        <w:t>3.2</w:t>
      </w:r>
      <w:r>
        <w:rPr>
          <w:b/>
        </w:rPr>
        <w:tab/>
        <w:t xml:space="preserve">Desafios persistentes e iniciativas recentes no Maranhão </w:t>
      </w:r>
    </w:p>
    <w:p w14:paraId="00000037" w14:textId="77777777" w:rsidR="004D28AA" w:rsidRDefault="004D28AA">
      <w:pPr>
        <w:spacing w:line="360" w:lineRule="auto"/>
      </w:pPr>
    </w:p>
    <w:p w14:paraId="00000038" w14:textId="77777777" w:rsidR="004D28AA" w:rsidRDefault="008A0D28">
      <w:pPr>
        <w:spacing w:line="360" w:lineRule="auto"/>
      </w:pPr>
      <w:r>
        <w:t xml:space="preserve">No contexto maranhense, os desafios se tornam mais complexos diante da extensa zona rural, da presença significativa de comunidades quilombolas e indígenas, e da escassez de cartórios em municípios de pequeno porte. Em muitos desses territórios, a ausência de transporte público, o analfabetismo funcional e a </w:t>
      </w:r>
      <w:r>
        <w:lastRenderedPageBreak/>
        <w:t>desinformação sobre o direito à gratuidade do registro contribuem para a reprodução do sub-registro de forma intergeracional (UNICEF, 2019).</w:t>
      </w:r>
    </w:p>
    <w:p w14:paraId="00000039" w14:textId="77777777" w:rsidR="004D28AA" w:rsidRDefault="008A0D28">
      <w:pPr>
        <w:spacing w:line="360" w:lineRule="auto"/>
      </w:pPr>
      <w:r>
        <w:t>Segundo estudo da Defensoria Pública do Maranhão (2023), há uma relação direta entre sub-registro e indicadores sociais precários, como renda per capita abaixo da linha da pobreza, baixa escolaridade materna e ausência de serviços públicos básicos. Tais elementos exigem do poder público não apenas ações cartorárias, mas uma abordagem intersetorial que envolva saúde, educação, assistência social e justiça.</w:t>
      </w:r>
    </w:p>
    <w:p w14:paraId="0000003A" w14:textId="77777777" w:rsidR="004D28AA" w:rsidRDefault="008A0D28">
      <w:pPr>
        <w:spacing w:line="360" w:lineRule="auto"/>
      </w:pPr>
      <w:r>
        <w:t>Um dos principais desafios no estado é a fragilidade dos fluxos administrativos entre maternidades, cartórios e secretarias municipais. Em diversos municípios, não há comunicação automática entre o nascimento e o registro, o que leva ao adiamento da emissão da certidão. Além disso, a falta de internet, equipamentos tecnológicos e a capacitação profissional nos cartórios localizados em áreas remotas compromete a eficácia de sistemas como o Sistema Nacional de Informações de Registro Civil (SIRC), criado em 2014 (ESCÓSSIA, 2018).</w:t>
      </w:r>
    </w:p>
    <w:p w14:paraId="0000003B" w14:textId="77777777" w:rsidR="004D28AA" w:rsidRDefault="008A0D28">
      <w:pPr>
        <w:spacing w:line="360" w:lineRule="auto"/>
      </w:pPr>
      <w:r>
        <w:t>A carência de campanhas permanentes de conscientização também representa um entrave. Recentemente, o Maranhão deu passos importantes na atualização de suas estratégias. O lançamento do programa “Documentar é Existir”, coordenado pela Defensoria Pública em parceria com os municípios e o Tribunal de Justiça, representa uma tentativa de ampliar o alcance da política para além das maternidades. O foco agora também inclui pessoas adultas, idosos, população em situação de rua, egressos do sistema prisional e comunidades tradicionais que nunca tiveram certidão de nascimento (DPE/MA, 2023).</w:t>
      </w:r>
    </w:p>
    <w:p w14:paraId="0000003C" w14:textId="77777777" w:rsidR="004D28AA" w:rsidRDefault="008A0D28">
      <w:pPr>
        <w:spacing w:line="360" w:lineRule="auto"/>
      </w:pPr>
      <w:r>
        <w:t xml:space="preserve">Ainda assim, para que esses avanços se consolidem, é fundamental que o Estado invista em infraestrutura física e digital nos cartórios e em equipamentos públicos que operam nas pontas do sistema (postos de saúde, escolas, CRAS). Bezerra e Ramos (2023), defendem que o combate ao sub-registro exige uma lógica de permanência e não apenas ações pontuais. Políticas públicas estruturantes, com </w:t>
      </w:r>
      <w:r>
        <w:lastRenderedPageBreak/>
        <w:t>orçamento fixo, servidores capacitados e acompanhamento dos resultados, sendo condições indispensáveis à universalização do direito à identidade civil.</w:t>
      </w:r>
    </w:p>
    <w:p w14:paraId="0000003D" w14:textId="77777777" w:rsidR="004D28AA" w:rsidRDefault="008A0D28">
      <w:pPr>
        <w:spacing w:line="360" w:lineRule="auto"/>
      </w:pPr>
      <w:r>
        <w:t>Em síntese, embora o Maranhão esteja entre os estados com maior produção de políticas inovadoras no tema, o sub-registro permanece como indicador das desigualdades territoriais e da ausência histórica do Estado em determinadas regiões. A erradicação do sub-registro exige um pacto federativo contínuo, com responsabilidade compartilhada entre União, estados e municípios, e a efetiva participação da sociedade civil.</w:t>
      </w:r>
    </w:p>
    <w:p w14:paraId="0000003E" w14:textId="77777777" w:rsidR="004D28AA" w:rsidRDefault="004D28AA">
      <w:pPr>
        <w:spacing w:line="360" w:lineRule="auto"/>
      </w:pPr>
    </w:p>
    <w:p w14:paraId="0000003F" w14:textId="77777777" w:rsidR="004D28AA" w:rsidRDefault="008A0D28">
      <w:pPr>
        <w:spacing w:line="360" w:lineRule="auto"/>
        <w:rPr>
          <w:b/>
        </w:rPr>
      </w:pPr>
      <w:r>
        <w:rPr>
          <w:b/>
        </w:rPr>
        <w:t>3</w:t>
      </w:r>
      <w:r>
        <w:rPr>
          <w:b/>
        </w:rPr>
        <w:tab/>
        <w:t>CONSIDERAÇÕES FINAIS</w:t>
      </w:r>
    </w:p>
    <w:p w14:paraId="00000040" w14:textId="77777777" w:rsidR="004D28AA" w:rsidRDefault="004D28AA">
      <w:pPr>
        <w:spacing w:line="360" w:lineRule="auto"/>
      </w:pPr>
    </w:p>
    <w:p w14:paraId="00000041" w14:textId="77777777" w:rsidR="004D28AA" w:rsidRDefault="008A0D28">
      <w:pPr>
        <w:spacing w:line="360" w:lineRule="auto"/>
      </w:pPr>
      <w:r>
        <w:t>A análise desenvolvida neste artigo demonstrou que o sub-registro de nascimento, longe de ser uma simples ausência de documentação, constitui uma expressão profunda das desigualdades sociais, territoriais e institucionais que ainda marcam o Brasil, especialmente o estado do Maranhão. Os dados e estudos apresentados revelam que as populações mais afetadas por essa condição são, em geral, aquelas que já se encontram em situação de vulnerabilidade histórica, como comunidades quilombolas, indígenas, ribeirinhas e pessoas em situação de pobreza extrema.</w:t>
      </w:r>
    </w:p>
    <w:p w14:paraId="00000042" w14:textId="77777777" w:rsidR="004D28AA" w:rsidRDefault="008A0D28">
      <w:pPr>
        <w:spacing w:line="360" w:lineRule="auto"/>
      </w:pPr>
      <w:r>
        <w:t>As políticas públicas implementadas nos últimos anos, como o programa Selo Município Defensor da Cidadania, as unidades interligadas em maternidades e a atuação da Justiça Itinerante mostraram-se eficazes em ampliar o acesso ao registro civil e reduzir os índices. Contudo, os resultados também indicam que tais iniciativas, embora relevantes, ainda não são suficientes para alcançar a universalização do direito à identidade civil. A persistência de entraves como a desinformação, a ausência de infraestrutura, a baixa articulação institucional e a fragilidade dos serviços em áreas remotas reforçam a necessidade de medidas estruturantes e permanentes.</w:t>
      </w:r>
    </w:p>
    <w:p w14:paraId="00000043" w14:textId="77777777" w:rsidR="004D28AA" w:rsidRDefault="008A0D28">
      <w:pPr>
        <w:spacing w:line="360" w:lineRule="auto"/>
      </w:pPr>
      <w:r>
        <w:t xml:space="preserve">É preciso compreender que o combate ao sub-registro não se limita à emissão de documentos, mas envolve o reconhecimento jurídico, simbólico e social de sujeitos </w:t>
      </w:r>
      <w:r>
        <w:lastRenderedPageBreak/>
        <w:t>historicamente invisibilizados. Nesse sentido, garantir o registro de nascimento é afirmar a dignidade humana e possibilitar o acesso pleno à cidadania e aos direitos fundamentais. Como alertam Bezerra e Ramos (2023, p. 53), “a documentação não pode ser tratada como um privilégio, mas como um direito inegociável que deve ser assegurado a todos”.</w:t>
      </w:r>
    </w:p>
    <w:p w14:paraId="00000044" w14:textId="77777777" w:rsidR="004D28AA" w:rsidRDefault="008A0D28">
      <w:pPr>
        <w:spacing w:line="360" w:lineRule="auto"/>
      </w:pPr>
      <w:r>
        <w:t xml:space="preserve">Portanto, os resultados obtidos até aqui são importantes, mas também reforçam a urgência da continuidade dos esforços. A erradicação definitiva do sub-registro exige políticas públicas integradas, com orçamento assegurado, formação de profissionais, fiscalização ativa e, sobretudo, compromisso político e ético com a inclusão. Estudos futuros devem continuar monitorando os impactos das políticas em curso, com atenção especial às populações mais </w:t>
      </w:r>
      <w:proofErr w:type="spellStart"/>
      <w:r>
        <w:t>vulneráveis,visando</w:t>
      </w:r>
      <w:proofErr w:type="spellEnd"/>
      <w:r>
        <w:t xml:space="preserve"> a democratização do acesso ao registro civil.</w:t>
      </w:r>
    </w:p>
    <w:p w14:paraId="00000045" w14:textId="77777777" w:rsidR="004D28AA" w:rsidRDefault="004D28AA">
      <w:pPr>
        <w:spacing w:line="360" w:lineRule="auto"/>
        <w:ind w:firstLine="0"/>
        <w:rPr>
          <w:b/>
        </w:rPr>
      </w:pPr>
    </w:p>
    <w:p w14:paraId="00000046" w14:textId="77777777" w:rsidR="004D28AA" w:rsidRDefault="008A0D28">
      <w:pPr>
        <w:spacing w:line="360" w:lineRule="auto"/>
        <w:ind w:firstLine="0"/>
        <w:rPr>
          <w:b/>
        </w:rPr>
      </w:pPr>
      <w:r>
        <w:rPr>
          <w:b/>
        </w:rPr>
        <w:t>REFERÊNCIAS</w:t>
      </w:r>
    </w:p>
    <w:p w14:paraId="4925DFC2"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rPr>
        <w:t xml:space="preserve">ARENDT, Hannah. </w:t>
      </w:r>
      <w:r w:rsidRPr="00DB6505">
        <w:rPr>
          <w:rFonts w:eastAsia="Times New Roman"/>
          <w:i/>
          <w:iCs/>
          <w:color w:val="000000"/>
        </w:rPr>
        <w:t>A condição humana</w:t>
      </w:r>
      <w:r w:rsidRPr="00DB6505">
        <w:rPr>
          <w:rFonts w:eastAsia="Times New Roman"/>
          <w:color w:val="000000"/>
        </w:rPr>
        <w:t>. 10. ed. Rio de Janeiro: Forense Universitária, 1983.</w:t>
      </w:r>
    </w:p>
    <w:p w14:paraId="4D05F5C2"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rPr>
        <w:t xml:space="preserve">ASSOCIAÇÃO DOS REGISTRADORES DE PESSOAS NATURAIS DO ESTADO DE SÃO PAULO (ARPEN-SP). </w:t>
      </w:r>
      <w:r w:rsidRPr="00DB6505">
        <w:rPr>
          <w:rFonts w:eastAsia="Times New Roman"/>
          <w:i/>
          <w:iCs/>
          <w:color w:val="000000"/>
        </w:rPr>
        <w:t xml:space="preserve">Brasil é destaque em relatório mundial do Unicef sobre combate ao </w:t>
      </w:r>
      <w:proofErr w:type="spellStart"/>
      <w:r w:rsidRPr="00DB6505">
        <w:rPr>
          <w:rFonts w:eastAsia="Times New Roman"/>
          <w:i/>
          <w:iCs/>
          <w:color w:val="000000"/>
        </w:rPr>
        <w:t>subregistro</w:t>
      </w:r>
      <w:proofErr w:type="spellEnd"/>
      <w:r w:rsidRPr="00DB6505">
        <w:rPr>
          <w:rFonts w:eastAsia="Times New Roman"/>
          <w:color w:val="000000"/>
        </w:rPr>
        <w:t>. São Paulo, 2013. Disponível em:</w:t>
      </w:r>
      <w:hyperlink r:id="rId10" w:history="1">
        <w:r w:rsidRPr="00DB6505">
          <w:rPr>
            <w:rFonts w:eastAsia="Times New Roman"/>
            <w:color w:val="000000"/>
            <w:u w:val="single"/>
          </w:rPr>
          <w:t xml:space="preserve"> </w:t>
        </w:r>
        <w:r w:rsidRPr="00DB6505">
          <w:rPr>
            <w:rFonts w:eastAsia="Times New Roman"/>
            <w:color w:val="1155CC"/>
            <w:u w:val="single"/>
          </w:rPr>
          <w:t>http://www.arpensp.org.br</w:t>
        </w:r>
      </w:hyperlink>
      <w:r w:rsidRPr="00DB6505">
        <w:rPr>
          <w:rFonts w:eastAsia="Times New Roman"/>
          <w:color w:val="000000"/>
        </w:rPr>
        <w:t>. Acesso em: 01 fev. 2025.</w:t>
      </w:r>
    </w:p>
    <w:p w14:paraId="78B1FCF9"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rPr>
        <w:t xml:space="preserve">BEZERRA, J.; RAMOS, T. </w:t>
      </w:r>
      <w:r w:rsidRPr="00DB6505">
        <w:rPr>
          <w:rFonts w:eastAsia="Times New Roman"/>
          <w:i/>
          <w:iCs/>
          <w:color w:val="000000"/>
        </w:rPr>
        <w:t>O direito à documentação como reparação histórica</w:t>
      </w:r>
      <w:r w:rsidRPr="00DB6505">
        <w:rPr>
          <w:rFonts w:eastAsia="Times New Roman"/>
          <w:color w:val="000000"/>
        </w:rPr>
        <w:t>. Revista de Direitos Humanos, v. 22, n. 1, p. 45–64, 2023.</w:t>
      </w:r>
    </w:p>
    <w:p w14:paraId="5F42D311"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rPr>
        <w:t xml:space="preserve">BEZERRA, L.; RAMOS, C. </w:t>
      </w:r>
      <w:r w:rsidRPr="00DB6505">
        <w:rPr>
          <w:rFonts w:eastAsia="Times New Roman"/>
          <w:i/>
          <w:iCs/>
          <w:color w:val="000000"/>
        </w:rPr>
        <w:t>Políticas interseccionais e direito à identidade civil</w:t>
      </w:r>
      <w:r w:rsidRPr="00DB6505">
        <w:rPr>
          <w:rFonts w:eastAsia="Times New Roman"/>
          <w:color w:val="000000"/>
        </w:rPr>
        <w:t>. Revista de Políticas Inclusivas, v. 8, n. 1, p. 77–93, 2023.</w:t>
      </w:r>
    </w:p>
    <w:p w14:paraId="21A821B2"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rPr>
        <w:t xml:space="preserve">BRASIL. Conselho Nacional de Justiça. </w:t>
      </w:r>
      <w:r w:rsidRPr="00DB6505">
        <w:rPr>
          <w:rFonts w:eastAsia="Times New Roman"/>
          <w:i/>
          <w:iCs/>
          <w:color w:val="000000"/>
        </w:rPr>
        <w:t>Resolução n.º 299/2019</w:t>
      </w:r>
      <w:r w:rsidRPr="00DB6505">
        <w:rPr>
          <w:rFonts w:eastAsia="Times New Roman"/>
          <w:color w:val="000000"/>
        </w:rPr>
        <w:t>. Brasília: CNJ, 2019.</w:t>
      </w:r>
    </w:p>
    <w:p w14:paraId="4A21806E"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rPr>
        <w:t xml:space="preserve">BRASIL. Conselho Nacional de Justiça (CNJ). </w:t>
      </w:r>
      <w:r w:rsidRPr="00DB6505">
        <w:rPr>
          <w:rFonts w:eastAsia="Times New Roman"/>
          <w:i/>
          <w:iCs/>
          <w:color w:val="000000"/>
        </w:rPr>
        <w:t>Programa Registre-se: acesso ao registro civil para populações vulneráveis</w:t>
      </w:r>
      <w:r w:rsidRPr="00DB6505">
        <w:rPr>
          <w:rFonts w:eastAsia="Times New Roman"/>
          <w:color w:val="000000"/>
        </w:rPr>
        <w:t>. Brasília: CNJ, 2021. Disponível em:</w:t>
      </w:r>
      <w:hyperlink r:id="rId11" w:history="1">
        <w:r w:rsidRPr="00DB6505">
          <w:rPr>
            <w:rFonts w:eastAsia="Times New Roman"/>
            <w:color w:val="000000"/>
            <w:u w:val="single"/>
          </w:rPr>
          <w:t xml:space="preserve"> </w:t>
        </w:r>
        <w:r w:rsidRPr="00DB6505">
          <w:rPr>
            <w:rFonts w:eastAsia="Times New Roman"/>
            <w:color w:val="1155CC"/>
            <w:u w:val="single"/>
          </w:rPr>
          <w:t>https://www.cnj.jus.br/programas-e-acoes/registre-se</w:t>
        </w:r>
      </w:hyperlink>
      <w:r w:rsidRPr="00DB6505">
        <w:rPr>
          <w:rFonts w:eastAsia="Times New Roman"/>
          <w:color w:val="000000"/>
        </w:rPr>
        <w:t>. Acesso em: 20 jun. 2025.</w:t>
      </w:r>
    </w:p>
    <w:p w14:paraId="0248E2D7"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rPr>
        <w:t xml:space="preserve">BRASIL. Instituto Brasileiro de Geografia e Estatística (IBGE). </w:t>
      </w:r>
      <w:r w:rsidRPr="00DB6505">
        <w:rPr>
          <w:rFonts w:eastAsia="Times New Roman"/>
          <w:i/>
          <w:iCs/>
          <w:color w:val="000000"/>
        </w:rPr>
        <w:t>Estatísticas do Registro Civil 2019</w:t>
      </w:r>
      <w:r w:rsidRPr="00DB6505">
        <w:rPr>
          <w:rFonts w:eastAsia="Times New Roman"/>
          <w:color w:val="000000"/>
        </w:rPr>
        <w:t>. Rio de Janeiro: IBGE, 2020.</w:t>
      </w:r>
    </w:p>
    <w:p w14:paraId="413314A4"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rPr>
        <w:lastRenderedPageBreak/>
        <w:t xml:space="preserve">CLARO, C. A. B. </w:t>
      </w:r>
      <w:r w:rsidRPr="00DB6505">
        <w:rPr>
          <w:rFonts w:eastAsia="Times New Roman"/>
          <w:i/>
          <w:iCs/>
          <w:color w:val="000000"/>
        </w:rPr>
        <w:t>Políticas públicas para erradicação do sub-registro civil de nascimento do Brasil (2008–2018)</w:t>
      </w:r>
      <w:r w:rsidRPr="00DB6505">
        <w:rPr>
          <w:rFonts w:eastAsia="Times New Roman"/>
          <w:color w:val="000000"/>
        </w:rPr>
        <w:t>. Revista de Políticas Públicas, v. 24, n. 1, p. 93–111, 2020.</w:t>
      </w:r>
    </w:p>
    <w:p w14:paraId="5FABBCCF"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rPr>
        <w:t xml:space="preserve">DEFENSORIA PÚBLICA DO ESTADO DO MARANHÃO (DPE/MA). </w:t>
      </w:r>
      <w:r w:rsidRPr="00DB6505">
        <w:rPr>
          <w:rFonts w:eastAsia="Times New Roman"/>
          <w:i/>
          <w:iCs/>
          <w:color w:val="000000"/>
        </w:rPr>
        <w:t>Cartilha: Documentar é Existir – Diagnóstico e ações para erradicação do sub-registro</w:t>
      </w:r>
      <w:r w:rsidRPr="00DB6505">
        <w:rPr>
          <w:rFonts w:eastAsia="Times New Roman"/>
          <w:color w:val="000000"/>
        </w:rPr>
        <w:t>. São Luís: DPE-MA, 2023. Disponível em:</w:t>
      </w:r>
      <w:hyperlink r:id="rId12" w:history="1">
        <w:r w:rsidRPr="00DB6505">
          <w:rPr>
            <w:rFonts w:eastAsia="Times New Roman"/>
            <w:color w:val="000000"/>
            <w:u w:val="single"/>
          </w:rPr>
          <w:t xml:space="preserve"> </w:t>
        </w:r>
        <w:r w:rsidRPr="00DB6505">
          <w:rPr>
            <w:rFonts w:eastAsia="Times New Roman"/>
            <w:color w:val="1155CC"/>
            <w:u w:val="single"/>
          </w:rPr>
          <w:t>https://defensoria.ma.def.br</w:t>
        </w:r>
      </w:hyperlink>
      <w:r w:rsidRPr="00DB6505">
        <w:rPr>
          <w:rFonts w:eastAsia="Times New Roman"/>
          <w:color w:val="000000"/>
        </w:rPr>
        <w:t>. Acesso em: 03 fev. 2025.</w:t>
      </w:r>
    </w:p>
    <w:p w14:paraId="5A772AE3"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rPr>
        <w:t xml:space="preserve">DEFENSORIA PÚBLICA DO ESTADO DO MARANHÃO (DPE/MA). </w:t>
      </w:r>
      <w:r w:rsidRPr="00DB6505">
        <w:rPr>
          <w:rFonts w:eastAsia="Times New Roman"/>
          <w:i/>
          <w:iCs/>
          <w:color w:val="000000"/>
        </w:rPr>
        <w:t>Plano Institucional para Erradicação do Sub-registro de Nascimento</w:t>
      </w:r>
      <w:r w:rsidRPr="00DB6505">
        <w:rPr>
          <w:rFonts w:eastAsia="Times New Roman"/>
          <w:color w:val="000000"/>
        </w:rPr>
        <w:t>. São Luís: DPE-MA, 2023. Disponível em:</w:t>
      </w:r>
      <w:hyperlink r:id="rId13" w:history="1">
        <w:r w:rsidRPr="00DB6505">
          <w:rPr>
            <w:rFonts w:eastAsia="Times New Roman"/>
            <w:color w:val="000000"/>
            <w:u w:val="single"/>
          </w:rPr>
          <w:t xml:space="preserve"> </w:t>
        </w:r>
        <w:r w:rsidRPr="00DB6505">
          <w:rPr>
            <w:rFonts w:eastAsia="Times New Roman"/>
            <w:color w:val="1155CC"/>
            <w:u w:val="single"/>
          </w:rPr>
          <w:t>https://defensoria.ma.def.br</w:t>
        </w:r>
      </w:hyperlink>
      <w:r w:rsidRPr="00DB6505">
        <w:rPr>
          <w:rFonts w:eastAsia="Times New Roman"/>
          <w:color w:val="000000"/>
        </w:rPr>
        <w:t>. Acesso em: 03 fev. 2025.</w:t>
      </w:r>
    </w:p>
    <w:p w14:paraId="28B53091"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rPr>
        <w:t xml:space="preserve">DINIZ, Débora. </w:t>
      </w:r>
      <w:proofErr w:type="spellStart"/>
      <w:r w:rsidRPr="00DB6505">
        <w:rPr>
          <w:rFonts w:eastAsia="Times New Roman"/>
          <w:i/>
          <w:iCs/>
          <w:color w:val="000000"/>
        </w:rPr>
        <w:t>Subregistro</w:t>
      </w:r>
      <w:proofErr w:type="spellEnd"/>
      <w:r w:rsidRPr="00DB6505">
        <w:rPr>
          <w:rFonts w:eastAsia="Times New Roman"/>
          <w:i/>
          <w:iCs/>
          <w:color w:val="000000"/>
        </w:rPr>
        <w:t xml:space="preserve"> e invisibilidade jurídica no Brasil contemporâneo</w:t>
      </w:r>
      <w:r w:rsidRPr="00DB6505">
        <w:rPr>
          <w:rFonts w:eastAsia="Times New Roman"/>
          <w:color w:val="000000"/>
        </w:rPr>
        <w:t>. Revista Direitos Humanos, v. 16, n. 1, p. 45–60, 2020.</w:t>
      </w:r>
    </w:p>
    <w:p w14:paraId="4A14E5F2"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rPr>
        <w:t xml:space="preserve">DONZELOT, Jacques. </w:t>
      </w:r>
      <w:r w:rsidRPr="00DB6505">
        <w:rPr>
          <w:rFonts w:eastAsia="Times New Roman"/>
          <w:i/>
          <w:iCs/>
          <w:color w:val="000000"/>
        </w:rPr>
        <w:t>A polícia das famílias</w:t>
      </w:r>
      <w:r w:rsidRPr="00DB6505">
        <w:rPr>
          <w:rFonts w:eastAsia="Times New Roman"/>
          <w:color w:val="000000"/>
        </w:rPr>
        <w:t>. Rio de Janeiro: Graal, 1979.</w:t>
      </w:r>
    </w:p>
    <w:p w14:paraId="1EC64264"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rPr>
        <w:t xml:space="preserve">ESCÓSSIA, Fernanda. “Sou uma pessoa que não existe”: identidade, direitos e cidadania nas trajetórias de brasileiros sem documento. In: COLÓQUIO SEMIÓTICA DAS MÍDIAS, 7., 2018, Japaratinga. </w:t>
      </w:r>
      <w:r w:rsidRPr="00DB6505">
        <w:rPr>
          <w:rFonts w:eastAsia="Times New Roman"/>
          <w:i/>
          <w:iCs/>
          <w:color w:val="000000"/>
        </w:rPr>
        <w:t>Anais...</w:t>
      </w:r>
      <w:r w:rsidRPr="00DB6505">
        <w:rPr>
          <w:rFonts w:eastAsia="Times New Roman"/>
          <w:color w:val="000000"/>
        </w:rPr>
        <w:t>. Japaratinga: CISECO, 2018.</w:t>
      </w:r>
    </w:p>
    <w:p w14:paraId="36EDC920"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rPr>
        <w:t xml:space="preserve">MARSHALL, Thomas H. </w:t>
      </w:r>
      <w:r w:rsidRPr="00DB6505">
        <w:rPr>
          <w:rFonts w:eastAsia="Times New Roman"/>
          <w:i/>
          <w:iCs/>
          <w:color w:val="000000"/>
        </w:rPr>
        <w:t>Cidadania, classe social e status</w:t>
      </w:r>
      <w:r w:rsidRPr="00DB6505">
        <w:rPr>
          <w:rFonts w:eastAsia="Times New Roman"/>
          <w:color w:val="000000"/>
        </w:rPr>
        <w:t>. Rio de Janeiro: Zahar, 1967.</w:t>
      </w:r>
    </w:p>
    <w:p w14:paraId="5B499F73"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rPr>
        <w:t xml:space="preserve">PEREIRA, Amanda. </w:t>
      </w:r>
      <w:r w:rsidRPr="00DB6505">
        <w:rPr>
          <w:rFonts w:eastAsia="Times New Roman"/>
          <w:i/>
          <w:iCs/>
          <w:color w:val="000000"/>
        </w:rPr>
        <w:t>Território e cidadania: os desafios do sub-registro entre os povos indígenas</w:t>
      </w:r>
      <w:r w:rsidRPr="00DB6505">
        <w:rPr>
          <w:rFonts w:eastAsia="Times New Roman"/>
          <w:color w:val="000000"/>
        </w:rPr>
        <w:t>. Revista Brasileira de Políticas Públicas, v. 14, n. 3, p. 120–136, 2022.</w:t>
      </w:r>
    </w:p>
    <w:p w14:paraId="3276DBEA"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rPr>
        <w:t xml:space="preserve">PETROCELLI, A. B.; FERMENTÃO, C. A. G. R. </w:t>
      </w:r>
      <w:r w:rsidRPr="00DB6505">
        <w:rPr>
          <w:rFonts w:eastAsia="Times New Roman"/>
          <w:i/>
          <w:iCs/>
          <w:color w:val="000000"/>
        </w:rPr>
        <w:t>Pessoas invisíveis: o sub-registro de nascimento no Brasil e a violação aos direitos da personalidade</w:t>
      </w:r>
      <w:r w:rsidRPr="00DB6505">
        <w:rPr>
          <w:rFonts w:eastAsia="Times New Roman"/>
          <w:color w:val="000000"/>
        </w:rPr>
        <w:t>. Revista de Estudos Jurídicos da UNESP, v. 27, n. 46, p. 14–28, 2023.</w:t>
      </w:r>
    </w:p>
    <w:p w14:paraId="14DF7162" w14:textId="77777777" w:rsidR="00DB6505" w:rsidRPr="00DB6505" w:rsidRDefault="00DB6505" w:rsidP="00DB6505">
      <w:pPr>
        <w:spacing w:before="240" w:after="240" w:line="240" w:lineRule="auto"/>
        <w:ind w:firstLine="0"/>
        <w:rPr>
          <w:rFonts w:ascii="Times New Roman" w:eastAsia="Times New Roman" w:hAnsi="Times New Roman" w:cs="Times New Roman"/>
          <w:lang w:val="en-US"/>
        </w:rPr>
      </w:pPr>
      <w:r w:rsidRPr="00DB6505">
        <w:rPr>
          <w:rFonts w:eastAsia="Times New Roman"/>
          <w:color w:val="000000"/>
        </w:rPr>
        <w:t xml:space="preserve">SILVA, Tomás Tadeu da. </w:t>
      </w:r>
      <w:r w:rsidRPr="00DB6505">
        <w:rPr>
          <w:rFonts w:eastAsia="Times New Roman"/>
          <w:i/>
          <w:iCs/>
          <w:color w:val="000000"/>
        </w:rPr>
        <w:t>Documentos de identidade: uma introdução às teorias do currículo</w:t>
      </w:r>
      <w:r w:rsidRPr="00DB6505">
        <w:rPr>
          <w:rFonts w:eastAsia="Times New Roman"/>
          <w:color w:val="000000"/>
        </w:rPr>
        <w:t xml:space="preserve">. </w:t>
      </w:r>
      <w:r w:rsidRPr="00DB6505">
        <w:rPr>
          <w:rFonts w:eastAsia="Times New Roman"/>
          <w:color w:val="000000"/>
          <w:lang w:val="en-US"/>
        </w:rPr>
        <w:t>Belo Horizonte: Autêntica, 2001.</w:t>
      </w:r>
    </w:p>
    <w:p w14:paraId="5B0D7A1E" w14:textId="77777777" w:rsidR="00DB6505" w:rsidRPr="00DB6505" w:rsidRDefault="00DB6505" w:rsidP="00DB6505">
      <w:pPr>
        <w:spacing w:before="240" w:after="240" w:line="240" w:lineRule="auto"/>
        <w:ind w:firstLine="0"/>
        <w:rPr>
          <w:rFonts w:ascii="Times New Roman" w:eastAsia="Times New Roman" w:hAnsi="Times New Roman" w:cs="Times New Roman"/>
        </w:rPr>
      </w:pPr>
      <w:r w:rsidRPr="00DB6505">
        <w:rPr>
          <w:rFonts w:eastAsia="Times New Roman"/>
          <w:color w:val="000000"/>
          <w:lang w:val="en-US"/>
        </w:rPr>
        <w:t xml:space="preserve">UNITED NATIONS CHILDREN’S FUND (UNICEF). </w:t>
      </w:r>
      <w:r w:rsidRPr="00DB6505">
        <w:rPr>
          <w:rFonts w:eastAsia="Times New Roman"/>
          <w:i/>
          <w:iCs/>
          <w:color w:val="000000"/>
          <w:lang w:val="en-US"/>
        </w:rPr>
        <w:t>Birth registration for every child by 2030: are we on track?</w:t>
      </w:r>
      <w:r w:rsidRPr="00DB6505">
        <w:rPr>
          <w:rFonts w:eastAsia="Times New Roman"/>
          <w:color w:val="000000"/>
          <w:lang w:val="en-US"/>
        </w:rPr>
        <w:t xml:space="preserve"> </w:t>
      </w:r>
      <w:r w:rsidRPr="00DB6505">
        <w:rPr>
          <w:rFonts w:eastAsia="Times New Roman"/>
          <w:color w:val="000000"/>
        </w:rPr>
        <w:t>New York: UNICEF, 2019. Disponível em:</w:t>
      </w:r>
      <w:hyperlink r:id="rId14" w:history="1">
        <w:r w:rsidRPr="00DB6505">
          <w:rPr>
            <w:rFonts w:eastAsia="Times New Roman"/>
            <w:color w:val="000000"/>
            <w:u w:val="single"/>
          </w:rPr>
          <w:t xml:space="preserve"> </w:t>
        </w:r>
        <w:r w:rsidRPr="00DB6505">
          <w:rPr>
            <w:rFonts w:eastAsia="Times New Roman"/>
            <w:color w:val="1155CC"/>
            <w:u w:val="single"/>
          </w:rPr>
          <w:t>https://www.unicef.org/media/62981/file/Birth-registration-for-every-child-by-2030.pdf</w:t>
        </w:r>
      </w:hyperlink>
      <w:r w:rsidRPr="00DB6505">
        <w:rPr>
          <w:rFonts w:eastAsia="Times New Roman"/>
          <w:color w:val="000000"/>
        </w:rPr>
        <w:t>. Acesso em: 01 fev. 2025.</w:t>
      </w:r>
    </w:p>
    <w:p w14:paraId="0000004D" w14:textId="4315969F" w:rsidR="004D28AA" w:rsidRPr="00DB6505" w:rsidRDefault="008A0D28" w:rsidP="00DB6505">
      <w:pPr>
        <w:spacing w:line="360" w:lineRule="auto"/>
        <w:ind w:firstLine="0"/>
      </w:pPr>
      <w:r>
        <w:rPr>
          <w:rFonts w:eastAsia="Calibri"/>
          <w:sz w:val="20"/>
          <w:szCs w:val="20"/>
        </w:rPr>
        <w:t xml:space="preserve">¹ </w:t>
      </w:r>
      <w:r w:rsidRPr="008A0D28">
        <w:rPr>
          <w:rFonts w:eastAsia="Calibri"/>
          <w:sz w:val="20"/>
          <w:szCs w:val="20"/>
        </w:rPr>
        <w:t>Políticas Intersetoriais - Conjunto de ações coordenadas entre diversos setores e atores, com abordagem integrada para problemas complexos e com interação entre vários fatores. Isso significa planejar ações que integrem educação, saúde, assistência social, transporte e segurança, dentre outros.</w:t>
      </w:r>
    </w:p>
    <w:sectPr w:rsidR="004D28AA" w:rsidRPr="00DB6505" w:rsidSect="008400F4">
      <w:headerReference w:type="even" r:id="rId15"/>
      <w:headerReference w:type="default" r:id="rId16"/>
      <w:footerReference w:type="even" r:id="rId17"/>
      <w:footerReference w:type="default" r:id="rId18"/>
      <w:headerReference w:type="first" r:id="rId19"/>
      <w:footerReference w:type="first" r:id="rId20"/>
      <w:pgSz w:w="11909" w:h="16834"/>
      <w:pgMar w:top="1701" w:right="1134" w:bottom="1134" w:left="1701" w:header="3401" w:footer="720"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u" w:date="2025-06-26T01:03:00Z" w:initials="">
    <w:p w14:paraId="0000004F" w14:textId="77777777" w:rsidR="004D28AA" w:rsidRDefault="008A0D28">
      <w:pPr>
        <w:widowControl w:val="0"/>
        <w:pBdr>
          <w:top w:val="nil"/>
          <w:left w:val="nil"/>
          <w:bottom w:val="nil"/>
          <w:right w:val="nil"/>
          <w:between w:val="nil"/>
        </w:pBdr>
        <w:spacing w:line="240" w:lineRule="auto"/>
        <w:ind w:firstLine="0"/>
        <w:jc w:val="left"/>
        <w:rPr>
          <w:color w:val="000000"/>
          <w:sz w:val="22"/>
          <w:szCs w:val="22"/>
        </w:rPr>
      </w:pPr>
      <w:r>
        <w:rPr>
          <w:color w:val="000000"/>
          <w:sz w:val="22"/>
          <w:szCs w:val="22"/>
        </w:rPr>
        <w:t>Acho que seria interessante citar algumas dessas políticas, lei n° ...., mas é um preferência minha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4F"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4F" w16cid:durableId="000000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F1F6D" w14:textId="77777777" w:rsidR="000B30AB" w:rsidRDefault="000B30AB">
      <w:pPr>
        <w:spacing w:line="240" w:lineRule="auto"/>
      </w:pPr>
      <w:r>
        <w:separator/>
      </w:r>
    </w:p>
  </w:endnote>
  <w:endnote w:type="continuationSeparator" w:id="0">
    <w:p w14:paraId="05528AFA" w14:textId="77777777" w:rsidR="000B30AB" w:rsidRDefault="000B30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60A74" w14:textId="77777777" w:rsidR="008C45CB" w:rsidRDefault="008C45C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FDD4A" w14:textId="6577FDF4" w:rsidR="008C45CB" w:rsidRDefault="008C45C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17879" w14:textId="77777777" w:rsidR="008C45CB" w:rsidRDefault="008C45C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55450" w14:textId="77777777" w:rsidR="000B30AB" w:rsidRDefault="000B30AB">
      <w:pPr>
        <w:spacing w:line="240" w:lineRule="auto"/>
      </w:pPr>
      <w:r>
        <w:separator/>
      </w:r>
    </w:p>
  </w:footnote>
  <w:footnote w:type="continuationSeparator" w:id="0">
    <w:p w14:paraId="7180B2A8" w14:textId="77777777" w:rsidR="000B30AB" w:rsidRDefault="000B30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B88A9" w14:textId="77777777" w:rsidR="008C45CB" w:rsidRDefault="008C45C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4D28AA" w:rsidRDefault="008A0D28">
    <w:r>
      <w:rPr>
        <w:noProof/>
      </w:rPr>
      <w:drawing>
        <wp:anchor distT="0" distB="0" distL="0" distR="0" simplePos="0" relativeHeight="251658240" behindDoc="1" locked="0" layoutInCell="1" hidden="0" allowOverlap="1" wp14:anchorId="67229590" wp14:editId="193A785E">
          <wp:simplePos x="0" y="0"/>
          <wp:positionH relativeFrom="page">
            <wp:posOffset>0</wp:posOffset>
          </wp:positionH>
          <wp:positionV relativeFrom="page">
            <wp:posOffset>6985</wp:posOffset>
          </wp:positionV>
          <wp:extent cx="7563485" cy="107276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49D2B" w14:textId="77777777" w:rsidR="008C45CB" w:rsidRDefault="008C45CB">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8AA"/>
    <w:rsid w:val="0009764F"/>
    <w:rsid w:val="000B30AB"/>
    <w:rsid w:val="000D43AD"/>
    <w:rsid w:val="001A7F98"/>
    <w:rsid w:val="001D7B65"/>
    <w:rsid w:val="002554C5"/>
    <w:rsid w:val="00347B7E"/>
    <w:rsid w:val="003C0FB2"/>
    <w:rsid w:val="003D518D"/>
    <w:rsid w:val="004A0016"/>
    <w:rsid w:val="004D28AA"/>
    <w:rsid w:val="00511346"/>
    <w:rsid w:val="00623870"/>
    <w:rsid w:val="00684D01"/>
    <w:rsid w:val="006B4F0A"/>
    <w:rsid w:val="0072151F"/>
    <w:rsid w:val="007569DB"/>
    <w:rsid w:val="007B1139"/>
    <w:rsid w:val="007E3605"/>
    <w:rsid w:val="007F063F"/>
    <w:rsid w:val="008400F4"/>
    <w:rsid w:val="008810B7"/>
    <w:rsid w:val="008A049F"/>
    <w:rsid w:val="008A0D28"/>
    <w:rsid w:val="008C45CB"/>
    <w:rsid w:val="008E32C3"/>
    <w:rsid w:val="00904BF1"/>
    <w:rsid w:val="00A652AE"/>
    <w:rsid w:val="00AD3EF9"/>
    <w:rsid w:val="00AE3BAC"/>
    <w:rsid w:val="00B344E0"/>
    <w:rsid w:val="00BA6765"/>
    <w:rsid w:val="00BD51B6"/>
    <w:rsid w:val="00C14F0E"/>
    <w:rsid w:val="00CA6366"/>
    <w:rsid w:val="00DB6505"/>
    <w:rsid w:val="00DE06FB"/>
    <w:rsid w:val="00EB5086"/>
    <w:rsid w:val="00EE4972"/>
    <w:rsid w:val="00EE7DF5"/>
    <w:rsid w:val="00F94B37"/>
    <w:rsid w:val="00FC57BA"/>
    <w:rsid w:val="00FE04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0FB32"/>
  <w15:docId w15:val="{6B8FBD45-D461-4C69-B3CF-27699AB78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t-BR" w:eastAsia="pt-BR" w:bidi="ar-SA"/>
      </w:rPr>
    </w:rPrDefault>
    <w:pPrDefault>
      <w:pPr>
        <w:spacing w:line="276"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DB6505"/>
    <w:rPr>
      <w:color w:val="0000FF" w:themeColor="hyperlink"/>
      <w:u w:val="single"/>
    </w:rPr>
  </w:style>
  <w:style w:type="character" w:styleId="MenoPendente">
    <w:name w:val="Unresolved Mention"/>
    <w:basedOn w:val="Fontepargpadro"/>
    <w:uiPriority w:val="99"/>
    <w:semiHidden/>
    <w:unhideWhenUsed/>
    <w:rsid w:val="00DB6505"/>
    <w:rPr>
      <w:color w:val="605E5C"/>
      <w:shd w:val="clear" w:color="auto" w:fill="E1DFDD"/>
    </w:rPr>
  </w:style>
  <w:style w:type="paragraph" w:styleId="Cabealho">
    <w:name w:val="header"/>
    <w:basedOn w:val="Normal"/>
    <w:link w:val="CabealhoChar"/>
    <w:uiPriority w:val="99"/>
    <w:unhideWhenUsed/>
    <w:rsid w:val="008C45CB"/>
    <w:pPr>
      <w:tabs>
        <w:tab w:val="center" w:pos="4252"/>
        <w:tab w:val="right" w:pos="8504"/>
      </w:tabs>
      <w:spacing w:line="240" w:lineRule="auto"/>
    </w:pPr>
  </w:style>
  <w:style w:type="character" w:customStyle="1" w:styleId="CabealhoChar">
    <w:name w:val="Cabeçalho Char"/>
    <w:basedOn w:val="Fontepargpadro"/>
    <w:link w:val="Cabealho"/>
    <w:uiPriority w:val="99"/>
    <w:rsid w:val="008C45CB"/>
  </w:style>
  <w:style w:type="paragraph" w:styleId="Rodap">
    <w:name w:val="footer"/>
    <w:basedOn w:val="Normal"/>
    <w:link w:val="RodapChar"/>
    <w:uiPriority w:val="99"/>
    <w:unhideWhenUsed/>
    <w:rsid w:val="008C45CB"/>
    <w:pPr>
      <w:tabs>
        <w:tab w:val="center" w:pos="4252"/>
        <w:tab w:val="right" w:pos="8504"/>
      </w:tabs>
      <w:spacing w:line="240" w:lineRule="auto"/>
    </w:pPr>
  </w:style>
  <w:style w:type="character" w:customStyle="1" w:styleId="RodapChar">
    <w:name w:val="Rodapé Char"/>
    <w:basedOn w:val="Fontepargpadro"/>
    <w:link w:val="Rodap"/>
    <w:uiPriority w:val="99"/>
    <w:rsid w:val="008C4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507466">
      <w:bodyDiv w:val="1"/>
      <w:marLeft w:val="0"/>
      <w:marRight w:val="0"/>
      <w:marTop w:val="0"/>
      <w:marBottom w:val="0"/>
      <w:divBdr>
        <w:top w:val="none" w:sz="0" w:space="0" w:color="auto"/>
        <w:left w:val="none" w:sz="0" w:space="0" w:color="auto"/>
        <w:bottom w:val="none" w:sz="0" w:space="0" w:color="auto"/>
        <w:right w:val="none" w:sz="0" w:space="0" w:color="auto"/>
      </w:divBdr>
    </w:div>
    <w:div w:id="1106072602">
      <w:bodyDiv w:val="1"/>
      <w:marLeft w:val="0"/>
      <w:marRight w:val="0"/>
      <w:marTop w:val="0"/>
      <w:marBottom w:val="0"/>
      <w:divBdr>
        <w:top w:val="none" w:sz="0" w:space="0" w:color="auto"/>
        <w:left w:val="none" w:sz="0" w:space="0" w:color="auto"/>
        <w:bottom w:val="none" w:sz="0" w:space="0" w:color="auto"/>
        <w:right w:val="none" w:sz="0" w:space="0" w:color="auto"/>
      </w:divBdr>
    </w:div>
    <w:div w:id="1349021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 /><Relationship Id="rId13" Type="http://schemas.openxmlformats.org/officeDocument/2006/relationships/hyperlink" Target="https://defensoria.ma.def.br" TargetMode="External" /><Relationship Id="rId18" Type="http://schemas.openxmlformats.org/officeDocument/2006/relationships/footer" Target="footer2.xml" /><Relationship Id="rId3" Type="http://schemas.openxmlformats.org/officeDocument/2006/relationships/settings" Target="settings.xml" /><Relationship Id="rId21" Type="http://schemas.openxmlformats.org/officeDocument/2006/relationships/fontTable" Target="fontTable.xml" /><Relationship Id="rId7" Type="http://schemas.openxmlformats.org/officeDocument/2006/relationships/comments" Target="comments.xml" /><Relationship Id="rId12" Type="http://schemas.openxmlformats.org/officeDocument/2006/relationships/hyperlink" Target="https://defensoria.ma.def.br" TargetMode="External" /><Relationship Id="rId17" Type="http://schemas.openxmlformats.org/officeDocument/2006/relationships/footer" Target="footer1.xml" /><Relationship Id="rId2" Type="http://schemas.openxmlformats.org/officeDocument/2006/relationships/styles" Target="styles.xml" /><Relationship Id="rId16" Type="http://schemas.openxmlformats.org/officeDocument/2006/relationships/header" Target="header2.xml" /><Relationship Id="rId20" Type="http://schemas.openxmlformats.org/officeDocument/2006/relationships/footer" Target="footer3.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hyperlink" Target="https://www.cnj.jus.br/programas-e-acoes/registre-se" TargetMode="External" /><Relationship Id="rId5" Type="http://schemas.openxmlformats.org/officeDocument/2006/relationships/footnotes" Target="footnotes.xml" /><Relationship Id="rId15" Type="http://schemas.openxmlformats.org/officeDocument/2006/relationships/header" Target="header1.xml" /><Relationship Id="rId10" Type="http://schemas.openxmlformats.org/officeDocument/2006/relationships/hyperlink" Target="http://www.arpensp.org.br" TargetMode="External" /><Relationship Id="rId19" Type="http://schemas.openxmlformats.org/officeDocument/2006/relationships/header" Target="header3.xml" /><Relationship Id="rId4" Type="http://schemas.openxmlformats.org/officeDocument/2006/relationships/webSettings" Target="webSettings.xml" /><Relationship Id="rId9" Type="http://schemas.microsoft.com/office/2016/09/relationships/commentsIds" Target="commentsIds.xml" /><Relationship Id="rId14" Type="http://schemas.openxmlformats.org/officeDocument/2006/relationships/hyperlink" Target="https://www.unicef.org/media/62981/file/Birth-registration-for-every-child-by-2030.pdf" TargetMode="External" /><Relationship Id="rId22" Type="http://schemas.openxmlformats.org/officeDocument/2006/relationships/theme" Target="theme/theme1.xml" /></Relationships>
</file>

<file path=word/_rels/header2.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sVXcfWkfMQQ60/7XWrE8HPMAAw==">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3847</Words>
  <Characters>20778</Characters>
  <Application>Microsoft Office Word</Application>
  <DocSecurity>0</DocSecurity>
  <Lines>173</Lines>
  <Paragraphs>49</Paragraphs>
  <ScaleCrop>false</ScaleCrop>
  <Company/>
  <LinksUpToDate>false</LinksUpToDate>
  <CharactersWithSpaces>24576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LEPENG</dc:creator>
  <cp:lastModifiedBy>Roberto Victor Costa Batista</cp:lastModifiedBy>
  <cp:revision>2</cp:revision>
  <dcterms:created xsi:type="dcterms:W3CDTF">2025-07-06T17:02:00Z</dcterms:created>
  <dcterms:modified xsi:type="dcterms:W3CDTF">2025-07-06T17:02:00Z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2025-06-26T22:54:59Z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90d47fd9-7107-4539-b408-f0bbc85a33ca</vt:lpwstr>
  </property>
  <property fmtid="{D5CDD505-2E9C-101B-9397-08002B2CF9AE}" pid="7" name="MSIP_Label_defa4170-0d19-0005-0004-bc88714345d2_ActionId">
    <vt:lpwstr>6b247723-e897-48da-9d7d-799fd133c6f9</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