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right="0" w:hanging="2"/>
        <w:jc w:val="center"/>
        <w:rPr>
          <w:b w:val="1"/>
          <w:sz w:val="24"/>
          <w:szCs w:val="24"/>
        </w:rPr>
      </w:pPr>
      <w:r w:rsidDel="00000000" w:rsidR="00000000" w:rsidRPr="00000000">
        <w:rPr>
          <w:b w:val="1"/>
          <w:sz w:val="24"/>
          <w:szCs w:val="24"/>
          <w:rtl w:val="0"/>
        </w:rPr>
        <w:t xml:space="preserve">REGISTRO MENSAL DE ATENDIMENTO: </w:t>
      </w:r>
      <w:r w:rsidDel="00000000" w:rsidR="00000000" w:rsidRPr="00000000">
        <w:rPr>
          <w:sz w:val="24"/>
          <w:szCs w:val="24"/>
          <w:rtl w:val="0"/>
        </w:rPr>
        <w:t xml:space="preserve">crianças e adolescentes vítimas de abuso sexual no Rio Grande do Norte</w:t>
      </w:r>
      <w:r w:rsidDel="00000000" w:rsidR="00000000" w:rsidRPr="00000000">
        <w:rPr>
          <w:rtl w:val="0"/>
        </w:rPr>
      </w:r>
    </w:p>
    <w:p w:rsidR="00000000" w:rsidDel="00000000" w:rsidP="00000000" w:rsidRDefault="00000000" w:rsidRPr="00000000" w14:paraId="00000002">
      <w:pPr>
        <w:spacing w:before="240" w:lineRule="auto"/>
        <w:ind w:left="0" w:hanging="2"/>
        <w:jc w:val="center"/>
        <w:rPr>
          <w:sz w:val="24"/>
          <w:szCs w:val="24"/>
        </w:rPr>
      </w:pPr>
      <w:r w:rsidDel="00000000" w:rsidR="00000000" w:rsidRPr="00000000">
        <w:rPr>
          <w:b w:val="1"/>
          <w:color w:val="1f1f1f"/>
          <w:sz w:val="24"/>
          <w:szCs w:val="24"/>
          <w:rtl w:val="0"/>
        </w:rPr>
        <w:t xml:space="preserve">MONTHLY SERVICE RECORD: </w:t>
      </w:r>
      <w:r w:rsidDel="00000000" w:rsidR="00000000" w:rsidRPr="00000000">
        <w:rPr>
          <w:color w:val="1f1f1f"/>
          <w:sz w:val="24"/>
          <w:szCs w:val="24"/>
          <w:rtl w:val="0"/>
        </w:rPr>
        <w:t xml:space="preserve">children and adolescents victims of sexual abuse in Rio Grande do Norte </w:t>
      </w:r>
      <w:r w:rsidDel="00000000" w:rsidR="00000000" w:rsidRPr="00000000">
        <w:rPr>
          <w:rtl w:val="0"/>
        </w:rPr>
      </w:r>
    </w:p>
    <w:p w:rsidR="00000000" w:rsidDel="00000000" w:rsidP="00000000" w:rsidRDefault="00000000" w:rsidRPr="00000000" w14:paraId="00000003">
      <w:pPr>
        <w:ind w:left="0" w:right="0" w:hanging="2"/>
        <w:jc w:val="right"/>
        <w:rPr>
          <w:sz w:val="24"/>
          <w:szCs w:val="24"/>
        </w:rPr>
      </w:pPr>
      <w:r w:rsidDel="00000000" w:rsidR="00000000" w:rsidRPr="00000000">
        <w:rPr>
          <w:sz w:val="24"/>
          <w:szCs w:val="24"/>
          <w:rtl w:val="0"/>
        </w:rPr>
        <w:t xml:space="preserve">Cassia Castilho Marotti</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0" w:hanging="2"/>
        <w:jc w:val="right"/>
        <w:rPr>
          <w:sz w:val="24"/>
          <w:szCs w:val="24"/>
        </w:rPr>
      </w:pPr>
      <w:r w:rsidDel="00000000" w:rsidR="00000000" w:rsidRPr="00000000">
        <w:rPr>
          <w:sz w:val="20"/>
          <w:szCs w:val="20"/>
          <w:rtl w:val="0"/>
        </w:rPr>
        <w:t xml:space="preserve">           </w:t>
      </w:r>
      <w:r w:rsidDel="00000000" w:rsidR="00000000" w:rsidRPr="00000000">
        <w:rPr>
          <w:sz w:val="24"/>
          <w:szCs w:val="24"/>
          <w:rtl w:val="0"/>
        </w:rPr>
        <w:t xml:space="preserve">Elida Joyce de Oliveira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0" w:hanging="2"/>
        <w:jc w:val="right"/>
        <w:rPr>
          <w:sz w:val="24"/>
          <w:szCs w:val="24"/>
        </w:rPr>
      </w:pPr>
      <w:r w:rsidDel="00000000" w:rsidR="00000000" w:rsidRPr="00000000">
        <w:rPr>
          <w:sz w:val="20"/>
          <w:szCs w:val="20"/>
          <w:rtl w:val="0"/>
        </w:rPr>
        <w:t xml:space="preserve">           </w:t>
      </w:r>
      <w:r w:rsidDel="00000000" w:rsidR="00000000" w:rsidRPr="00000000">
        <w:rPr>
          <w:sz w:val="24"/>
          <w:szCs w:val="24"/>
          <w:rtl w:val="0"/>
        </w:rPr>
        <w:t xml:space="preserve">Edvânia Freitas de Lima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240" w:lineRule="auto"/>
        <w:ind w:left="0" w:hanging="2"/>
        <w:jc w:val="right"/>
        <w:rPr>
          <w:sz w:val="24"/>
          <w:szCs w:val="24"/>
        </w:rPr>
      </w:pPr>
      <w:r w:rsidDel="00000000" w:rsidR="00000000" w:rsidRPr="00000000">
        <w:rPr>
          <w:sz w:val="20"/>
          <w:szCs w:val="20"/>
          <w:rtl w:val="0"/>
        </w:rPr>
        <w:t xml:space="preserve">           </w:t>
      </w:r>
      <w:r w:rsidDel="00000000" w:rsidR="00000000" w:rsidRPr="00000000">
        <w:rPr>
          <w:sz w:val="24"/>
          <w:szCs w:val="24"/>
          <w:rtl w:val="0"/>
        </w:rPr>
        <w:t xml:space="preserve">Matheus Fortunato Barbosa Gomes</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0" w:hanging="2"/>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8">
      <w:pPr>
        <w:ind w:left="0" w:right="0" w:hanging="2"/>
        <w:jc w:val="both"/>
        <w:rPr>
          <w:sz w:val="20"/>
          <w:szCs w:val="20"/>
        </w:rPr>
      </w:pPr>
      <w:r w:rsidDel="00000000" w:rsidR="00000000" w:rsidRPr="00000000">
        <w:rPr>
          <w:sz w:val="20"/>
          <w:szCs w:val="20"/>
          <w:rtl w:val="0"/>
        </w:rPr>
        <w:t xml:space="preserve">O artigo tem como finalidade analisar os dados do ano de 2024 das crianças e adolescentes vítimas de abuso sexual do Rio Grande do Norte (RN) extraídos do Registro Mensal de Atendimento (RMA) vinculada à Secretaria Nacional de Assistência Social (SNAS), com a finalidade de contribuir para uma reflexão crítica e propositiva acerca de crianças e adolescentes vítimas de abuso sexual. Para construção deste artigo, utilizou-se a observação registrada nas bases de dados RMA CREAS, pesquisa bibliográfica, a partir de Legislações como: a Política Nacional de Assistência Social, Lei Orgânica da Assistência Social, tendo em vista que as referidas legislações</w:t>
      </w:r>
      <w:r w:rsidDel="00000000" w:rsidR="00000000" w:rsidRPr="00000000">
        <w:rPr>
          <w:color w:val="6aa84f"/>
          <w:sz w:val="20"/>
          <w:szCs w:val="20"/>
          <w:rtl w:val="0"/>
        </w:rPr>
        <w:t xml:space="preserve"> </w:t>
      </w:r>
      <w:r w:rsidDel="00000000" w:rsidR="00000000" w:rsidRPr="00000000">
        <w:rPr>
          <w:sz w:val="20"/>
          <w:szCs w:val="20"/>
          <w:rtl w:val="0"/>
        </w:rPr>
        <w:t xml:space="preserve">que </w:t>
      </w:r>
      <w:r w:rsidDel="00000000" w:rsidR="00000000" w:rsidRPr="00000000">
        <w:rPr>
          <w:color w:val="000000"/>
          <w:sz w:val="20"/>
          <w:szCs w:val="20"/>
          <w:rtl w:val="0"/>
        </w:rPr>
        <w:t xml:space="preserve">consideram crianças e adolescentes como um dos públicos prioritários no desenvolvimento d</w:t>
      </w:r>
      <w:r w:rsidDel="00000000" w:rsidR="00000000" w:rsidRPr="00000000">
        <w:rPr>
          <w:sz w:val="20"/>
          <w:szCs w:val="20"/>
          <w:rtl w:val="0"/>
        </w:rPr>
        <w:t xml:space="preserve">as ofertas da p</w:t>
      </w:r>
      <w:r w:rsidDel="00000000" w:rsidR="00000000" w:rsidRPr="00000000">
        <w:rPr>
          <w:color w:val="000000"/>
          <w:sz w:val="20"/>
          <w:szCs w:val="20"/>
          <w:rtl w:val="0"/>
        </w:rPr>
        <w:t xml:space="preserve">olítica. Além </w:t>
      </w:r>
      <w:r w:rsidDel="00000000" w:rsidR="00000000" w:rsidRPr="00000000">
        <w:rPr>
          <w:sz w:val="20"/>
          <w:szCs w:val="20"/>
          <w:rtl w:val="0"/>
        </w:rPr>
        <w:t xml:space="preserve">disso, a Constituição Federal de 1988, Estatuto da Criança e Adolescente e estudos de autores que discutem o abuso e a exploração sexual de crianças e adolescentes</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09">
      <w:pPr>
        <w:ind w:left="0" w:right="0" w:hanging="2"/>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Sistema Único de Assistência Social; Abuso Sexual; Criança e Adolescente.</w:t>
      </w:r>
    </w:p>
    <w:p w:rsidR="00000000" w:rsidDel="00000000" w:rsidP="00000000" w:rsidRDefault="00000000" w:rsidRPr="00000000" w14:paraId="0000000A">
      <w:pPr>
        <w:ind w:left="0" w:right="0" w:hanging="2"/>
        <w:jc w:val="both"/>
        <w:rPr>
          <w:sz w:val="20"/>
          <w:szCs w:val="20"/>
        </w:rPr>
      </w:pPr>
      <w:r w:rsidDel="00000000" w:rsidR="00000000" w:rsidRPr="00000000">
        <w:rPr>
          <w:rtl w:val="0"/>
        </w:rPr>
      </w:r>
    </w:p>
    <w:p w:rsidR="00000000" w:rsidDel="00000000" w:rsidP="00000000" w:rsidRDefault="00000000" w:rsidRPr="00000000" w14:paraId="0000000B">
      <w:pPr>
        <w:spacing w:line="240" w:lineRule="auto"/>
        <w:ind w:left="0" w:hanging="2"/>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Abstract</w:t>
      </w:r>
    </w:p>
    <w:p w:rsidR="00000000" w:rsidDel="00000000" w:rsidP="00000000" w:rsidRDefault="00000000" w:rsidRPr="00000000" w14:paraId="0000000C">
      <w:pPr>
        <w:spacing w:line="240" w:lineRule="auto"/>
        <w:ind w:left="0" w:hanging="2"/>
        <w:jc w:val="both"/>
        <w:rPr>
          <w:sz w:val="20"/>
          <w:szCs w:val="20"/>
        </w:rPr>
      </w:pPr>
      <w:r w:rsidDel="00000000" w:rsidR="00000000" w:rsidRPr="00000000">
        <w:rPr>
          <w:color w:val="1f1f1f"/>
          <w:sz w:val="20"/>
          <w:szCs w:val="20"/>
          <w:rtl w:val="0"/>
        </w:rPr>
        <w:t xml:space="preserve">The article aims to analyze data from the year 2024 on children and adolescents who were victims of sexual abuse in Rio Grande do Norte (RN) extracted from the Monthly Service Record (RMA) linked to the National Secretariat for Social Assistance (SNAS), with the aim of contributing to a critical and purposeful reflection on children and adolescents who are victims of sexual abuse. To construct this article, we used the observation recorded in the RMA CREAS databases, bibliographic research based on legislation such as the National Social Assistance Policy and the Organic Law of Social Assistance, considering that these laws consider children and adolescents as one of the priority audiences in the development of the policy. In addition, the Federal Constitution of 1988, the Statute of Children and Adolescents and studies by authors who discuss the sexual abuse and exploitation of children and adolescents</w:t>
      </w:r>
      <w:r w:rsidDel="00000000" w:rsidR="00000000" w:rsidRPr="00000000">
        <w:rPr>
          <w:rtl w:val="0"/>
        </w:rPr>
      </w:r>
    </w:p>
    <w:p w:rsidR="00000000" w:rsidDel="00000000" w:rsidP="00000000" w:rsidRDefault="00000000" w:rsidRPr="00000000" w14:paraId="0000000D">
      <w:pPr>
        <w:spacing w:line="240" w:lineRule="auto"/>
        <w:ind w:left="0" w:hanging="2"/>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w:t>
      </w:r>
      <w:r w:rsidDel="00000000" w:rsidR="00000000" w:rsidRPr="00000000">
        <w:rPr>
          <w:color w:val="1f1f1f"/>
          <w:sz w:val="20"/>
          <w:szCs w:val="20"/>
          <w:rtl w:val="0"/>
        </w:rPr>
        <w:t xml:space="preserve">Unified Social Assistance System; Sexual Abuse; Children and Adolescents.</w:t>
      </w:r>
      <w:r w:rsidDel="00000000" w:rsidR="00000000" w:rsidRPr="00000000">
        <w:rPr>
          <w:rtl w:val="0"/>
        </w:rPr>
      </w:r>
    </w:p>
    <w:p w:rsidR="00000000" w:rsidDel="00000000" w:rsidP="00000000" w:rsidRDefault="00000000" w:rsidRPr="00000000" w14:paraId="0000000E">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0F">
      <w:pPr>
        <w:spacing w:after="240" w:line="240" w:lineRule="auto"/>
        <w:ind w:left="0" w:hanging="2"/>
        <w:rPr>
          <w:sz w:val="24"/>
          <w:szCs w:val="24"/>
        </w:rPr>
      </w:pPr>
      <w:r w:rsidDel="00000000" w:rsidR="00000000" w:rsidRPr="00000000">
        <w:rPr>
          <w:b w:val="1"/>
          <w:sz w:val="24"/>
          <w:szCs w:val="24"/>
          <w:rtl w:val="0"/>
        </w:rPr>
        <w:t xml:space="preserve">1. </w:t>
        <w:tab/>
        <w:t xml:space="preserve">INTRODUÇÃO</w:t>
      </w:r>
      <w:r w:rsidDel="00000000" w:rsidR="00000000" w:rsidRPr="00000000">
        <w:rPr>
          <w:rtl w:val="0"/>
        </w:rPr>
      </w:r>
    </w:p>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360" w:lineRule="auto"/>
        <w:ind w:left="0" w:right="80" w:firstLine="709"/>
        <w:jc w:val="both"/>
        <w:rPr>
          <w:color w:val="000000"/>
          <w:sz w:val="24"/>
          <w:szCs w:val="24"/>
        </w:rPr>
      </w:pPr>
      <w:r w:rsidDel="00000000" w:rsidR="00000000" w:rsidRPr="00000000">
        <w:rPr>
          <w:color w:val="000000"/>
          <w:sz w:val="24"/>
          <w:szCs w:val="24"/>
          <w:rtl w:val="0"/>
        </w:rPr>
        <w:t xml:space="preserve">O presente artigo tem como finalidade analisar os dados do ano de 2024 das crianças e adolescentes vítimas de abuso sexual do Rio Grande do Norte (RN) extraídos do Registro Mensal de Atendimento (RMA) que é uma ferramenta onde são registradas informações sobre o volume de atendimentos e alguns perfis de famílias e indivíduos atendidos/acompanhados no Centro de Referência Especializada de Assistência Social (CREAS). </w:t>
      </w:r>
    </w:p>
    <w:p w:rsidR="00000000" w:rsidDel="00000000" w:rsidP="00000000" w:rsidRDefault="00000000" w:rsidRPr="00000000" w14:paraId="00000011">
      <w:pPr>
        <w:spacing w:line="360" w:lineRule="auto"/>
        <w:ind w:left="0" w:firstLine="709"/>
        <w:jc w:val="both"/>
        <w:rPr>
          <w:color w:val="000000"/>
          <w:sz w:val="24"/>
          <w:szCs w:val="24"/>
        </w:rPr>
      </w:pPr>
      <w:r w:rsidDel="00000000" w:rsidR="00000000" w:rsidRPr="00000000">
        <w:rPr>
          <w:sz w:val="24"/>
          <w:szCs w:val="24"/>
          <w:rtl w:val="0"/>
        </w:rPr>
        <w:t xml:space="preserve">O CREAS é uma unidade pública e estatal, de abrangência municipal ou regional, que oferta, obrigatoriamente, o Serviço de Proteção e Atendimento Especializado a Famílias e Indivíduos (PAEFI). Diante disso</w:t>
      </w:r>
      <w:r w:rsidDel="00000000" w:rsidR="00000000" w:rsidRPr="00000000">
        <w:rPr>
          <w:color w:val="000000"/>
          <w:sz w:val="24"/>
          <w:szCs w:val="24"/>
          <w:rtl w:val="0"/>
        </w:rPr>
        <w:t xml:space="preserve">, o registro das informações no RMA busca padronizar os dados acerca dos serviços ofertados nestas unidades em âmbito nacional, com informações consistentes que contribuam para o desenvolvimento do Sistema Único de Assistência Social (SUAS). Na medida em que tais informações são registradas mensalmente pelas unidades, é possível mapear tanto a oferta de determinados serviços, quanto o volume de atendimentos.</w:t>
      </w:r>
    </w:p>
    <w:p w:rsidR="00000000" w:rsidDel="00000000" w:rsidP="00000000" w:rsidRDefault="00000000" w:rsidRPr="00000000" w14:paraId="00000012">
      <w:pPr>
        <w:spacing w:line="360" w:lineRule="auto"/>
        <w:ind w:left="-2" w:firstLine="708"/>
        <w:jc w:val="both"/>
        <w:rPr>
          <w:sz w:val="24"/>
          <w:szCs w:val="24"/>
        </w:rPr>
      </w:pPr>
      <w:r w:rsidDel="00000000" w:rsidR="00000000" w:rsidRPr="00000000">
        <w:rPr>
          <w:sz w:val="24"/>
          <w:szCs w:val="24"/>
          <w:rtl w:val="0"/>
        </w:rPr>
        <w:t xml:space="preserve">O RMA CREAS é composto por quatro blocos sendo, Bloco I (PAEFI), Bloco II Atendimento realizado no CREAS e Bloco III (Serviço de Proteção Social a Adolescente em Cumprimento de Medida Socioeducativa - LA/PSC), Bloco IV Serviço Especializado em Abordagem Social. De forma mais específica, para o presente artigo será realizado a análise, dos dados obtidos no Bloco I – PAEFI, com ênfase nas situações de violação e violência que acometem crianças e adolescentes, a saber: C.2 Crianças ou adolescentes vítimas de abuso sexual. </w:t>
      </w:r>
    </w:p>
    <w:p w:rsidR="00000000" w:rsidDel="00000000" w:rsidP="00000000" w:rsidRDefault="00000000" w:rsidRPr="00000000" w14:paraId="00000013">
      <w:pPr>
        <w:spacing w:line="360" w:lineRule="auto"/>
        <w:ind w:left="-2" w:right="0" w:firstLine="708"/>
        <w:jc w:val="both"/>
        <w:rPr>
          <w:color w:val="ff0000"/>
          <w:sz w:val="24"/>
          <w:szCs w:val="24"/>
        </w:rPr>
      </w:pPr>
      <w:bookmarkStart w:colFirst="0" w:colLast="0" w:name="_heading=h.fz7wativ7kw5" w:id="0"/>
      <w:bookmarkEnd w:id="0"/>
      <w:r w:rsidDel="00000000" w:rsidR="00000000" w:rsidRPr="00000000">
        <w:rPr>
          <w:sz w:val="24"/>
          <w:szCs w:val="24"/>
          <w:rtl w:val="0"/>
        </w:rPr>
        <w:t xml:space="preserve">Para construção do artigo utilizou-se das informações</w:t>
      </w:r>
      <w:r w:rsidDel="00000000" w:rsidR="00000000" w:rsidRPr="00000000">
        <w:rPr>
          <w:color w:val="ff0000"/>
          <w:sz w:val="24"/>
          <w:szCs w:val="24"/>
          <w:rtl w:val="0"/>
        </w:rPr>
        <w:t xml:space="preserve"> </w:t>
      </w:r>
      <w:r w:rsidDel="00000000" w:rsidR="00000000" w:rsidRPr="00000000">
        <w:rPr>
          <w:sz w:val="24"/>
          <w:szCs w:val="24"/>
          <w:rtl w:val="0"/>
        </w:rPr>
        <w:t xml:space="preserve">registradas nas bases de dados RMA CREAS do ano de 2024, pesquisa bibliográfica a partir de Legislações como a Política Nacional de Assistência Social, Lei Orgânica da Assistência Social (LOAS), Constituição Federal de 1988, Estatuto da Criança e Adolescente e estudos de autores que discutem o abuso sexual de crianças e adolescentes.</w:t>
      </w:r>
      <w:r w:rsidDel="00000000" w:rsidR="00000000" w:rsidRPr="00000000">
        <w:rPr>
          <w:rtl w:val="0"/>
        </w:rPr>
      </w:r>
    </w:p>
    <w:p w:rsidR="00000000" w:rsidDel="00000000" w:rsidP="00000000" w:rsidRDefault="00000000" w:rsidRPr="00000000" w14:paraId="00000014">
      <w:pPr>
        <w:spacing w:line="360" w:lineRule="auto"/>
        <w:ind w:left="-2" w:right="0" w:firstLine="708"/>
        <w:jc w:val="both"/>
        <w:rPr>
          <w:sz w:val="24"/>
          <w:szCs w:val="24"/>
        </w:rPr>
      </w:pPr>
      <w:r w:rsidDel="00000000" w:rsidR="00000000" w:rsidRPr="00000000">
        <w:rPr>
          <w:sz w:val="24"/>
          <w:szCs w:val="24"/>
          <w:rtl w:val="0"/>
        </w:rPr>
        <w:t xml:space="preserve">Para atingir o objetivo proposto, o artigo está dividido em seções, incluindo a introdução e as considerações finais. A segunda seção traz o referencial teórico, em que aborda as mencionadas legislações, bem como a temática do abuso sexual infantil. A terceira seção discorre sobre a análise dos dados obtidos da Base de Dados contidos na planilha disponibilizada pela Coordenação Geral de Vigilância Socioassistencial (CGVIS), vinculada à Secretaria Nacional de Assistência Social (SNAS), do Ministério do Desenvolvimento e Assistência</w:t>
      </w:r>
      <w:r w:rsidDel="00000000" w:rsidR="00000000" w:rsidRPr="00000000">
        <w:rPr>
          <w:b w:val="1"/>
          <w:sz w:val="24"/>
          <w:szCs w:val="24"/>
          <w:rtl w:val="0"/>
        </w:rPr>
        <w:t xml:space="preserve"> </w:t>
      </w:r>
      <w:r w:rsidDel="00000000" w:rsidR="00000000" w:rsidRPr="00000000">
        <w:rPr>
          <w:sz w:val="24"/>
          <w:szCs w:val="24"/>
          <w:rtl w:val="0"/>
        </w:rPr>
        <w:t xml:space="preserve">Social, Família e Combate à Fome (MDS) e, por fim as considerações finais que não tem a pretensão de esgotar sobre o tema, mas de contribuir para novas reflexões. </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pacing w:after="240" w:before="240" w:line="240" w:lineRule="auto"/>
        <w:ind w:left="0" w:right="113" w:hanging="2"/>
        <w:jc w:val="both"/>
        <w:rPr>
          <w:color w:val="000000"/>
          <w:sz w:val="24"/>
          <w:szCs w:val="24"/>
        </w:rPr>
      </w:pPr>
      <w:r w:rsidDel="00000000" w:rsidR="00000000" w:rsidRPr="00000000">
        <w:rPr>
          <w:b w:val="1"/>
          <w:color w:val="000000"/>
          <w:sz w:val="24"/>
          <w:szCs w:val="24"/>
          <w:rtl w:val="0"/>
        </w:rPr>
        <w:t xml:space="preserve">2. P</w:t>
      </w:r>
      <w:r w:rsidDel="00000000" w:rsidR="00000000" w:rsidRPr="00000000">
        <w:rPr>
          <w:b w:val="1"/>
          <w:sz w:val="24"/>
          <w:szCs w:val="24"/>
          <w:rtl w:val="0"/>
        </w:rPr>
        <w:t xml:space="preserve">ROTEÇÃO</w:t>
      </w:r>
      <w:r w:rsidDel="00000000" w:rsidR="00000000" w:rsidRPr="00000000">
        <w:rPr>
          <w:b w:val="1"/>
          <w:color w:val="000000"/>
          <w:sz w:val="24"/>
          <w:szCs w:val="24"/>
          <w:rtl w:val="0"/>
        </w:rPr>
        <w:t xml:space="preserve"> S</w:t>
      </w:r>
      <w:r w:rsidDel="00000000" w:rsidR="00000000" w:rsidRPr="00000000">
        <w:rPr>
          <w:b w:val="1"/>
          <w:sz w:val="24"/>
          <w:szCs w:val="24"/>
          <w:rtl w:val="0"/>
        </w:rPr>
        <w:t xml:space="preserve">OCIAL</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E</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O</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ENFRENTAMENTO</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AO</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ABUSO SEXUAL DE CRIANÇAS E ADOLESCENTES</w:t>
      </w:r>
      <w:r w:rsidDel="00000000" w:rsidR="00000000" w:rsidRPr="00000000">
        <w:rPr>
          <w:rtl w:val="0"/>
        </w:rPr>
      </w:r>
    </w:p>
    <w:p w:rsidR="00000000" w:rsidDel="00000000" w:rsidP="00000000" w:rsidRDefault="00000000" w:rsidRPr="00000000" w14:paraId="00000016">
      <w:pPr>
        <w:spacing w:line="360" w:lineRule="auto"/>
        <w:ind w:left="-2" w:firstLine="708"/>
        <w:jc w:val="both"/>
        <w:rPr>
          <w:sz w:val="24"/>
          <w:szCs w:val="24"/>
        </w:rPr>
      </w:pPr>
      <w:r w:rsidDel="00000000" w:rsidR="00000000" w:rsidRPr="00000000">
        <w:rPr>
          <w:sz w:val="24"/>
          <w:szCs w:val="24"/>
          <w:rtl w:val="0"/>
        </w:rPr>
        <w:t xml:space="preserve">As consequências da violência praticada em crianças e adolescentes produzem inúmeros impactos que poderão deixar marcas e sequelas, muitas vezes irreversíveis, se não ocorrer um atendimento adequado e fundamentado em uma política de atendimento integral a essa parcela da população.</w:t>
      </w:r>
    </w:p>
    <w:p w:rsidR="00000000" w:rsidDel="00000000" w:rsidP="00000000" w:rsidRDefault="00000000" w:rsidRPr="00000000" w14:paraId="00000017">
      <w:pPr>
        <w:spacing w:line="360" w:lineRule="auto"/>
        <w:ind w:left="0" w:hanging="2"/>
        <w:jc w:val="both"/>
        <w:rPr>
          <w:sz w:val="24"/>
          <w:szCs w:val="24"/>
        </w:rPr>
      </w:pPr>
      <w:r w:rsidDel="00000000" w:rsidR="00000000" w:rsidRPr="00000000">
        <w:rPr>
          <w:sz w:val="24"/>
          <w:szCs w:val="24"/>
          <w:rtl w:val="0"/>
        </w:rPr>
        <w:t xml:space="preserve">Acerca da compreensão sobre abuso sexual, segundo Sanderson (2005) ela é definida como:</w:t>
      </w:r>
    </w:p>
    <w:p w:rsidR="00000000" w:rsidDel="00000000" w:rsidP="00000000" w:rsidRDefault="00000000" w:rsidRPr="00000000" w14:paraId="00000018">
      <w:pPr>
        <w:spacing w:after="240" w:line="240" w:lineRule="auto"/>
        <w:ind w:left="2268" w:hanging="1.9999999999998863"/>
        <w:jc w:val="both"/>
        <w:rPr>
          <w:sz w:val="20"/>
          <w:szCs w:val="20"/>
        </w:rPr>
      </w:pPr>
      <w:r w:rsidDel="00000000" w:rsidR="00000000" w:rsidRPr="00000000">
        <w:rPr>
          <w:sz w:val="20"/>
          <w:szCs w:val="20"/>
          <w:rtl w:val="0"/>
        </w:rPr>
        <w:t xml:space="preserve">O envolvimento de crianças e adolescentes dependentes em atividades sexuais com um adulto ou com qualquer pessoa um pouco mais velha ou maior, em que haja uma diferença de idade, de tamanho ou de poder, em que a criança é usada como objeto sexual para a gratificação das necessidades ou dos desejos, para a qual ela é incapaz de dar um consentimento consciente por causa do desequilíbrio no poder, ou de qualquer incapacidade mental ou física. Essa definição exclui atividade consensual entre colegas (SANDERSON, 2005, p.17 </w:t>
      </w:r>
      <w:r w:rsidDel="00000000" w:rsidR="00000000" w:rsidRPr="00000000">
        <w:rPr>
          <w:i w:val="1"/>
          <w:sz w:val="20"/>
          <w:szCs w:val="20"/>
          <w:rtl w:val="0"/>
        </w:rPr>
        <w:t xml:space="preserve">apud </w:t>
      </w:r>
      <w:r w:rsidDel="00000000" w:rsidR="00000000" w:rsidRPr="00000000">
        <w:rPr>
          <w:sz w:val="20"/>
          <w:szCs w:val="20"/>
          <w:rtl w:val="0"/>
        </w:rPr>
        <w:t xml:space="preserve">SANTOS; COSTA, 2011, p.530).</w:t>
      </w:r>
    </w:p>
    <w:p w:rsidR="00000000" w:rsidDel="00000000" w:rsidP="00000000" w:rsidRDefault="00000000" w:rsidRPr="00000000" w14:paraId="00000019">
      <w:pPr>
        <w:spacing w:line="360" w:lineRule="auto"/>
        <w:ind w:left="-2" w:firstLine="708"/>
        <w:jc w:val="both"/>
        <w:rPr>
          <w:b w:val="1"/>
          <w:color w:val="ff0000"/>
        </w:rPr>
      </w:pPr>
      <w:r w:rsidDel="00000000" w:rsidR="00000000" w:rsidRPr="00000000">
        <w:rPr>
          <w:sz w:val="24"/>
          <w:szCs w:val="24"/>
          <w:rtl w:val="0"/>
        </w:rPr>
        <w:t xml:space="preserve">A partir dessa compreensão, é possível mensurar a complexidade da situação que perpassa o cotidiano de muitas das crianças e adolescentes do nosso país, sobretudo aquelas que já vivem em situação de vulnerabilidade social, provenientes das condições socioeconômicas de sua família. Além disso, é necessário enfatizar que a maior parte dos casos de abuso sexual são intrafamiliar, ou seja, acontece dentro da própria família, o agressor é uma pessoa que possui algum laço de consanguinidade com a vítima. </w:t>
      </w:r>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2" w:firstLine="708"/>
        <w:jc w:val="both"/>
        <w:rPr>
          <w:color w:val="000000"/>
          <w:sz w:val="24"/>
          <w:szCs w:val="24"/>
          <w:shd w:fill="auto" w:val="clear"/>
        </w:rPr>
      </w:pPr>
      <w:r w:rsidDel="00000000" w:rsidR="00000000" w:rsidRPr="00000000">
        <w:rPr>
          <w:color w:val="000000"/>
          <w:sz w:val="24"/>
          <w:szCs w:val="24"/>
          <w:shd w:fill="auto" w:val="clear"/>
          <w:rtl w:val="0"/>
        </w:rPr>
        <w:t xml:space="preserve">Dessa maneira, a Política preconiza que a proteção social deve garantir as seguranças de sobrevivência (de rendimento e de autonomia); de acolhida; de convívio ou vivência familiar. Nessa perspectiva, a Política Pública de Assistência Social “marca sua especificidade no campo das políticas sociais” (PNAS,2024, p.33) pois configura responsabilidades de Estado e exige que as provisões assistenciais sejam prioritariamente pensadas no contexto das garantias de cidadania sob a atenção do Estado, tocando a “este a universalização da cobertura e a garantia de direitos e acesso para serviços, programas e projetos sob sua responsabilidade”. (PNAS, 2024, p.33)</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left="-2" w:firstLine="708"/>
        <w:jc w:val="both"/>
        <w:rPr>
          <w:color w:val="000000"/>
          <w:sz w:val="24"/>
          <w:szCs w:val="24"/>
        </w:rPr>
      </w:pPr>
      <w:r w:rsidDel="00000000" w:rsidR="00000000" w:rsidRPr="00000000">
        <w:rPr>
          <w:sz w:val="24"/>
          <w:szCs w:val="24"/>
          <w:rtl w:val="0"/>
        </w:rPr>
        <w:t xml:space="preserve">Nesse ínterim, é salutar a compreensão mais amiúde da estrutura a que se propõe a política de assistência social a partir do entendimento sobre</w:t>
      </w:r>
      <w:r w:rsidDel="00000000" w:rsidR="00000000" w:rsidRPr="00000000">
        <w:rPr>
          <w:color w:val="000000"/>
          <w:sz w:val="24"/>
          <w:szCs w:val="24"/>
          <w:rtl w:val="0"/>
        </w:rPr>
        <w:t xml:space="preserve"> o significado </w:t>
      </w:r>
      <w:r w:rsidDel="00000000" w:rsidR="00000000" w:rsidRPr="00000000">
        <w:rPr>
          <w:b w:val="1"/>
          <w:color w:val="ff0000"/>
          <w:sz w:val="24"/>
          <w:szCs w:val="24"/>
          <w:rtl w:val="0"/>
        </w:rPr>
        <w:t xml:space="preserve"> </w:t>
      </w:r>
      <w:r w:rsidDel="00000000" w:rsidR="00000000" w:rsidRPr="00000000">
        <w:rPr>
          <w:sz w:val="24"/>
          <w:szCs w:val="24"/>
          <w:rtl w:val="0"/>
        </w:rPr>
        <w:t xml:space="preserve">das modalidades de proteção social previstas PNAS (2004) quais sejam: a</w:t>
      </w:r>
      <w:r w:rsidDel="00000000" w:rsidR="00000000" w:rsidRPr="00000000">
        <w:rPr>
          <w:color w:val="000000"/>
          <w:sz w:val="24"/>
          <w:szCs w:val="24"/>
          <w:rtl w:val="0"/>
        </w:rPr>
        <w:t xml:space="preserve"> Proteção Social Básica e Proteção Social Especial, tendo em vista a relevância dos referidos conceitos para a </w:t>
      </w:r>
      <w:r w:rsidDel="00000000" w:rsidR="00000000" w:rsidRPr="00000000">
        <w:rPr>
          <w:sz w:val="24"/>
          <w:szCs w:val="24"/>
          <w:rtl w:val="0"/>
        </w:rPr>
        <w:t xml:space="preserve">compreensão dos serviços socioassistenciais previstos nesta política pública.</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Assim, de acordo com a PNAS (2004): </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after="240" w:line="240" w:lineRule="auto"/>
        <w:ind w:left="2268" w:hanging="1.9999999999998863"/>
        <w:jc w:val="both"/>
        <w:rPr>
          <w:color w:val="000000"/>
          <w:sz w:val="24"/>
          <w:szCs w:val="24"/>
        </w:rPr>
      </w:pPr>
      <w:r w:rsidDel="00000000" w:rsidR="00000000" w:rsidRPr="00000000">
        <w:rPr>
          <w:color w:val="000000"/>
          <w:sz w:val="20"/>
          <w:szCs w:val="20"/>
          <w:rtl w:val="0"/>
        </w:rPr>
        <w:t xml:space="preserve">A proteção social básica tem como objetivos prevenir situações de risco por meio do desenvolvimento de potencialidades e aquisições, e o fortalecimento de vínculos familiares e comunitários. Destina-se à população que vive em situação de vulnerabilidade social decorrente da pobreza, privação e, ou, fragilização de vínculos afetivos – relacionais e de pertencimento social. [...]</w:t>
      </w:r>
      <w:r w:rsidDel="00000000" w:rsidR="00000000" w:rsidRPr="00000000">
        <w:rPr>
          <w:color w:val="000000"/>
          <w:sz w:val="24"/>
          <w:szCs w:val="24"/>
          <w:rtl w:val="0"/>
        </w:rPr>
        <w:t xml:space="preserve"> </w:t>
      </w:r>
      <w:r w:rsidDel="00000000" w:rsidR="00000000" w:rsidRPr="00000000">
        <w:rPr>
          <w:color w:val="000000"/>
          <w:sz w:val="20"/>
          <w:szCs w:val="20"/>
          <w:rtl w:val="0"/>
        </w:rPr>
        <w:t xml:space="preserve">A proteção social especial é a modalidade de atendimento assistencial destinada a famílias e indivíduos que se encontram em situação de risco pessoal e social, por ocorrência de abandono, maus tratos físicos e, ou, psíquicos, abuso sexual, uso de substâncias psicoativas, cumprimento de medidas socioeducativas, situação de rua, situação de trabalho infantil, entre outras (PNAS, 2004, p. 34 e 38).</w:t>
      </w:r>
      <w:r w:rsidDel="00000000" w:rsidR="00000000" w:rsidRPr="00000000">
        <w:rPr>
          <w:rtl w:val="0"/>
        </w:rPr>
      </w:r>
    </w:p>
    <w:p w:rsidR="00000000" w:rsidDel="00000000" w:rsidP="00000000" w:rsidRDefault="00000000" w:rsidRPr="00000000" w14:paraId="0000001D">
      <w:pPr>
        <w:widowControl w:val="0"/>
        <w:pBdr>
          <w:top w:color="000000" w:space="0" w:sz="0" w:val="none"/>
          <w:left w:color="000000" w:space="0" w:sz="0" w:val="none"/>
          <w:bottom w:color="000000" w:space="0" w:sz="0" w:val="none"/>
          <w:right w:color="000000" w:space="0" w:sz="0" w:val="none"/>
          <w:between w:color="000000" w:space="0" w:sz="0" w:val="none"/>
        </w:pBdr>
        <w:spacing w:line="360" w:lineRule="auto"/>
        <w:ind w:left="-2" w:right="80" w:firstLine="708"/>
        <w:jc w:val="both"/>
        <w:rPr>
          <w:color w:val="000000"/>
          <w:sz w:val="24"/>
          <w:szCs w:val="24"/>
        </w:rPr>
      </w:pPr>
      <w:r w:rsidDel="00000000" w:rsidR="00000000" w:rsidRPr="00000000">
        <w:rPr>
          <w:color w:val="000000"/>
          <w:sz w:val="24"/>
          <w:szCs w:val="24"/>
          <w:rtl w:val="0"/>
        </w:rPr>
        <w:t xml:space="preserve">Diante da elucidação do significado das referidas proteções, sob a luz da PNAS, cabe mencionar, que para atender os objetivos do presente artigo, se faz necessário discorrer sobre o RMA, uma vez que </w:t>
      </w:r>
      <w:r w:rsidDel="00000000" w:rsidR="00000000" w:rsidRPr="00000000">
        <w:rPr>
          <w:sz w:val="24"/>
          <w:szCs w:val="24"/>
          <w:rtl w:val="0"/>
        </w:rPr>
        <w:t xml:space="preserve">as análises apresentadas neste artigo, foram extraídas a partir da base de dados desse sistema eletrônico, que agrega um conjunto de informações registradas pelas equipes das gestões municipais do SUAS acerca do trabalho social ofertado no âmbito do CREAS.</w:t>
      </w:r>
      <w:r w:rsidDel="00000000" w:rsidR="00000000" w:rsidRPr="00000000">
        <w:rPr>
          <w:color w:val="000000"/>
          <w:sz w:val="24"/>
          <w:szCs w:val="24"/>
          <w:rtl w:val="0"/>
        </w:rPr>
        <w:t xml:space="preserve"> Assim o RMA é um instrumento </w:t>
      </w:r>
      <w:r w:rsidDel="00000000" w:rsidR="00000000" w:rsidRPr="00000000">
        <w:rPr>
          <w:sz w:val="24"/>
          <w:szCs w:val="24"/>
          <w:rtl w:val="0"/>
        </w:rPr>
        <w:t xml:space="preserve">de</w:t>
      </w:r>
      <w:r w:rsidDel="00000000" w:rsidR="00000000" w:rsidRPr="00000000">
        <w:rPr>
          <w:color w:val="000000"/>
          <w:sz w:val="24"/>
          <w:szCs w:val="24"/>
          <w:rtl w:val="0"/>
        </w:rPr>
        <w:t xml:space="preserve"> registr</w:t>
      </w:r>
      <w:r w:rsidDel="00000000" w:rsidR="00000000" w:rsidRPr="00000000">
        <w:rPr>
          <w:sz w:val="24"/>
          <w:szCs w:val="24"/>
          <w:rtl w:val="0"/>
        </w:rPr>
        <w:t xml:space="preserve">o das</w:t>
      </w:r>
      <w:r w:rsidDel="00000000" w:rsidR="00000000" w:rsidRPr="00000000">
        <w:rPr>
          <w:color w:val="000000"/>
          <w:sz w:val="24"/>
          <w:szCs w:val="24"/>
          <w:rtl w:val="0"/>
        </w:rPr>
        <w:t xml:space="preserve"> informações sobre o volume de atendimentos e alguns perfis de famílias e indivíduos atendidos/acompanhados nos Centro de Referência da Assistência Social (CRAS), CREAS e Centro de Referência Especializado para População em Situação de Rua (Centro Pop). </w:t>
      </w:r>
      <w:r w:rsidDel="00000000" w:rsidR="00000000" w:rsidRPr="00000000">
        <w:rPr>
          <w:sz w:val="24"/>
          <w:szCs w:val="24"/>
          <w:rtl w:val="0"/>
        </w:rPr>
        <w:t xml:space="preserve">A</w:t>
      </w:r>
      <w:r w:rsidDel="00000000" w:rsidR="00000000" w:rsidRPr="00000000">
        <w:rPr>
          <w:color w:val="000000"/>
          <w:sz w:val="24"/>
          <w:szCs w:val="24"/>
          <w:rtl w:val="0"/>
        </w:rPr>
        <w:t xml:space="preserve"> equipe estadual de Vigilância Socioassistencial do Rio Grande do Norte monitora desde </w:t>
      </w:r>
      <w:r w:rsidDel="00000000" w:rsidR="00000000" w:rsidRPr="00000000">
        <w:rPr>
          <w:sz w:val="24"/>
          <w:szCs w:val="24"/>
          <w:rtl w:val="0"/>
        </w:rPr>
        <w:t xml:space="preserve">2020</w:t>
      </w:r>
      <w:r w:rsidDel="00000000" w:rsidR="00000000" w:rsidRPr="00000000">
        <w:rPr>
          <w:color w:val="000000"/>
          <w:sz w:val="24"/>
          <w:szCs w:val="24"/>
          <w:rtl w:val="0"/>
        </w:rPr>
        <w:t xml:space="preserve"> o processo de preenchimento do RMA, bem como realiza apoios técnicos </w:t>
      </w:r>
      <w:r w:rsidDel="00000000" w:rsidR="00000000" w:rsidRPr="00000000">
        <w:rPr>
          <w:sz w:val="24"/>
          <w:szCs w:val="24"/>
          <w:rtl w:val="0"/>
        </w:rPr>
        <w:t xml:space="preserve">às equipes</w:t>
      </w:r>
      <w:r w:rsidDel="00000000" w:rsidR="00000000" w:rsidRPr="00000000">
        <w:rPr>
          <w:color w:val="000000"/>
          <w:sz w:val="24"/>
          <w:szCs w:val="24"/>
          <w:rtl w:val="0"/>
        </w:rPr>
        <w:t xml:space="preserve"> municipais para garantir a qualificação das informações.</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line="360" w:lineRule="auto"/>
        <w:ind w:left="-2" w:firstLine="708"/>
        <w:jc w:val="both"/>
        <w:rPr>
          <w:color w:val="000000"/>
          <w:sz w:val="24"/>
          <w:szCs w:val="24"/>
        </w:rPr>
      </w:pPr>
      <w:r w:rsidDel="00000000" w:rsidR="00000000" w:rsidRPr="00000000">
        <w:rPr>
          <w:sz w:val="24"/>
          <w:szCs w:val="24"/>
          <w:rtl w:val="0"/>
        </w:rPr>
        <w:t xml:space="preserve">N</w:t>
      </w:r>
      <w:r w:rsidDel="00000000" w:rsidR="00000000" w:rsidRPr="00000000">
        <w:rPr>
          <w:color w:val="000000"/>
          <w:sz w:val="24"/>
          <w:szCs w:val="24"/>
          <w:rtl w:val="0"/>
        </w:rPr>
        <w:t xml:space="preserve">o que se refere à situação de violência e violação de direitos, e de forma mais </w:t>
      </w:r>
      <w:r w:rsidDel="00000000" w:rsidR="00000000" w:rsidRPr="00000000">
        <w:rPr>
          <w:sz w:val="24"/>
          <w:szCs w:val="24"/>
          <w:rtl w:val="0"/>
        </w:rPr>
        <w:t xml:space="preserve">específica,</w:t>
      </w:r>
      <w:r w:rsidDel="00000000" w:rsidR="00000000" w:rsidRPr="00000000">
        <w:rPr>
          <w:color w:val="000000"/>
          <w:sz w:val="24"/>
          <w:szCs w:val="24"/>
          <w:rtl w:val="0"/>
        </w:rPr>
        <w:t xml:space="preserve"> o abuso sexual, no qual crianças e adolescentes estão inseridas, se faz necessário contextualizar de que forma os direitos das crianças e adolescentes </w:t>
      </w:r>
      <w:r w:rsidDel="00000000" w:rsidR="00000000" w:rsidRPr="00000000">
        <w:rPr>
          <w:sz w:val="24"/>
          <w:szCs w:val="24"/>
          <w:rtl w:val="0"/>
        </w:rPr>
        <w:t xml:space="preserve">vêm</w:t>
      </w:r>
      <w:r w:rsidDel="00000000" w:rsidR="00000000" w:rsidRPr="00000000">
        <w:rPr>
          <w:color w:val="000000"/>
          <w:sz w:val="24"/>
          <w:szCs w:val="24"/>
          <w:rtl w:val="0"/>
        </w:rPr>
        <w:t xml:space="preserve"> sendo concebidos ao longo da história no Brasil. </w:t>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line="360" w:lineRule="auto"/>
        <w:ind w:left="-2" w:firstLine="708"/>
        <w:jc w:val="both"/>
        <w:rPr>
          <w:color w:val="000000"/>
          <w:sz w:val="24"/>
          <w:szCs w:val="24"/>
        </w:rPr>
      </w:pPr>
      <w:r w:rsidDel="00000000" w:rsidR="00000000" w:rsidRPr="00000000">
        <w:rPr>
          <w:color w:val="000000"/>
          <w:sz w:val="24"/>
          <w:szCs w:val="24"/>
          <w:rtl w:val="0"/>
        </w:rPr>
        <w:t xml:space="preserve">Nessa perspectiva, os direitos da criança e adolescente, tem como respaldo o Marco Jurídico Internacional a Declaração Universal dos Direitos da Criança publicada em 1959 pela UNICEF, que afirma, em seu princípio IV, o direito à alimentação, moradia e assistência médica. </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pacing w:line="360" w:lineRule="auto"/>
        <w:ind w:left="-2" w:firstLine="708"/>
        <w:jc w:val="both"/>
        <w:rPr>
          <w:color w:val="ff0000"/>
          <w:sz w:val="24"/>
          <w:szCs w:val="24"/>
        </w:rPr>
      </w:pPr>
      <w:r w:rsidDel="00000000" w:rsidR="00000000" w:rsidRPr="00000000">
        <w:rPr>
          <w:color w:val="000000"/>
          <w:sz w:val="24"/>
          <w:szCs w:val="24"/>
          <w:rtl w:val="0"/>
        </w:rPr>
        <w:t xml:space="preserve">O Estatuto da Criança e do Adolescente (ECA), desde a sua entrada em vigor através da Lei 8.069/90, trouxe uma série de normas e direitos visando à proteção integral e garantias às crianças e adolescentes. O artigo 2º do ECA, define criança como: “aquela pessoa até doze anos de idade incompletos, e adolescentes, aquela entre doze e dezoito anos de idade”.  </w:t>
      </w:r>
      <w:r w:rsidDel="00000000" w:rsidR="00000000" w:rsidRPr="00000000">
        <w:rPr>
          <w:rtl w:val="0"/>
        </w:rPr>
      </w:r>
    </w:p>
    <w:p w:rsidR="00000000" w:rsidDel="00000000" w:rsidP="00000000" w:rsidRDefault="00000000" w:rsidRPr="00000000" w14:paraId="00000021">
      <w:pPr>
        <w:spacing w:line="360" w:lineRule="auto"/>
        <w:ind w:left="-2" w:firstLine="708"/>
        <w:jc w:val="both"/>
        <w:rPr>
          <w:sz w:val="24"/>
          <w:szCs w:val="24"/>
        </w:rPr>
      </w:pPr>
      <w:r w:rsidDel="00000000" w:rsidR="00000000" w:rsidRPr="00000000">
        <w:rPr>
          <w:sz w:val="24"/>
          <w:szCs w:val="24"/>
          <w:rtl w:val="0"/>
        </w:rPr>
        <w:t xml:space="preserve">É importante salientar ainda, que o Estatuto da Criança e do Adolescente trouxe em seu escopo, a finalidade de demonstrar a importância de um trabalho articulado, compartilhado e eficaz para que se alcance resultados positivos nessa árdua batalha da violência contra crianças e adolescentes, a fim de que possam gozar de todos os direitos inerentes à pessoa humana, conforme preconiza o Estatuto da Criança e do Adolescente em seu art. 3º:</w:t>
      </w:r>
    </w:p>
    <w:p w:rsidR="00000000" w:rsidDel="00000000" w:rsidP="00000000" w:rsidRDefault="00000000" w:rsidRPr="00000000" w14:paraId="00000022">
      <w:pPr>
        <w:spacing w:after="240" w:line="240" w:lineRule="auto"/>
        <w:ind w:left="2268" w:hanging="1.9999999999998863"/>
        <w:jc w:val="both"/>
        <w:rPr>
          <w:sz w:val="20"/>
          <w:szCs w:val="20"/>
        </w:rPr>
      </w:pPr>
      <w:r w:rsidDel="00000000" w:rsidR="00000000" w:rsidRPr="00000000">
        <w:rPr>
          <w:sz w:val="20"/>
          <w:szCs w:val="20"/>
          <w:rtl w:val="0"/>
        </w:rPr>
        <w:t xml:space="preserve">A criança e o adolescente gozam de todos os direitos fundamentais inerentes à pessoa humana, sem prejuízo da proteção integral de que trata esta Lei, assegurando-se-lhes, por lei ou por outros meios, todas as oportunidades e facilidades, a fim de lhes facultar o desenvolvimento físico, mental, moral, espiritual e social, em condições de liberdade e de dignidade (BRASIL, 1990, Art. 3º).</w:t>
      </w:r>
    </w:p>
    <w:p w:rsidR="00000000" w:rsidDel="00000000" w:rsidP="00000000" w:rsidRDefault="00000000" w:rsidRPr="00000000" w14:paraId="00000023">
      <w:pPr>
        <w:spacing w:line="360" w:lineRule="auto"/>
        <w:ind w:left="-2" w:firstLine="708"/>
        <w:jc w:val="both"/>
        <w:rPr>
          <w:sz w:val="24"/>
          <w:szCs w:val="24"/>
        </w:rPr>
      </w:pPr>
      <w:r w:rsidDel="00000000" w:rsidR="00000000" w:rsidRPr="00000000">
        <w:rPr>
          <w:sz w:val="24"/>
          <w:szCs w:val="24"/>
          <w:rtl w:val="0"/>
        </w:rPr>
        <w:t xml:space="preserve">Para tanto, a construção de uma rede de proteção à criança e ao adolescente vítima de violência é fundamental para contribuir com o atendimento integral desse público. Para que, dessa forma a criança ou adolescente vítima de violência receba um atendimento adequado, que minimize o quanto for possível os danos às suas condições de saúde, desenvolvimento físico e psicológico, as articulações e comunicação de toda a rede que compõem o atendimento à criança e adolescentes em situação de violência ou violação dos seus direitos.</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line="360" w:lineRule="auto"/>
        <w:ind w:left="-2" w:firstLine="708"/>
        <w:jc w:val="both"/>
        <w:rPr>
          <w:color w:val="000000"/>
          <w:sz w:val="24"/>
          <w:szCs w:val="24"/>
        </w:rPr>
      </w:pPr>
      <w:r w:rsidDel="00000000" w:rsidR="00000000" w:rsidRPr="00000000">
        <w:rPr>
          <w:sz w:val="24"/>
          <w:szCs w:val="24"/>
          <w:rtl w:val="0"/>
        </w:rPr>
        <w:t xml:space="preserve">Por sua vez</w:t>
      </w:r>
      <w:r w:rsidDel="00000000" w:rsidR="00000000" w:rsidRPr="00000000">
        <w:rPr>
          <w:color w:val="000000"/>
          <w:sz w:val="24"/>
          <w:szCs w:val="24"/>
          <w:rtl w:val="0"/>
        </w:rPr>
        <w:t xml:space="preserve">, o SUAS considera crianças e adolescentes como um dos públicos prioritários no desenvolvimento da política</w:t>
      </w:r>
      <w:r w:rsidDel="00000000" w:rsidR="00000000" w:rsidRPr="00000000">
        <w:rPr>
          <w:sz w:val="24"/>
          <w:szCs w:val="24"/>
          <w:rtl w:val="0"/>
        </w:rPr>
        <w:t xml:space="preserve">, bem como a própria</w:t>
      </w:r>
      <w:r w:rsidDel="00000000" w:rsidR="00000000" w:rsidRPr="00000000">
        <w:rPr>
          <w:color w:val="ff0000"/>
          <w:sz w:val="24"/>
          <w:szCs w:val="24"/>
          <w:rtl w:val="0"/>
        </w:rPr>
        <w:t xml:space="preserve"> </w:t>
      </w:r>
      <w:r w:rsidDel="00000000" w:rsidR="00000000" w:rsidRPr="00000000">
        <w:rPr>
          <w:sz w:val="24"/>
          <w:szCs w:val="24"/>
          <w:rtl w:val="0"/>
        </w:rPr>
        <w:t xml:space="preserve">LOAS (1993), que traz como um dos seus objetivos “a prote</w:t>
      </w:r>
      <w:r w:rsidDel="00000000" w:rsidR="00000000" w:rsidRPr="00000000">
        <w:rPr>
          <w:sz w:val="24"/>
          <w:szCs w:val="24"/>
          <w:highlight w:val="white"/>
          <w:rtl w:val="0"/>
        </w:rPr>
        <w:t xml:space="preserve">ção à família, à maternidade, à infância, à adolescência e à velhic</w:t>
      </w:r>
      <w:r w:rsidDel="00000000" w:rsidR="00000000" w:rsidRPr="00000000">
        <w:rPr>
          <w:sz w:val="24"/>
          <w:szCs w:val="24"/>
          <w:rtl w:val="0"/>
        </w:rPr>
        <w:t xml:space="preserve">e”.</w:t>
      </w:r>
      <w:r w:rsidDel="00000000" w:rsidR="00000000" w:rsidRPr="00000000">
        <w:rPr>
          <w:color w:val="000000"/>
          <w:sz w:val="24"/>
          <w:szCs w:val="24"/>
          <w:rtl w:val="0"/>
        </w:rPr>
        <w:t xml:space="preserve">  </w:t>
      </w:r>
      <w:r w:rsidDel="00000000" w:rsidR="00000000" w:rsidRPr="00000000">
        <w:rPr>
          <w:sz w:val="24"/>
          <w:szCs w:val="24"/>
          <w:rtl w:val="0"/>
        </w:rPr>
        <w:t xml:space="preserve">Portanto, a execução</w:t>
      </w:r>
      <w:r w:rsidDel="00000000" w:rsidR="00000000" w:rsidRPr="00000000">
        <w:rPr>
          <w:color w:val="000000"/>
          <w:sz w:val="24"/>
          <w:szCs w:val="24"/>
          <w:rtl w:val="0"/>
        </w:rPr>
        <w:t xml:space="preserve"> da Política de Assistência Social</w:t>
      </w:r>
      <w:r w:rsidDel="00000000" w:rsidR="00000000" w:rsidRPr="00000000">
        <w:rPr>
          <w:sz w:val="24"/>
          <w:szCs w:val="24"/>
          <w:rtl w:val="0"/>
        </w:rPr>
        <w:t xml:space="preserve"> deve favorecer uma atuação proativa, preventiva e protetiva, identificando e atuando </w:t>
      </w:r>
      <w:r w:rsidDel="00000000" w:rsidR="00000000" w:rsidRPr="00000000">
        <w:rPr>
          <w:color w:val="000000"/>
          <w:sz w:val="24"/>
          <w:szCs w:val="24"/>
          <w:rtl w:val="0"/>
        </w:rPr>
        <w:t xml:space="preserve">nas situações de desproteção social e risco social que envolvem crianças, adolescentes e suas famílias.</w:t>
      </w:r>
    </w:p>
    <w:p w:rsidR="00000000" w:rsidDel="00000000" w:rsidP="00000000" w:rsidRDefault="00000000" w:rsidRPr="00000000" w14:paraId="00000025">
      <w:pPr>
        <w:spacing w:line="360" w:lineRule="auto"/>
        <w:ind w:left="-2" w:firstLine="708"/>
        <w:jc w:val="both"/>
        <w:rPr>
          <w:sz w:val="24"/>
          <w:szCs w:val="24"/>
        </w:rPr>
      </w:pPr>
      <w:r w:rsidDel="00000000" w:rsidR="00000000" w:rsidRPr="00000000">
        <w:rPr>
          <w:sz w:val="24"/>
          <w:szCs w:val="24"/>
          <w:rtl w:val="0"/>
        </w:rPr>
        <w:t xml:space="preserve">O CREAS possui o PAEFI Serviço de Proteção e Atendimento Especializado a Famílias e Indivíduos, que de acordo com o disposto na Tipificação Nacional de Serviços Socioassistenciais (2009), “[...] é o serviço de apoio, orientação e acompanhamento às famílias com um ou mais de seus membros em situação de ameaça ou violação de direitos”. </w:t>
      </w:r>
    </w:p>
    <w:p w:rsidR="00000000" w:rsidDel="00000000" w:rsidP="00000000" w:rsidRDefault="00000000" w:rsidRPr="00000000" w14:paraId="00000026">
      <w:pPr>
        <w:spacing w:line="360" w:lineRule="auto"/>
        <w:ind w:left="-2" w:firstLine="708"/>
        <w:jc w:val="both"/>
        <w:rPr>
          <w:sz w:val="24"/>
          <w:szCs w:val="24"/>
        </w:rPr>
      </w:pPr>
      <w:r w:rsidDel="00000000" w:rsidR="00000000" w:rsidRPr="00000000">
        <w:rPr>
          <w:sz w:val="24"/>
          <w:szCs w:val="24"/>
          <w:rtl w:val="0"/>
        </w:rPr>
        <w:t xml:space="preserve">Destarte, na seção a seguir serão apresentadas as análises referentes a alguns perfis de crianças e adolescentes vítimas de abuso sexual, atendidas no CREAS do Rio Grande do Norte. </w:t>
      </w:r>
    </w:p>
    <w:p w:rsidR="00000000" w:rsidDel="00000000" w:rsidP="00000000" w:rsidRDefault="00000000" w:rsidRPr="00000000" w14:paraId="0000002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240" w:before="240" w:line="240" w:lineRule="auto"/>
        <w:ind w:left="0" w:hanging="2"/>
        <w:jc w:val="both"/>
        <w:rPr>
          <w:color w:val="000000"/>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ANÁLISE DE</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DADOS</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RELATÓRIO TÉCNICO DE MONITORAMENTO 2025 </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CRIANÇAS</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E</w:t>
      </w:r>
      <w:r w:rsidDel="00000000" w:rsidR="00000000" w:rsidRPr="00000000">
        <w:rPr>
          <w:b w:val="1"/>
          <w:color w:val="000000"/>
          <w:sz w:val="24"/>
          <w:szCs w:val="24"/>
          <w:rtl w:val="0"/>
        </w:rPr>
        <w:t xml:space="preserve"> ADOLESCENTES VÍTIM</w:t>
      </w:r>
      <w:r w:rsidDel="00000000" w:rsidR="00000000" w:rsidRPr="00000000">
        <w:rPr>
          <w:b w:val="1"/>
          <w:sz w:val="24"/>
          <w:szCs w:val="24"/>
          <w:rtl w:val="0"/>
        </w:rPr>
        <w:t xml:space="preserve">AS DE</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ABUSO</w:t>
      </w:r>
      <w:r w:rsidDel="00000000" w:rsidR="00000000" w:rsidRPr="00000000">
        <w:rPr>
          <w:b w:val="1"/>
          <w:color w:val="000000"/>
          <w:sz w:val="24"/>
          <w:szCs w:val="24"/>
          <w:rtl w:val="0"/>
        </w:rPr>
        <w:t xml:space="preserve"> </w:t>
      </w:r>
      <w:r w:rsidDel="00000000" w:rsidR="00000000" w:rsidRPr="00000000">
        <w:rPr>
          <w:b w:val="1"/>
          <w:sz w:val="24"/>
          <w:szCs w:val="24"/>
          <w:rtl w:val="0"/>
        </w:rPr>
        <w:t xml:space="preserve">SEXUAL</w:t>
      </w:r>
      <w:r w:rsidDel="00000000" w:rsidR="00000000" w:rsidRPr="00000000">
        <w:rPr>
          <w:rtl w:val="0"/>
        </w:rPr>
      </w:r>
    </w:p>
    <w:p w:rsidR="00000000" w:rsidDel="00000000" w:rsidP="00000000" w:rsidRDefault="00000000" w:rsidRPr="00000000" w14:paraId="00000028">
      <w:pPr>
        <w:spacing w:line="360" w:lineRule="auto"/>
        <w:ind w:left="-2" w:firstLine="708"/>
        <w:jc w:val="both"/>
        <w:rPr>
          <w:sz w:val="24"/>
          <w:szCs w:val="24"/>
        </w:rPr>
      </w:pPr>
      <w:r w:rsidDel="00000000" w:rsidR="00000000" w:rsidRPr="00000000">
        <w:rPr>
          <w:sz w:val="24"/>
          <w:szCs w:val="24"/>
          <w:rtl w:val="0"/>
        </w:rPr>
        <w:t xml:space="preserve">A presente seção discorrerá sobre a análise dos dados obtidos do Registro Mensal de Atividades do RMA/CREAS, ano de referência 2024. O RMA tem um papel essencial no planejamento e na tomada de decisões no campo das políticas públicas de Assistência Social, à medida que as equipes municipais fazem a gestão das informações registradas.</w:t>
      </w:r>
    </w:p>
    <w:p w:rsidR="00000000" w:rsidDel="00000000" w:rsidP="00000000" w:rsidRDefault="00000000" w:rsidRPr="00000000" w14:paraId="00000029">
      <w:pPr>
        <w:spacing w:line="360" w:lineRule="auto"/>
        <w:ind w:left="-2" w:firstLine="708"/>
        <w:jc w:val="both"/>
        <w:rPr>
          <w:color w:val="00b050"/>
          <w:sz w:val="24"/>
          <w:szCs w:val="24"/>
        </w:rPr>
      </w:pPr>
      <w:r w:rsidDel="00000000" w:rsidR="00000000" w:rsidRPr="00000000">
        <w:rPr>
          <w:sz w:val="24"/>
          <w:szCs w:val="24"/>
          <w:rtl w:val="0"/>
        </w:rPr>
        <w:t xml:space="preserve">Cabe informar também que o estudo é fruto das reflexões desenvolvidas no âmbito do projeto técnico de pesquisa e extensão da Fundação para o Desenvolvimento da Ciência, Tecnologia e Inovação do Estado do Rio Grande do Norte (FUNCITERN), mediante convênio com a Secretaria de Estado do Trabalho, da Habitação e da Assistência Social. Então as informações correspondem à realidade estadual, bem como dados que retratam a realidade dos dez Territórios da Cidadania</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que podem ser observadas ao longo da presente seção. </w:t>
      </w:r>
      <w:r w:rsidDel="00000000" w:rsidR="00000000" w:rsidRPr="00000000">
        <w:rPr>
          <w:rtl w:val="0"/>
        </w:rPr>
      </w:r>
    </w:p>
    <w:p w:rsidR="00000000" w:rsidDel="00000000" w:rsidP="00000000" w:rsidRDefault="00000000" w:rsidRPr="00000000" w14:paraId="0000002A">
      <w:pPr>
        <w:spacing w:line="360" w:lineRule="auto"/>
        <w:ind w:left="-2" w:firstLine="708"/>
        <w:jc w:val="both"/>
        <w:rPr>
          <w:sz w:val="24"/>
          <w:szCs w:val="24"/>
        </w:rPr>
      </w:pPr>
      <w:r w:rsidDel="00000000" w:rsidR="00000000" w:rsidRPr="00000000">
        <w:rPr>
          <w:sz w:val="24"/>
          <w:szCs w:val="24"/>
          <w:rtl w:val="0"/>
        </w:rPr>
        <w:t xml:space="preserve">Cabe informar que para a análise do presente artigo, o tipo de violência abuso sexual que acometem crianças e adolescentes será detalhado, sendo verificado primeiramente o dado total do estado e posteriormente a distribuição pelos</w:t>
      </w:r>
      <w:r w:rsidDel="00000000" w:rsidR="00000000" w:rsidRPr="00000000">
        <w:rPr>
          <w:color w:val="ff9900"/>
          <w:sz w:val="24"/>
          <w:szCs w:val="24"/>
          <w:rtl w:val="0"/>
        </w:rPr>
        <w:t xml:space="preserve"> </w:t>
      </w:r>
      <w:r w:rsidDel="00000000" w:rsidR="00000000" w:rsidRPr="00000000">
        <w:rPr>
          <w:sz w:val="24"/>
          <w:szCs w:val="24"/>
          <w:rtl w:val="0"/>
        </w:rPr>
        <w:t xml:space="preserve">10 territórios da cidadania. </w:t>
      </w:r>
    </w:p>
    <w:p w:rsidR="00000000" w:rsidDel="00000000" w:rsidP="00000000" w:rsidRDefault="00000000" w:rsidRPr="00000000" w14:paraId="0000002B">
      <w:pPr>
        <w:spacing w:line="360" w:lineRule="auto"/>
        <w:ind w:left="-2" w:firstLine="708"/>
        <w:jc w:val="both"/>
        <w:rPr>
          <w:sz w:val="24"/>
          <w:szCs w:val="24"/>
        </w:rPr>
      </w:pPr>
      <w:r w:rsidDel="00000000" w:rsidR="00000000" w:rsidRPr="00000000">
        <w:rPr>
          <w:sz w:val="24"/>
          <w:szCs w:val="24"/>
          <w:rtl w:val="0"/>
        </w:rPr>
        <w:t xml:space="preserve">Dessa maneira, a análise dos dados RMA/CREAS 2024, no item C.2 Crianças ou adolescentes vítimas de abuso sexual, informa que o estado quantificou 241 crianças ou adolescentes acometidos dessa forma de violência. Tendo sido verificado que o território de Terras Potiguaras foi o território com maior incidência com 89 vítimas, seguido do território Mato Grande com 38, Assu Mossoró com 29 casos, Agreste Litoral Sul com 23, Sertão Apodi com 14, Potengi e Sertão Central Cabugi e Litoral Norte com 8, Trairi com 6 e Alto Oeste com 5, o menor quantitativo entre os território.</w:t>
      </w:r>
    </w:p>
    <w:p w:rsidR="00000000" w:rsidDel="00000000" w:rsidP="00000000" w:rsidRDefault="00000000" w:rsidRPr="00000000" w14:paraId="0000002C">
      <w:pPr>
        <w:spacing w:line="360" w:lineRule="auto"/>
        <w:ind w:left="-2" w:firstLine="708"/>
        <w:jc w:val="both"/>
        <w:rPr>
          <w:sz w:val="24"/>
          <w:szCs w:val="24"/>
        </w:rPr>
      </w:pPr>
      <w:r w:rsidDel="00000000" w:rsidR="00000000" w:rsidRPr="00000000">
        <w:rPr>
          <w:sz w:val="24"/>
          <w:szCs w:val="24"/>
          <w:rtl w:val="0"/>
        </w:rPr>
        <w:t xml:space="preserve">No que se refere a faixa etária de 0 a 6 anos, gênero masculino os territórios de Agreste Litoral Sul, Alto-Oeste, Potengi, Sertão Central Cabugi e Litoral Norte, Sertão do Apodi e Trairi não apresentaram, no ano de 2024, situações de abuso sexual na referida faixa etária.</w:t>
      </w:r>
    </w:p>
    <w:p w:rsidR="00000000" w:rsidDel="00000000" w:rsidP="00000000" w:rsidRDefault="00000000" w:rsidRPr="00000000" w14:paraId="0000002D">
      <w:pPr>
        <w:spacing w:line="360" w:lineRule="auto"/>
        <w:ind w:left="-2" w:firstLine="708"/>
        <w:jc w:val="both"/>
        <w:rPr>
          <w:sz w:val="24"/>
          <w:szCs w:val="24"/>
        </w:rPr>
      </w:pPr>
      <w:r w:rsidDel="00000000" w:rsidR="00000000" w:rsidRPr="00000000">
        <w:rPr>
          <w:sz w:val="24"/>
          <w:szCs w:val="24"/>
          <w:rtl w:val="0"/>
        </w:rPr>
        <w:tab/>
        <w:t xml:space="preserve">O território com maior quantitativo foi Terras Potiguaras com 16 situações da mencionada violência. Os territórios de Mato Grande e Seridó com três situações de abuso sexual apresentaram o mesmo quantitativo. Seguido de Assu-Mossoró com 2 situações de abuso sexual.</w:t>
      </w:r>
    </w:p>
    <w:p w:rsidR="00000000" w:rsidDel="00000000" w:rsidP="00000000" w:rsidRDefault="00000000" w:rsidRPr="00000000" w14:paraId="0000002E">
      <w:pPr>
        <w:spacing w:line="360" w:lineRule="auto"/>
        <w:ind w:left="-2" w:firstLine="708"/>
        <w:jc w:val="both"/>
        <w:rPr>
          <w:sz w:val="24"/>
          <w:szCs w:val="24"/>
        </w:rPr>
      </w:pPr>
      <w:r w:rsidDel="00000000" w:rsidR="00000000" w:rsidRPr="00000000">
        <w:rPr>
          <w:sz w:val="24"/>
          <w:szCs w:val="24"/>
          <w:rtl w:val="0"/>
        </w:rPr>
        <w:tab/>
        <w:t xml:space="preserve">Em relação às faixas etárias 7 a 12 anos e 13 a 17 anos, gênero masculino, as duas categorias apresentaram o mesmo quantitativo, tendo sido pontuado 13 situações de abuso sexual para cada faixa etária. Seguindo de forma concomitante as análises das faixas etárias, o território de Mato Grande apresentou 5 situações de abuso sexual na faixa etária 7 a 12 anos e Terras Potiguares apresentou 6 na faixa etária 13 a 17 anos, apresentando os maiores quantitativos.</w:t>
      </w:r>
    </w:p>
    <w:p w:rsidR="00000000" w:rsidDel="00000000" w:rsidP="00000000" w:rsidRDefault="00000000" w:rsidRPr="00000000" w14:paraId="0000002F">
      <w:pPr>
        <w:spacing w:line="360" w:lineRule="auto"/>
        <w:ind w:left="-2" w:firstLine="708"/>
        <w:jc w:val="both"/>
        <w:rPr>
          <w:sz w:val="24"/>
          <w:szCs w:val="24"/>
        </w:rPr>
      </w:pPr>
      <w:r w:rsidDel="00000000" w:rsidR="00000000" w:rsidRPr="00000000">
        <w:rPr>
          <w:sz w:val="24"/>
          <w:szCs w:val="24"/>
          <w:rtl w:val="0"/>
        </w:rPr>
        <w:tab/>
        <w:t xml:space="preserve">O território do Alto-Oeste foi o único território que não apresentou situação de abuso sexual nas duas faixas etárias em 2024. O território do Seridó apresentou o mesmo quantitativo nas duas faixas etárias, sendo uma situação de abuso sexual para cada mencionada faixa etária. Além disso, também se evidenciou que na faixa etária de 7 a 12 anos e 13 a 17 anos os territórios respectivamente quantificaram uma situação de abuso sexual, sendo: Agreste Litoral Sul, Assu-Mossoró, Potengi, Seridó, Sertão do Apodi, Sertão Central Cabugi e Litoral Norte e Seridó como já mencionado no início do parágrafo.</w:t>
      </w:r>
    </w:p>
    <w:p w:rsidR="00000000" w:rsidDel="00000000" w:rsidP="00000000" w:rsidRDefault="00000000" w:rsidRPr="00000000" w14:paraId="00000030">
      <w:pPr>
        <w:spacing w:line="360" w:lineRule="auto"/>
        <w:ind w:left="-2" w:firstLine="708"/>
        <w:jc w:val="both"/>
        <w:rPr>
          <w:sz w:val="24"/>
          <w:szCs w:val="24"/>
        </w:rPr>
      </w:pPr>
      <w:r w:rsidDel="00000000" w:rsidR="00000000" w:rsidRPr="00000000">
        <w:rPr>
          <w:sz w:val="24"/>
          <w:szCs w:val="24"/>
          <w:rtl w:val="0"/>
        </w:rPr>
        <w:tab/>
        <w:t xml:space="preserve"> Os territórios de Assu-Mossoró e Mato Grande quantificaram 2 situações de abuso sexual, na faixa etária 13 a 17 anos. E nas Terras Potiguares na faixa etária de 7 a 12 anos, quantificou seis situações de abuso sexual.</w:t>
      </w:r>
    </w:p>
    <w:p w:rsidR="00000000" w:rsidDel="00000000" w:rsidP="00000000" w:rsidRDefault="00000000" w:rsidRPr="00000000" w14:paraId="00000031">
      <w:pPr>
        <w:spacing w:line="360" w:lineRule="auto"/>
        <w:ind w:left="-2" w:firstLine="708"/>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No que se refere à situação de abuso sexual do gênero feminino, foi evidenciado que no ano 2024 a referida violência acometeu mais o gênero feminino do que o masculino. Até o menor quantitativo do gênero feminino é o dobro do que o verificado no gênero masculino.</w:t>
      </w:r>
    </w:p>
    <w:p w:rsidR="00000000" w:rsidDel="00000000" w:rsidP="00000000" w:rsidRDefault="00000000" w:rsidRPr="00000000" w14:paraId="00000032">
      <w:pPr>
        <w:shd w:fill="ffffff" w:val="clear"/>
        <w:spacing w:line="360" w:lineRule="auto"/>
        <w:ind w:left="-2" w:firstLine="649"/>
        <w:jc w:val="both"/>
        <w:rPr>
          <w:sz w:val="24"/>
          <w:szCs w:val="24"/>
        </w:rPr>
      </w:pPr>
      <w:r w:rsidDel="00000000" w:rsidR="00000000" w:rsidRPr="00000000">
        <w:rPr>
          <w:rtl w:val="0"/>
        </w:rPr>
        <w:tab/>
      </w:r>
      <w:r w:rsidDel="00000000" w:rsidR="00000000" w:rsidRPr="00000000">
        <w:rPr>
          <w:sz w:val="24"/>
          <w:szCs w:val="24"/>
          <w:rtl w:val="0"/>
        </w:rPr>
        <w:t xml:space="preserve">De acordo com o boletim epidemiológico do Ministério da Saúde, no período de 2015 a 2021, foram notificados 202.948 casos de violência sexual contra crianças e adolescentes no Brasil, sendo 83.571 contra crianças e 119.377 contra adolescentes. Em 2021, o número de notificações foi o maior registrado ao longo do período analisado, com 35.196 casos. As vítimas foram predominantemente do sexo feminino: 76,9% das notificações de crianças e 92,7% das notificações de adolescentes nessas faixas etárias ocorreram entre meninas. </w:t>
      </w:r>
    </w:p>
    <w:p w:rsidR="00000000" w:rsidDel="00000000" w:rsidP="00000000" w:rsidRDefault="00000000" w:rsidRPr="00000000" w14:paraId="00000033">
      <w:pPr>
        <w:shd w:fill="ffffff" w:val="clear"/>
        <w:spacing w:line="360" w:lineRule="auto"/>
        <w:ind w:left="-2" w:firstLine="708"/>
        <w:jc w:val="both"/>
        <w:rPr>
          <w:sz w:val="24"/>
          <w:szCs w:val="24"/>
        </w:rPr>
      </w:pPr>
      <w:r w:rsidDel="00000000" w:rsidR="00000000" w:rsidRPr="00000000">
        <w:rPr>
          <w:sz w:val="24"/>
          <w:szCs w:val="24"/>
          <w:rtl w:val="0"/>
        </w:rPr>
        <w:t xml:space="preserve">Quanto ao local de maior incidência de abuso sexual, a residência das vítimas é o local de ocorrência de 70,9% dos casos de violência sexual contra crianças de 0 a 9 anos de idade e de 63,4% dos casos contra adolescentes de 10 a 19 anos. Familiares e conhecidos são responsáveis por 68% das agressões contra crianças e 58,4% das agressões contra adolescentes nessas faixas etárias.</w:t>
      </w:r>
    </w:p>
    <w:p w:rsidR="00000000" w:rsidDel="00000000" w:rsidP="00000000" w:rsidRDefault="00000000" w:rsidRPr="00000000" w14:paraId="00000034">
      <w:pPr>
        <w:shd w:fill="ffffff" w:val="clear"/>
        <w:ind w:left="0" w:hanging="2"/>
        <w:jc w:val="both"/>
        <w:rPr>
          <w:sz w:val="20"/>
          <w:szCs w:val="20"/>
        </w:rPr>
      </w:pPr>
      <w:r w:rsidDel="00000000" w:rsidR="00000000" w:rsidRPr="00000000">
        <w:rPr>
          <w:rtl w:val="0"/>
        </w:rPr>
      </w:r>
    </w:p>
    <w:p w:rsidR="00000000" w:rsidDel="00000000" w:rsidP="00000000" w:rsidRDefault="00000000" w:rsidRPr="00000000" w14:paraId="00000035">
      <w:pPr>
        <w:ind w:left="2268" w:hanging="1.9999999999998863"/>
        <w:jc w:val="both"/>
        <w:rPr>
          <w:sz w:val="20"/>
          <w:szCs w:val="20"/>
        </w:rPr>
      </w:pPr>
      <w:r w:rsidDel="00000000" w:rsidR="00000000" w:rsidRPr="00000000">
        <w:rPr>
          <w:sz w:val="20"/>
          <w:szCs w:val="20"/>
          <w:rtl w:val="0"/>
        </w:rPr>
        <w:t xml:space="preserve">Foi constatado que para crianças e adolescentes a maior proporção se deu na residência. No domicílio, considerado um ambiente privado, a violência é silenciosa e recorrente. Esse fato tem relação com o vínculo com o agressor, em que a maior proporção é de familiares e amigos/ conhecidos. Cabe destacar que essa dinâmica da violência contra crianças e adolescentes dificulta conhecer suas particularidades e a implementar medidas de intervenção. Tanto a ocorrência na residência como o agressor ser alguém próximo da criança ou do adolescente produz ainda mais vulnerabilidades, promovendo uma sensação constante de insegurança e medo e contribuindo para a manutenção de uma cultura violenta. (Boletim Epidemiológico, Secretaria de Vigilância em Saúde e Ambiente, Ministério da Saúde, Vol 54, n. º 8, 29 fev. 2024)</w:t>
      </w:r>
    </w:p>
    <w:p w:rsidR="00000000" w:rsidDel="00000000" w:rsidP="00000000" w:rsidRDefault="00000000" w:rsidRPr="00000000" w14:paraId="00000036">
      <w:pPr>
        <w:ind w:left="0" w:hanging="2"/>
        <w:jc w:val="both"/>
        <w:rPr>
          <w:sz w:val="20"/>
          <w:szCs w:val="20"/>
        </w:rPr>
      </w:pPr>
      <w:r w:rsidDel="00000000" w:rsidR="00000000" w:rsidRPr="00000000">
        <w:rPr>
          <w:rtl w:val="0"/>
        </w:rPr>
      </w:r>
    </w:p>
    <w:p w:rsidR="00000000" w:rsidDel="00000000" w:rsidP="00000000" w:rsidRDefault="00000000" w:rsidRPr="00000000" w14:paraId="00000037">
      <w:pPr>
        <w:shd w:fill="ffffff" w:val="clear"/>
        <w:spacing w:line="360" w:lineRule="auto"/>
        <w:ind w:left="-2" w:firstLine="708"/>
        <w:jc w:val="both"/>
        <w:rPr>
          <w:sz w:val="24"/>
          <w:szCs w:val="24"/>
        </w:rPr>
      </w:pPr>
      <w:r w:rsidDel="00000000" w:rsidR="00000000" w:rsidRPr="00000000">
        <w:rPr>
          <w:sz w:val="24"/>
          <w:szCs w:val="24"/>
          <w:rtl w:val="0"/>
        </w:rPr>
        <w:t xml:space="preserve">Nesta perspectiva, como forma de ratificar os dados do Ministério da Saúde, a Fundação Abrinq divulgou em abril de 2024 os números da violência sexual no Brasil sob o título: “O Cenário da Infância e Adolescência no Brasil 2024” também identificou que, entre as notificações de violência sexual ocorrida contra crianças e adolescentes, a maioria das vítimas são do sexo feminino. Em 2022, foi constatado que as meninas abusadas corresponderam a 87,7% dos casos de violação ocorridos no país. </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line="360" w:lineRule="auto"/>
        <w:ind w:left="-2" w:firstLine="708"/>
        <w:jc w:val="both"/>
        <w:rPr>
          <w:color w:val="000000"/>
          <w:sz w:val="24"/>
          <w:szCs w:val="24"/>
        </w:rPr>
      </w:pPr>
      <w:r w:rsidDel="00000000" w:rsidR="00000000" w:rsidRPr="00000000">
        <w:rPr>
          <w:color w:val="000000"/>
          <w:sz w:val="24"/>
          <w:szCs w:val="24"/>
          <w:rtl w:val="0"/>
        </w:rPr>
        <w:t xml:space="preserve">Voltando para a análise da base de dados RMA CREAS 2024, o quantitativo de abuso sexual no Rio Grande do Norte cometidos em meninas de 0 a 6 anos em 2024 foi de 47 casos. Em relação a faixa etária de 7 a 12 esse quantitativo foi maior, 76 casos e na faixa etária de 13 a 17 anos, apontou que 69 adolescentes foram acometidas de abuso sexual. O território com maior incidência desse tipo de violência para as três faixas etárias foi o território de Terras Potiguaras, sendo de 0 a 6 anos 20 casos, de 7 a 12 anos 25 casos e de 13 a 17 anos 19 situações de abuso sexual quantificadas.</w:t>
      </w:r>
    </w:p>
    <w:p w:rsidR="00000000" w:rsidDel="00000000" w:rsidP="00000000" w:rsidRDefault="00000000" w:rsidRPr="00000000" w14:paraId="00000039">
      <w:pPr>
        <w:spacing w:line="360" w:lineRule="auto"/>
        <w:ind w:left="-2" w:firstLine="708"/>
        <w:jc w:val="both"/>
        <w:rPr>
          <w:sz w:val="24"/>
          <w:szCs w:val="24"/>
        </w:rPr>
      </w:pPr>
      <w:r w:rsidDel="00000000" w:rsidR="00000000" w:rsidRPr="00000000">
        <w:rPr>
          <w:sz w:val="24"/>
          <w:szCs w:val="24"/>
          <w:rtl w:val="0"/>
        </w:rPr>
        <w:tab/>
        <w:t xml:space="preserve">Seguidos pelo território de Mato Grande que entre as meninas de 0 a 6 anos houve 11 casos de abuso sexual, 7 casos na faixa etária entre 7 a 12 anos e 10 casos para adolescentes de 13 a 17 anos. Agreste Litoral Sul, apesar de ter tidos 2 casos de abuso sexual entre meninas de 0 a 6 anos, nas outras faixas etárias analisadas aparece como um dos territórios com maior pontuação, tendo 10 situações de abuso sexual entre crianças e adolescentes de 7 a 12 anos e 13 a 17 anos.</w:t>
      </w:r>
    </w:p>
    <w:p w:rsidR="00000000" w:rsidDel="00000000" w:rsidP="00000000" w:rsidRDefault="00000000" w:rsidRPr="00000000" w14:paraId="0000003A">
      <w:pPr>
        <w:spacing w:line="360" w:lineRule="auto"/>
        <w:ind w:left="-2" w:firstLine="708"/>
        <w:jc w:val="both"/>
        <w:rPr>
          <w:sz w:val="24"/>
          <w:szCs w:val="24"/>
        </w:rPr>
      </w:pPr>
      <w:r w:rsidDel="00000000" w:rsidR="00000000" w:rsidRPr="00000000">
        <w:rPr>
          <w:sz w:val="24"/>
          <w:szCs w:val="24"/>
          <w:rtl w:val="0"/>
        </w:rPr>
        <w:tab/>
        <w:t xml:space="preserve">Entre os territórios com menor incidência de abuso sexual aparecem os territórios de Alto Oeste, Sertão Central Cabugi e Litoral Norte e Trairi que quantificaram menos de 5 casos por faixa etária. Ao realizar comparação dos quantitativos de situações de abuso sexual de crianças e adolescentes entre os dez Territórios da Cidadania, observou-se que o território do Alto-Oeste apresentou as menores incidências e o território Terras Potiguaras com as maiores incidências da referida violência de crianças e adolescentes.</w:t>
      </w:r>
    </w:p>
    <w:p w:rsidR="00000000" w:rsidDel="00000000" w:rsidP="00000000" w:rsidRDefault="00000000" w:rsidRPr="00000000" w14:paraId="0000003B">
      <w:pPr>
        <w:spacing w:line="360" w:lineRule="auto"/>
        <w:ind w:left="-2" w:firstLine="708"/>
        <w:jc w:val="both"/>
        <w:rPr>
          <w:sz w:val="24"/>
          <w:szCs w:val="24"/>
        </w:rPr>
      </w:pPr>
      <w:r w:rsidDel="00000000" w:rsidR="00000000" w:rsidRPr="00000000">
        <w:rPr>
          <w:sz w:val="24"/>
          <w:szCs w:val="24"/>
          <w:rtl w:val="0"/>
        </w:rPr>
        <w:t xml:space="preserve">Outro aspecto importante é que cabe mencionar e que possivelmente a menor incidência de abuso sexual de pessoas do gênero masculino e feminino, nas faixas etárias de 0 a 17 anos ter sido verificada no território de cidadania do Alto Oeste se deve ao fato de que dos trinta municípios que compõem o território, apenas quatro possuem CREAS, sendo: Pau dos Ferros, Luís Gomes, Riacho de Santana e São Miguel.</w:t>
      </w:r>
    </w:p>
    <w:p w:rsidR="00000000" w:rsidDel="00000000" w:rsidP="00000000" w:rsidRDefault="00000000" w:rsidRPr="00000000" w14:paraId="0000003C">
      <w:pPr>
        <w:spacing w:line="360" w:lineRule="auto"/>
        <w:ind w:left="-2" w:firstLine="708"/>
        <w:jc w:val="both"/>
        <w:rPr>
          <w:sz w:val="24"/>
          <w:szCs w:val="24"/>
        </w:rPr>
      </w:pPr>
      <w:r w:rsidDel="00000000" w:rsidR="00000000" w:rsidRPr="00000000">
        <w:rPr>
          <w:sz w:val="24"/>
          <w:szCs w:val="24"/>
          <w:rtl w:val="0"/>
        </w:rPr>
        <w:tab/>
        <w:t xml:space="preserve">Sobre a implantação de CREAS em âmbito estadual, atualmente o Rio Grande do Norte conta com 73 CREAS implantados. Nessa perspectiva, o Estado tem atuado no tocante a implantação de CREAS municipais e Técnicos de Referência da PSE a partir do plano de regionalização e que desde o início do processo foram implantados dezesseis CREAS cofinanciados pelo estado e quinze técnicos de referência da PSE. </w:t>
      </w:r>
    </w:p>
    <w:p w:rsidR="00000000" w:rsidDel="00000000" w:rsidP="00000000" w:rsidRDefault="00000000" w:rsidRPr="00000000" w14:paraId="0000003D">
      <w:pPr>
        <w:spacing w:line="360" w:lineRule="auto"/>
        <w:ind w:left="-2" w:firstLine="708"/>
        <w:jc w:val="both"/>
        <w:rPr>
          <w:sz w:val="24"/>
          <w:szCs w:val="24"/>
        </w:rPr>
      </w:pPr>
      <w:r w:rsidDel="00000000" w:rsidR="00000000" w:rsidRPr="00000000">
        <w:rPr>
          <w:sz w:val="24"/>
          <w:szCs w:val="24"/>
          <w:rtl w:val="0"/>
        </w:rPr>
        <w:t xml:space="preserve">No que se refere ao território de Terras Potiguaras, que apresentou a maior incidência de abuso sexual entre crianças e adolescentes pode-se supor que por ser um território de grande concentração populacional, incluindo a capital do estado Natal e cidades que fazem parte da região metropolitana, como Parnamirim, São Gonçalo do Amarante, Macaíba e Extremoz. Além disso, é necessário levar em consideração, que o município de Natal tem quatro unidades socioassistenciais CREAS, cada um deles tem como área de abrangência as quatro regiões da cidade.</w:t>
      </w:r>
    </w:p>
    <w:p w:rsidR="00000000" w:rsidDel="00000000" w:rsidP="00000000" w:rsidRDefault="00000000" w:rsidRPr="00000000" w14:paraId="0000003E">
      <w:pPr>
        <w:spacing w:after="240" w:before="240" w:line="360" w:lineRule="auto"/>
        <w:ind w:left="0" w:hanging="2"/>
        <w:jc w:val="both"/>
        <w:rPr>
          <w:b w:val="1"/>
          <w:sz w:val="24"/>
          <w:szCs w:val="24"/>
        </w:rPr>
      </w:pPr>
      <w:r w:rsidDel="00000000" w:rsidR="00000000" w:rsidRPr="00000000">
        <w:rPr>
          <w:b w:val="1"/>
          <w:sz w:val="24"/>
          <w:szCs w:val="24"/>
          <w:rtl w:val="0"/>
        </w:rPr>
        <w:t xml:space="preserve">3.  CONCLUSÃO</w:t>
      </w:r>
    </w:p>
    <w:p w:rsidR="00000000" w:rsidDel="00000000" w:rsidP="00000000" w:rsidRDefault="00000000" w:rsidRPr="00000000" w14:paraId="0000003F">
      <w:pPr>
        <w:spacing w:line="360" w:lineRule="auto"/>
        <w:ind w:left="-2" w:firstLine="708"/>
        <w:jc w:val="both"/>
        <w:rPr>
          <w:sz w:val="24"/>
          <w:szCs w:val="24"/>
        </w:rPr>
      </w:pPr>
      <w:r w:rsidDel="00000000" w:rsidR="00000000" w:rsidRPr="00000000">
        <w:rPr>
          <w:sz w:val="24"/>
          <w:szCs w:val="24"/>
          <w:rtl w:val="0"/>
        </w:rPr>
        <w:t xml:space="preserve">Um ponto importante detectado na análise dos dados foi com relação a baixa ou nenhuma notificação de situações abuso sexual de crianças e adolescentes nos RMAs dos CREAS de alguns territórios de cidadania, que pode se dá por diferentes fatores como, ausência de registro de informações,</w:t>
      </w:r>
      <w:r w:rsidDel="00000000" w:rsidR="00000000" w:rsidRPr="00000000">
        <w:rPr>
          <w:color w:val="6aa84f"/>
          <w:sz w:val="24"/>
          <w:szCs w:val="24"/>
          <w:rtl w:val="0"/>
        </w:rPr>
        <w:t xml:space="preserve"> </w:t>
      </w:r>
      <w:r w:rsidDel="00000000" w:rsidR="00000000" w:rsidRPr="00000000">
        <w:rPr>
          <w:sz w:val="24"/>
          <w:szCs w:val="24"/>
          <w:rtl w:val="0"/>
        </w:rPr>
        <w:t xml:space="preserve">baixa cobertura de CREAS em alguns territórios,  dificuldades encontradas pelos profissionais para a realização de um acompanhamento mais efetivo para esses casos, pois falta estrutura adequada, equipes completas, ou se essas demandas estão sendo tratadas em outro espaço do município. </w:t>
      </w:r>
    </w:p>
    <w:p w:rsidR="00000000" w:rsidDel="00000000" w:rsidP="00000000" w:rsidRDefault="00000000" w:rsidRPr="00000000" w14:paraId="00000040">
      <w:pPr>
        <w:spacing w:line="360" w:lineRule="auto"/>
        <w:ind w:left="-2" w:firstLine="708"/>
        <w:jc w:val="both"/>
        <w:rPr>
          <w:sz w:val="24"/>
          <w:szCs w:val="24"/>
        </w:rPr>
      </w:pPr>
      <w:r w:rsidDel="00000000" w:rsidR="00000000" w:rsidRPr="00000000">
        <w:rPr>
          <w:sz w:val="24"/>
          <w:szCs w:val="24"/>
          <w:rtl w:val="0"/>
        </w:rPr>
        <w:t xml:space="preserve">Assim, muito ainda se tem a fazer pela proteção aos direitos da criança e do adolescente. Sendo assim, a execução da Política de Assistência Social deve favorecer uma atuação proativa, preventiva e protetiva, identificando e atuando nas situações de desproteção social e risco social que envolve crianças, adolescentes e suas famílias.</w:t>
      </w:r>
    </w:p>
    <w:p w:rsidR="00000000" w:rsidDel="00000000" w:rsidP="00000000" w:rsidRDefault="00000000" w:rsidRPr="00000000" w14:paraId="00000041">
      <w:pPr>
        <w:spacing w:line="360" w:lineRule="auto"/>
        <w:ind w:left="-2" w:firstLine="708"/>
        <w:jc w:val="both"/>
        <w:rPr>
          <w:sz w:val="24"/>
          <w:szCs w:val="24"/>
        </w:rPr>
      </w:pPr>
      <w:r w:rsidDel="00000000" w:rsidR="00000000" w:rsidRPr="00000000">
        <w:rPr>
          <w:sz w:val="24"/>
          <w:szCs w:val="24"/>
          <w:rtl w:val="0"/>
        </w:rPr>
        <w:t xml:space="preserve">Observou-se também a partir de autores e materiais que discutem a temática, que o abuso sexual acontece de forma predominante no seio familiar, o que torna mais difícil ainda de serem detectados, mesmo assim os CREAS do RN possuem registros. Cabe destacar que os dados apresentados no artigo não refletem a realidade dessa violação de direito das crianças e adolescentes em âmbito estadual, visto que existe subnotificação, ausência de ofertas de serviços nos municípios, bem como ausência e fragilidade no registro das informações dos CREAS.</w:t>
      </w:r>
    </w:p>
    <w:p w:rsidR="00000000" w:rsidDel="00000000" w:rsidP="00000000" w:rsidRDefault="00000000" w:rsidRPr="00000000" w14:paraId="00000042">
      <w:pPr>
        <w:spacing w:line="360" w:lineRule="auto"/>
        <w:ind w:left="-2" w:firstLine="708"/>
        <w:jc w:val="both"/>
        <w:rPr>
          <w:sz w:val="24"/>
          <w:szCs w:val="24"/>
        </w:rPr>
      </w:pPr>
      <w:r w:rsidDel="00000000" w:rsidR="00000000" w:rsidRPr="00000000">
        <w:rPr>
          <w:sz w:val="24"/>
          <w:szCs w:val="24"/>
          <w:rtl w:val="0"/>
        </w:rPr>
        <w:t xml:space="preserve">Por fim, cabe mencionar a relevância do RMA, que é de preenchimento obrigatório, reforçando a importância do preenchimento adequado, considerando as orientações técnicas previstas no manual. Tendo em vista que seus dados</w:t>
      </w:r>
      <w:r w:rsidDel="00000000" w:rsidR="00000000" w:rsidRPr="00000000">
        <w:rPr>
          <w:color w:val="001d35"/>
          <w:sz w:val="27"/>
          <w:szCs w:val="27"/>
          <w:rtl w:val="0"/>
        </w:rPr>
        <w:t xml:space="preserve"> </w:t>
      </w:r>
      <w:r w:rsidDel="00000000" w:rsidR="00000000" w:rsidRPr="00000000">
        <w:rPr>
          <w:sz w:val="24"/>
          <w:szCs w:val="24"/>
          <w:rtl w:val="0"/>
        </w:rPr>
        <w:t xml:space="preserve">são utilizados para calcular os Índices de Desenvolvimento dos CRAS e CREAS, bem como para o Pacto de Aprimoramento do SUAS, e são essenciais para o planejamento e tomada de decisões em políticas públicas de assistência social.</w:t>
      </w:r>
    </w:p>
    <w:p w:rsidR="00000000" w:rsidDel="00000000" w:rsidP="00000000" w:rsidRDefault="00000000" w:rsidRPr="00000000" w14:paraId="00000043">
      <w:pPr>
        <w:numPr>
          <w:ilvl w:val="0"/>
          <w:numId w:val="1"/>
        </w:numPr>
        <w:spacing w:after="240" w:before="240" w:line="240" w:lineRule="auto"/>
        <w:ind w:left="0" w:hanging="2"/>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4">
      <w:pPr>
        <w:spacing w:after="240" w:lineRule="auto"/>
        <w:ind w:left="0" w:hanging="2"/>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Federal nº 8.069</w:t>
      </w:r>
      <w:r w:rsidDel="00000000" w:rsidR="00000000" w:rsidRPr="00000000">
        <w:rPr>
          <w:sz w:val="24"/>
          <w:szCs w:val="24"/>
          <w:rtl w:val="0"/>
        </w:rPr>
        <w:t xml:space="preserve">, de 13 de julho de 1990. </w:t>
      </w:r>
      <w:hyperlink r:id="rId8">
        <w:r w:rsidDel="00000000" w:rsidR="00000000" w:rsidRPr="00000000">
          <w:rPr>
            <w:sz w:val="24"/>
            <w:szCs w:val="24"/>
            <w:rtl w:val="0"/>
          </w:rPr>
          <w:t xml:space="preserve">https://www2.senado.leg.br/bdsf/bitstream/handle/id/534718/eca_1ed.pdf</w:t>
        </w:r>
      </w:hyperlink>
      <w:r w:rsidDel="00000000" w:rsidR="00000000" w:rsidRPr="00000000">
        <w:rPr>
          <w:sz w:val="24"/>
          <w:szCs w:val="24"/>
          <w:rtl w:val="0"/>
        </w:rPr>
        <w:t xml:space="preserve">. Acesso em 20 de abril de 2025.</w:t>
      </w:r>
    </w:p>
    <w:p w:rsidR="00000000" w:rsidDel="00000000" w:rsidP="00000000" w:rsidRDefault="00000000" w:rsidRPr="00000000" w14:paraId="00000045">
      <w:pPr>
        <w:spacing w:after="240" w:lineRule="auto"/>
        <w:ind w:left="0" w:hanging="2"/>
        <w:jc w:val="both"/>
        <w:rPr>
          <w:sz w:val="24"/>
          <w:szCs w:val="24"/>
        </w:rPr>
      </w:pPr>
      <w:r w:rsidDel="00000000" w:rsidR="00000000" w:rsidRPr="00000000">
        <w:rPr>
          <w:sz w:val="24"/>
          <w:szCs w:val="24"/>
          <w:rtl w:val="0"/>
        </w:rPr>
        <w:t xml:space="preserve">BRASIL. Constituição.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Brasília, DF: Presidência da República, [2017]. Disponível em: </w:t>
      </w:r>
      <w:hyperlink r:id="rId9">
        <w:r w:rsidDel="00000000" w:rsidR="00000000" w:rsidRPr="00000000">
          <w:rPr>
            <w:sz w:val="24"/>
            <w:szCs w:val="24"/>
            <w:rtl w:val="0"/>
          </w:rPr>
          <w:t xml:space="preserve">https://www.senado.leg.br/atividade/const/con1988/con1988_06.06.2017/art_227_.asp</w:t>
        </w:r>
      </w:hyperlink>
      <w:r w:rsidDel="00000000" w:rsidR="00000000" w:rsidRPr="00000000">
        <w:rPr>
          <w:sz w:val="24"/>
          <w:szCs w:val="24"/>
          <w:rtl w:val="0"/>
        </w:rPr>
        <w:t xml:space="preserve">. Acesso em: 14 maio de 2025.</w:t>
      </w:r>
    </w:p>
    <w:p w:rsidR="00000000" w:rsidDel="00000000" w:rsidP="00000000" w:rsidRDefault="00000000" w:rsidRPr="00000000" w14:paraId="00000046">
      <w:pPr>
        <w:spacing w:after="240" w:lineRule="auto"/>
        <w:ind w:left="0" w:hanging="2"/>
        <w:jc w:val="both"/>
        <w:rPr>
          <w:sz w:val="24"/>
          <w:szCs w:val="24"/>
        </w:rPr>
      </w:pPr>
      <w:r w:rsidDel="00000000" w:rsidR="00000000" w:rsidRPr="00000000">
        <w:rPr>
          <w:sz w:val="24"/>
          <w:szCs w:val="24"/>
          <w:rtl w:val="0"/>
        </w:rPr>
        <w:t xml:space="preserve">BRASIL. Ministério da Saúde. Secretaria de Vigilância em Saúde e Ambiente. </w:t>
      </w:r>
      <w:r w:rsidDel="00000000" w:rsidR="00000000" w:rsidRPr="00000000">
        <w:rPr>
          <w:b w:val="1"/>
          <w:sz w:val="24"/>
          <w:szCs w:val="24"/>
          <w:rtl w:val="0"/>
        </w:rPr>
        <w:t xml:space="preserve">Boletim Epidemiológico: Notificações de violência sexual contra crianças e adolescentes no Brasil, 2015 a 2021</w:t>
      </w:r>
      <w:r w:rsidDel="00000000" w:rsidR="00000000" w:rsidRPr="00000000">
        <w:rPr>
          <w:sz w:val="24"/>
          <w:szCs w:val="24"/>
          <w:rtl w:val="0"/>
        </w:rPr>
        <w:t xml:space="preserve">, Volume 54, 29 fev. 2024, disponível em: </w:t>
      </w:r>
      <w:hyperlink r:id="rId10">
        <w:r w:rsidDel="00000000" w:rsidR="00000000" w:rsidRPr="00000000">
          <w:rPr>
            <w:sz w:val="24"/>
            <w:szCs w:val="24"/>
            <w:rtl w:val="0"/>
          </w:rPr>
          <w:t xml:space="preserve">https://www.gov.br/saude/pt-br/centrais-de-conteudo/publicacoes/boletins/epidemiologicos/edicoes/2023/boletim-epidemiologico-volume-54-no-08</w:t>
        </w:r>
      </w:hyperlink>
      <w:r w:rsidDel="00000000" w:rsidR="00000000" w:rsidRPr="00000000">
        <w:rPr>
          <w:sz w:val="24"/>
          <w:szCs w:val="24"/>
          <w:rtl w:val="0"/>
        </w:rPr>
        <w:t xml:space="preserve"> , acesso em 23 de abril 2025</w:t>
      </w:r>
    </w:p>
    <w:p w:rsidR="00000000" w:rsidDel="00000000" w:rsidP="00000000" w:rsidRDefault="00000000" w:rsidRPr="00000000" w14:paraId="00000047">
      <w:pPr>
        <w:spacing w:after="240" w:lineRule="auto"/>
        <w:ind w:left="0" w:hanging="2"/>
        <w:jc w:val="both"/>
        <w:rPr>
          <w:sz w:val="24"/>
          <w:szCs w:val="24"/>
        </w:rPr>
      </w:pPr>
      <w:r w:rsidDel="00000000" w:rsidR="00000000" w:rsidRPr="00000000">
        <w:rPr>
          <w:sz w:val="24"/>
          <w:szCs w:val="24"/>
          <w:rtl w:val="0"/>
        </w:rPr>
        <w:t xml:space="preserve">FUNDAÇÃO ABRINQ. </w:t>
      </w:r>
      <w:r w:rsidDel="00000000" w:rsidR="00000000" w:rsidRPr="00000000">
        <w:rPr>
          <w:b w:val="1"/>
          <w:sz w:val="24"/>
          <w:szCs w:val="24"/>
          <w:rtl w:val="0"/>
        </w:rPr>
        <w:t xml:space="preserve">Cenário da Infância e Adolescência no Brasil 2024</w:t>
      </w:r>
      <w:r w:rsidDel="00000000" w:rsidR="00000000" w:rsidRPr="00000000">
        <w:rPr>
          <w:sz w:val="24"/>
          <w:szCs w:val="24"/>
          <w:rtl w:val="0"/>
        </w:rPr>
        <w:t xml:space="preserve">, disponível em: </w:t>
      </w:r>
      <w:hyperlink r:id="rId11">
        <w:r w:rsidDel="00000000" w:rsidR="00000000" w:rsidRPr="00000000">
          <w:rPr>
            <w:sz w:val="24"/>
            <w:szCs w:val="24"/>
            <w:rtl w:val="0"/>
          </w:rPr>
          <w:t xml:space="preserve">https://fadc.org.br/sites/default/files/2024-07/AFABRINQ_CIAB 2024.pdf</w:t>
        </w:r>
      </w:hyperlink>
      <w:r w:rsidDel="00000000" w:rsidR="00000000" w:rsidRPr="00000000">
        <w:rPr>
          <w:sz w:val="24"/>
          <w:szCs w:val="24"/>
          <w:rtl w:val="0"/>
        </w:rPr>
        <w:t xml:space="preserve">, acesso em 25 de abril 2025.</w:t>
      </w:r>
    </w:p>
    <w:p w:rsidR="00000000" w:rsidDel="00000000" w:rsidP="00000000" w:rsidRDefault="00000000" w:rsidRPr="00000000" w14:paraId="00000048">
      <w:pPr>
        <w:spacing w:after="240" w:lineRule="auto"/>
        <w:ind w:left="0" w:hanging="2"/>
        <w:jc w:val="both"/>
        <w:rPr>
          <w:sz w:val="24"/>
          <w:szCs w:val="24"/>
        </w:rPr>
      </w:pPr>
      <w:r w:rsidDel="00000000" w:rsidR="00000000" w:rsidRPr="00000000">
        <w:rPr>
          <w:sz w:val="24"/>
          <w:szCs w:val="24"/>
          <w:rtl w:val="0"/>
        </w:rPr>
        <w:t xml:space="preserve">MAROTTI, Cassia Castilho. OLIVEIRA Elida Joyce. </w:t>
      </w:r>
      <w:r w:rsidDel="00000000" w:rsidR="00000000" w:rsidRPr="00000000">
        <w:rPr>
          <w:b w:val="1"/>
          <w:sz w:val="24"/>
          <w:szCs w:val="24"/>
          <w:rtl w:val="0"/>
        </w:rPr>
        <w:t xml:space="preserve">Projeto de pesquisa:</w:t>
      </w:r>
      <w:r w:rsidDel="00000000" w:rsidR="00000000" w:rsidRPr="00000000">
        <w:rPr>
          <w:sz w:val="24"/>
          <w:szCs w:val="24"/>
          <w:rtl w:val="0"/>
        </w:rPr>
        <w:t xml:space="preserve"> </w:t>
      </w:r>
      <w:r w:rsidDel="00000000" w:rsidR="00000000" w:rsidRPr="00000000">
        <w:rPr>
          <w:b w:val="1"/>
          <w:sz w:val="24"/>
          <w:szCs w:val="24"/>
          <w:rtl w:val="0"/>
        </w:rPr>
        <w:t xml:space="preserve">Criança e Adolescentes Quilombolas na Perspectiva do Sistema Único de Assistência Social</w:t>
      </w:r>
      <w:r w:rsidDel="00000000" w:rsidR="00000000" w:rsidRPr="00000000">
        <w:rPr>
          <w:sz w:val="24"/>
          <w:szCs w:val="24"/>
          <w:rtl w:val="0"/>
        </w:rPr>
        <w:t xml:space="preserve">, Natal/RN, 2025.</w:t>
      </w:r>
    </w:p>
    <w:p w:rsidR="00000000" w:rsidDel="00000000" w:rsidP="00000000" w:rsidRDefault="00000000" w:rsidRPr="00000000" w14:paraId="00000049">
      <w:pPr>
        <w:spacing w:after="240" w:lineRule="auto"/>
        <w:ind w:left="0" w:hanging="2"/>
        <w:jc w:val="both"/>
        <w:rPr>
          <w:sz w:val="24"/>
          <w:szCs w:val="24"/>
        </w:rPr>
      </w:pPr>
      <w:r w:rsidDel="00000000" w:rsidR="00000000" w:rsidRPr="00000000">
        <w:rPr>
          <w:sz w:val="24"/>
          <w:szCs w:val="24"/>
          <w:rtl w:val="0"/>
        </w:rPr>
        <w:t xml:space="preserve">SANTOS. Liana Fortunato. COSTA. Viviane Amaral. </w:t>
      </w:r>
      <w:r w:rsidDel="00000000" w:rsidR="00000000" w:rsidRPr="00000000">
        <w:rPr>
          <w:b w:val="1"/>
          <w:sz w:val="24"/>
          <w:szCs w:val="24"/>
          <w:rtl w:val="0"/>
        </w:rPr>
        <w:t xml:space="preserve">A violência sexual contra crianças e adolescentes: conhecer a realidade possibilita a ação protetiva</w:t>
      </w:r>
      <w:r w:rsidDel="00000000" w:rsidR="00000000" w:rsidRPr="00000000">
        <w:rPr>
          <w:sz w:val="24"/>
          <w:szCs w:val="24"/>
          <w:rtl w:val="0"/>
        </w:rPr>
        <w:t xml:space="preserve">. Estudos de Psicologia. Campinas – SP. Out.-Dez. 2011.</w:t>
      </w:r>
    </w:p>
    <w:sectPr>
      <w:headerReference r:id="rId12" w:type="default"/>
      <w:footerReference r:id="rId13" w:type="default"/>
      <w:pgSz w:h="16834" w:w="11909" w:orient="portrait"/>
      <w:pgMar w:bottom="1134" w:top="1701" w:left="1701" w:right="1134" w:header="340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ind w:left="0" w:hanging="2"/>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A">
      <w:pPr>
        <w:spacing w:line="240" w:lineRule="auto"/>
        <w:ind w:left="0" w:hanging="2"/>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Pesquisadora bolsista da FUNCITERN/SETHAS. </w:t>
      </w:r>
      <w:hyperlink r:id="rId1">
        <w:r w:rsidDel="00000000" w:rsidR="00000000" w:rsidRPr="00000000">
          <w:rPr>
            <w:rFonts w:ascii="Times New Roman" w:cs="Times New Roman" w:eastAsia="Times New Roman" w:hAnsi="Times New Roman"/>
            <w:color w:val="0000ff"/>
            <w:sz w:val="20"/>
            <w:szCs w:val="20"/>
            <w:u w:val="single"/>
            <w:rtl w:val="0"/>
          </w:rPr>
          <w:t xml:space="preserve">cassiacastilhomarotti@gmail.com</w:t>
        </w:r>
      </w:hyperlink>
      <w:r w:rsidDel="00000000" w:rsidR="00000000" w:rsidRPr="00000000">
        <w:rPr>
          <w:rFonts w:ascii="Times New Roman" w:cs="Times New Roman" w:eastAsia="Times New Roman" w:hAnsi="Times New Roman"/>
          <w:sz w:val="20"/>
          <w:szCs w:val="20"/>
          <w:rtl w:val="0"/>
        </w:rPr>
        <w:t xml:space="preserve">. </w:t>
      </w:r>
    </w:p>
  </w:footnote>
  <w:footnote w:id="1">
    <w:p w:rsidR="00000000" w:rsidDel="00000000" w:rsidP="00000000" w:rsidRDefault="00000000" w:rsidRPr="00000000" w14:paraId="0000004B">
      <w:pPr>
        <w:spacing w:line="240" w:lineRule="auto"/>
        <w:ind w:left="0" w:hanging="2"/>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Pesquisadora bolsista da FUNCITERN/SETHAS. Mestra em Ensino/UERN. </w:t>
      </w:r>
      <w:hyperlink r:id="rId2">
        <w:r w:rsidDel="00000000" w:rsidR="00000000" w:rsidRPr="00000000">
          <w:rPr>
            <w:rFonts w:ascii="Times New Roman" w:cs="Times New Roman" w:eastAsia="Times New Roman" w:hAnsi="Times New Roman"/>
            <w:color w:val="0000ff"/>
            <w:sz w:val="20"/>
            <w:szCs w:val="20"/>
            <w:u w:val="single"/>
            <w:rtl w:val="0"/>
          </w:rPr>
          <w:t xml:space="preserve">elidajoyce@hotmail.com</w:t>
        </w:r>
      </w:hyperlink>
      <w:r w:rsidDel="00000000" w:rsidR="00000000" w:rsidRPr="00000000">
        <w:rPr>
          <w:rFonts w:ascii="Times New Roman" w:cs="Times New Roman" w:eastAsia="Times New Roman" w:hAnsi="Times New Roman"/>
          <w:sz w:val="20"/>
          <w:szCs w:val="20"/>
          <w:rtl w:val="0"/>
        </w:rPr>
        <w:t xml:space="preserve">. </w:t>
      </w:r>
    </w:p>
  </w:footnote>
  <w:footnote w:id="2">
    <w:p w:rsidR="00000000" w:rsidDel="00000000" w:rsidP="00000000" w:rsidRDefault="00000000" w:rsidRPr="00000000" w14:paraId="0000004C">
      <w:pPr>
        <w:spacing w:line="240" w:lineRule="auto"/>
        <w:ind w:left="0" w:hanging="2"/>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Subcoordenadora da Vigilância Socioassistencial da SETHAS. Assistente Social. </w:t>
      </w:r>
      <w:hyperlink r:id="rId3">
        <w:r w:rsidDel="00000000" w:rsidR="00000000" w:rsidRPr="00000000">
          <w:rPr>
            <w:rFonts w:ascii="Times New Roman" w:cs="Times New Roman" w:eastAsia="Times New Roman" w:hAnsi="Times New Roman"/>
            <w:color w:val="0000ff"/>
            <w:sz w:val="20"/>
            <w:szCs w:val="20"/>
            <w:u w:val="single"/>
            <w:rtl w:val="0"/>
          </w:rPr>
          <w:t xml:space="preserve">edvania_freitas@outlook.com</w:t>
        </w:r>
      </w:hyperlink>
      <w:r w:rsidDel="00000000" w:rsidR="00000000" w:rsidRPr="00000000">
        <w:rPr>
          <w:rFonts w:ascii="Times New Roman" w:cs="Times New Roman" w:eastAsia="Times New Roman" w:hAnsi="Times New Roman"/>
          <w:sz w:val="20"/>
          <w:szCs w:val="20"/>
          <w:rtl w:val="0"/>
        </w:rPr>
        <w:t xml:space="preserve">.   </w:t>
      </w:r>
    </w:p>
  </w:footnote>
  <w:footnote w:id="3">
    <w:p w:rsidR="00000000" w:rsidDel="00000000" w:rsidP="00000000" w:rsidRDefault="00000000" w:rsidRPr="00000000" w14:paraId="0000004D">
      <w:pPr>
        <w:spacing w:line="240" w:lineRule="auto"/>
        <w:ind w:left="0" w:hanging="2"/>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Pesquisador bolsista da FUNCITERN/SETHAS. Geógrafo e Graduando de Gestão de Políticas Públicas/UFRN. </w:t>
      </w:r>
      <w:hyperlink r:id="rId4">
        <w:r w:rsidDel="00000000" w:rsidR="00000000" w:rsidRPr="00000000">
          <w:rPr>
            <w:rFonts w:ascii="Times New Roman" w:cs="Times New Roman" w:eastAsia="Times New Roman" w:hAnsi="Times New Roman"/>
            <w:color w:val="0000ff"/>
            <w:sz w:val="20"/>
            <w:szCs w:val="20"/>
            <w:u w:val="single"/>
            <w:rtl w:val="0"/>
          </w:rPr>
          <w:t xml:space="preserve">matheusfortunato987@gmail.com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E">
      <w:pPr>
        <w:spacing w:line="240" w:lineRule="auto"/>
        <w:ind w:left="0" w:hanging="2"/>
        <w:rPr>
          <w:rFonts w:ascii="Times New Roman" w:cs="Times New Roman" w:eastAsia="Times New Roman" w:hAnsi="Times New Roman"/>
          <w:sz w:val="20"/>
          <w:szCs w:val="20"/>
        </w:rPr>
      </w:pPr>
      <w:r w:rsidDel="00000000" w:rsidR="00000000" w:rsidRPr="00000000">
        <w:rPr>
          <w:rtl w:val="0"/>
        </w:rPr>
      </w:r>
    </w:p>
  </w:footnote>
  <w:footnote w:id="4">
    <w:p w:rsidR="00000000" w:rsidDel="00000000" w:rsidP="00000000" w:rsidRDefault="00000000" w:rsidRPr="00000000" w14:paraId="0000004F">
      <w:pPr>
        <w:spacing w:line="240" w:lineRule="auto"/>
        <w:ind w:left="0" w:hanging="2"/>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8"/>
          <w:szCs w:val="18"/>
          <w:rtl w:val="0"/>
        </w:rPr>
        <w:t xml:space="preserve">A Gestão Estadual do SUAS, adotou essa dimensão a partir do direcionamento nacional descrito no decreto de 25 de fevereiro de 2008 que institui o Programa Territórios de Cidadania, no Rio Grande do Norte houve a divisão dos municípios em 10 territórios, a saber: (1) Alto Oeste, (2) Sertão do Apodi, (3) Assú/Mossoró, (4) Seridó, (5) Sertão Central Cabugi e Litoral Norte, (6) Mato Grande, (7) Potengi, (8) Trairi, (9) Terras Potiguaras e Agrestes Litorais Sul.</w:t>
      </w:r>
    </w:p>
    <w:p w:rsidR="00000000" w:rsidDel="00000000" w:rsidP="00000000" w:rsidRDefault="00000000" w:rsidRPr="00000000" w14:paraId="00000050">
      <w:pPr>
        <w:ind w:left="0" w:hanging="2"/>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pacing w:line="240" w:lineRule="auto"/>
        <w:ind w:left="0" w:right="113" w:hanging="2"/>
        <w:rPr>
          <w:rFonts w:ascii="Calibri" w:cs="Calibri" w:eastAsia="Calibri" w:hAnsi="Calibri"/>
          <w:color w:val="000000"/>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ind w:left="0" w:hanging="2"/>
      <w:rPr/>
    </w:pPr>
    <w:r w:rsidDel="00000000" w:rsidR="00000000" w:rsidRPr="00000000">
      <w:rPr>
        <w:rtl w:val="0"/>
      </w:rPr>
      <w:t xml:space="preserve"> </w:t>
    </w: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16510</wp:posOffset>
          </wp:positionV>
          <wp:extent cx="7563485" cy="10727690"/>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Arial" w:cs="Arial" w:eastAsia="Arial" w:hAnsi="Arial"/>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8" w:default="1">
    <w:name w:val="Default Paragraph Font"/>
    <w:uiPriority w:val="1"/>
    <w:semiHidden w:val="1"/>
    <w:unhideWhenUsed w:val="1"/>
  </w:style>
  <w:style w:type="table" w:styleId="9" w:default="1">
    <w:name w:val="Normal Table"/>
    <w:uiPriority w:val="99"/>
    <w:semiHidden w:val="1"/>
    <w:unhideWhenUsed w:val="1"/>
    <w:tblPr>
      <w:tblCellMar>
        <w:top w:w="0.0" w:type="dxa"/>
        <w:left w:w="108.0" w:type="dxa"/>
        <w:bottom w:w="0.0" w:type="dxa"/>
        <w:right w:w="108.0" w:type="dxa"/>
      </w:tblCellMar>
    </w:tblPr>
  </w:style>
  <w:style w:type="character" w:styleId="10">
    <w:name w:val="annotation reference"/>
    <w:uiPriority w:val="0"/>
    <w:qFormat w:val="1"/>
    <w:rPr>
      <w:w w:val="100"/>
      <w:position w:val="-1"/>
      <w:sz w:val="16"/>
      <w:szCs w:val="16"/>
      <w:vertAlign w:val="baseline"/>
      <w:cs w:val="0"/>
    </w:rPr>
  </w:style>
  <w:style w:type="character" w:styleId="11">
    <w:name w:val="Emphasis"/>
    <w:uiPriority w:val="0"/>
    <w:rPr>
      <w:i w:val="1"/>
      <w:iCs w:val="1"/>
      <w:w w:val="100"/>
      <w:position w:val="-1"/>
      <w:vertAlign w:val="baseline"/>
      <w:cs w:val="0"/>
    </w:rPr>
  </w:style>
  <w:style w:type="character" w:styleId="12">
    <w:name w:val="footnote reference"/>
    <w:uiPriority w:val="0"/>
    <w:qFormat w:val="1"/>
    <w:rPr>
      <w:w w:val="100"/>
      <w:position w:val="-1"/>
      <w:vertAlign w:val="superscript"/>
      <w:cs w:val="0"/>
    </w:rPr>
  </w:style>
  <w:style w:type="character" w:styleId="13">
    <w:name w:val="Hyperlink"/>
    <w:basedOn w:val="8"/>
    <w:uiPriority w:val="99"/>
    <w:unhideWhenUsed w:val="1"/>
    <w:rPr>
      <w:color w:val="0000ff" w:themeColor="hyperlink"/>
      <w:u w:val="single"/>
      <w14:textFill>
        <w14:solidFill>
          <w14:schemeClr w14:val="hlink"/>
        </w14:solidFill>
      </w14:textFill>
    </w:rPr>
  </w:style>
  <w:style w:type="paragraph" w:styleId="14">
    <w:name w:val="Body Text"/>
    <w:basedOn w:val="1"/>
    <w:uiPriority w:val="0"/>
    <w:pPr>
      <w:widowControl w:val="0"/>
      <w:autoSpaceDE w:val="0"/>
      <w:autoSpaceDN w:val="0"/>
      <w:spacing w:line="240" w:lineRule="auto"/>
    </w:pPr>
    <w:rPr>
      <w:rFonts w:ascii="Calibri" w:cs="Calibri" w:eastAsia="Calibri" w:hAnsi="Calibri"/>
      <w:lang w:eastAsia="en-US" w:val="pt-PT"/>
    </w:rPr>
  </w:style>
  <w:style w:type="paragraph" w:styleId="15">
    <w:name w:val="annotation text"/>
    <w:basedOn w:val="1"/>
    <w:uiPriority w:val="0"/>
    <w:qFormat w:val="1"/>
    <w:rPr>
      <w:sz w:val="20"/>
      <w:szCs w:val="20"/>
    </w:rPr>
  </w:style>
  <w:style w:type="paragraph" w:styleId="17">
    <w:name w:val="Normal (Web)"/>
    <w:basedOn w:val="1"/>
    <w:uiPriority w:val="0"/>
    <w:qFormat w:val="1"/>
    <w:pPr>
      <w:spacing w:after="100" w:afterAutospacing="1" w:before="100" w:beforeAutospacing="1" w:line="240" w:lineRule="auto"/>
    </w:pPr>
    <w:rPr>
      <w:rFonts w:ascii="Times New Roman" w:cs="Times New Roman" w:eastAsia="Times New Roman" w:hAnsi="Times New Roman"/>
      <w:sz w:val="24"/>
      <w:szCs w:val="24"/>
    </w:rPr>
  </w:style>
  <w:style w:type="paragraph" w:styleId="18">
    <w:name w:val="header"/>
    <w:basedOn w:val="1"/>
    <w:uiPriority w:val="0"/>
    <w:qFormat w:val="1"/>
    <w:pPr>
      <w:tabs>
        <w:tab w:val="center" w:pos="4252"/>
        <w:tab w:val="right" w:pos="8504"/>
      </w:tabs>
      <w:spacing w:line="240" w:lineRule="auto"/>
    </w:pPr>
  </w:style>
  <w:style w:type="paragraph" w:styleId="19">
    <w:name w:val="annotation subject"/>
    <w:basedOn w:val="15"/>
    <w:next w:val="15"/>
    <w:uiPriority w:val="0"/>
    <w:qFormat w:val="1"/>
    <w:rPr>
      <w:b w:val="1"/>
      <w:bCs w:val="1"/>
    </w:rPr>
  </w:style>
  <w:style w:type="paragraph" w:styleId="20">
    <w:name w:val="footer"/>
    <w:basedOn w:val="1"/>
    <w:uiPriority w:val="0"/>
    <w:qFormat w:val="1"/>
    <w:pPr>
      <w:tabs>
        <w:tab w:val="center" w:pos="4252"/>
        <w:tab w:val="right" w:pos="8504"/>
      </w:tabs>
      <w:spacing w:line="240" w:lineRule="auto"/>
    </w:pPr>
  </w:style>
  <w:style w:type="paragraph" w:styleId="22">
    <w:name w:val="footnote text"/>
    <w:basedOn w:val="1"/>
    <w:uiPriority w:val="0"/>
    <w:qFormat w:val="1"/>
    <w:pPr>
      <w:spacing w:line="240" w:lineRule="auto"/>
      <w:ind w:left="170" w:right="113"/>
    </w:pPr>
    <w:rPr>
      <w:rFonts w:ascii="Calibri" w:cs="Times New Roman" w:eastAsia="Calibri" w:hAnsi="Calibri"/>
      <w:sz w:val="20"/>
      <w:szCs w:val="20"/>
      <w:lang w:eastAsia="en-US"/>
    </w:rPr>
  </w:style>
  <w:style w:type="table" w:styleId="23" w:customStyle="1">
    <w:name w:val="TableNormal"/>
    <w:uiPriority w:val="0"/>
    <w:tblPr>
      <w:tblCellMar>
        <w:top w:w="0.0" w:type="dxa"/>
        <w:left w:w="0.0" w:type="dxa"/>
        <w:bottom w:w="0.0" w:type="dxa"/>
        <w:right w:w="0.0" w:type="dxa"/>
      </w:tblCellMar>
    </w:tblPr>
  </w:style>
  <w:style w:type="table" w:styleId="24" w:customStyle="1">
    <w:name w:val="Table Normal"/>
    <w:uiPriority w:val="0"/>
    <w:pPr>
      <w:suppressAutoHyphens w:val="1"/>
      <w:ind w:left="-1" w:leftChars="-1" w:hanging="1" w:hangingChars="1"/>
      <w:textAlignment w:val="top"/>
      <w:outlineLvl w:val="0"/>
    </w:pPr>
    <w:rPr>
      <w:position w:val="-1"/>
    </w:rPr>
    <w:tblPr>
      <w:tblCellMar>
        <w:top w:w="0.0" w:type="dxa"/>
        <w:left w:w="0.0" w:type="dxa"/>
        <w:bottom w:w="0.0" w:type="dxa"/>
        <w:right w:w="0.0" w:type="dxa"/>
      </w:tblCellMar>
    </w:tblPr>
  </w:style>
  <w:style w:type="character" w:styleId="25" w:customStyle="1">
    <w:name w:val="Cabeçalho Char"/>
    <w:basedOn w:val="8"/>
    <w:uiPriority w:val="0"/>
    <w:qFormat w:val="1"/>
    <w:rPr>
      <w:w w:val="100"/>
      <w:position w:val="-1"/>
      <w:vertAlign w:val="baseline"/>
      <w:cs w:val="0"/>
    </w:rPr>
  </w:style>
  <w:style w:type="character" w:styleId="26" w:customStyle="1">
    <w:name w:val="Rodapé Char"/>
    <w:basedOn w:val="8"/>
    <w:uiPriority w:val="0"/>
    <w:rPr>
      <w:w w:val="100"/>
      <w:position w:val="-1"/>
      <w:vertAlign w:val="baseline"/>
      <w:cs w:val="0"/>
    </w:rPr>
  </w:style>
  <w:style w:type="character" w:styleId="27" w:customStyle="1">
    <w:name w:val="Corpo de texto Char"/>
    <w:uiPriority w:val="0"/>
    <w:rPr>
      <w:rFonts w:ascii="Calibri" w:cs="Calibri" w:eastAsia="Calibri" w:hAnsi="Calibri"/>
      <w:w w:val="100"/>
      <w:position w:val="-1"/>
      <w:sz w:val="22"/>
      <w:szCs w:val="22"/>
      <w:vertAlign w:val="baseline"/>
      <w:cs w:val="0"/>
      <w:lang w:eastAsia="en-US" w:val="pt-PT"/>
    </w:rPr>
  </w:style>
  <w:style w:type="paragraph" w:styleId="28">
    <w:name w:val="List Paragraph"/>
    <w:basedOn w:val="1"/>
    <w:uiPriority w:val="0"/>
    <w:pPr>
      <w:spacing w:line="240" w:lineRule="auto"/>
      <w:ind w:left="720" w:right="113"/>
      <w:contextualSpacing w:val="1"/>
    </w:pPr>
    <w:rPr>
      <w:rFonts w:ascii="Calibri" w:cs="Times New Roman" w:eastAsia="Calibri" w:hAnsi="Calibri"/>
      <w:lang w:eastAsia="en-US"/>
    </w:rPr>
  </w:style>
  <w:style w:type="character" w:styleId="29" w:customStyle="1">
    <w:name w:val="Texto de nota de rodapé Char"/>
    <w:uiPriority w:val="0"/>
    <w:qFormat w:val="1"/>
    <w:rPr>
      <w:rFonts w:ascii="Calibri" w:cs="Times New Roman" w:eastAsia="Calibri" w:hAnsi="Calibri"/>
      <w:w w:val="100"/>
      <w:position w:val="-1"/>
      <w:vertAlign w:val="baseline"/>
      <w:cs w:val="0"/>
      <w:lang w:eastAsia="en-US"/>
    </w:rPr>
  </w:style>
  <w:style w:type="character" w:styleId="30" w:customStyle="1">
    <w:name w:val="Hyperlink;Hiperlink"/>
    <w:uiPriority w:val="0"/>
    <w:qFormat w:val="1"/>
    <w:rPr>
      <w:color w:val="0563c1"/>
      <w:w w:val="100"/>
      <w:position w:val="-1"/>
      <w:u w:val="single"/>
      <w:vertAlign w:val="baseline"/>
      <w:cs w:val="0"/>
    </w:rPr>
  </w:style>
  <w:style w:type="character" w:styleId="31" w:customStyle="1">
    <w:name w:val="Texto de comentário Char"/>
    <w:basedOn w:val="8"/>
    <w:uiPriority w:val="0"/>
    <w:rPr>
      <w:w w:val="100"/>
      <w:position w:val="-1"/>
      <w:vertAlign w:val="baseline"/>
      <w:cs w:val="0"/>
    </w:rPr>
  </w:style>
  <w:style w:type="character" w:styleId="32" w:customStyle="1">
    <w:name w:val="Assunto do comentário Char"/>
    <w:uiPriority w:val="0"/>
    <w:rPr>
      <w:b w:val="1"/>
      <w:bCs w:val="1"/>
      <w:w w:val="100"/>
      <w:position w:val="-1"/>
      <w:vertAlign w:val="baseline"/>
      <w:cs w:val="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fadc.org.br/sites/default/files/2024-07/AF%20ABRINQ_CIAB%202024.pdf" TargetMode="External"/><Relationship Id="rId10" Type="http://schemas.openxmlformats.org/officeDocument/2006/relationships/hyperlink" Target="https://www.gov.br/saude/pt-br/centrais-de-conteudo/publicacoes/boletins/epidemiologicos/edicoes/2023/boletim-epidemiologico-volume-54-no-08"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enado.leg.br/atividade/const/con1988/con1988_06.06.2017/art_227_.asp"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2.senado.leg.br/bdsf/bitstream/handle/id/534718/eca_1ed.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assiacastilhomarotti@gmail.com" TargetMode="External"/><Relationship Id="rId2" Type="http://schemas.openxmlformats.org/officeDocument/2006/relationships/hyperlink" Target="mailto:elidajoyce@hotmail.com" TargetMode="External"/><Relationship Id="rId3" Type="http://schemas.openxmlformats.org/officeDocument/2006/relationships/hyperlink" Target="mailto:edvania_freitas@outlook.com" TargetMode="External"/><Relationship Id="rId4" Type="http://schemas.openxmlformats.org/officeDocument/2006/relationships/hyperlink" Target="mailto:matheusfortunato987@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FjTAefmsZVgKJvoLcsroRFxxNA==">CgMxLjAyDmguZno3d2F0aXY3a3c1OAByITE4T0tWZWFqOXZ0eXV6Ni1Lams3TW1heEVUeEZxNEo5aA==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2025-06-30T14:05:00Z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ACB2E0FDD2E44852A9DE07B9CFD14836_13</vt:lpwstr>
  </property>
</Properties>
</file>