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9E17E" w14:textId="67028C34" w:rsidR="006E3C07" w:rsidRDefault="006E3C07" w:rsidP="00655BDC">
      <w:pPr>
        <w:spacing w:line="360" w:lineRule="auto"/>
        <w:jc w:val="center"/>
        <w:rPr>
          <w:b/>
          <w:bCs/>
          <w:sz w:val="24"/>
          <w:szCs w:val="24"/>
        </w:rPr>
      </w:pPr>
      <w:r w:rsidRPr="006E3C07">
        <w:rPr>
          <w:b/>
          <w:bCs/>
          <w:sz w:val="24"/>
          <w:szCs w:val="24"/>
        </w:rPr>
        <w:t xml:space="preserve">GREENWASHING NA AMAZÔNIA: </w:t>
      </w:r>
      <w:r w:rsidRPr="006E3C07">
        <w:rPr>
          <w:sz w:val="24"/>
          <w:szCs w:val="24"/>
        </w:rPr>
        <w:t>uma análise crítica à luz d</w:t>
      </w:r>
      <w:r w:rsidR="003924D3">
        <w:rPr>
          <w:sz w:val="24"/>
          <w:szCs w:val="24"/>
        </w:rPr>
        <w:t>a concepção de</w:t>
      </w:r>
      <w:r w:rsidRPr="006E3C07">
        <w:rPr>
          <w:sz w:val="24"/>
          <w:szCs w:val="24"/>
        </w:rPr>
        <w:t xml:space="preserve"> </w:t>
      </w:r>
      <w:r w:rsidR="003924D3" w:rsidRPr="006E3C07">
        <w:rPr>
          <w:sz w:val="24"/>
          <w:szCs w:val="24"/>
        </w:rPr>
        <w:t xml:space="preserve">Desenvolvimento Sustentável </w:t>
      </w:r>
      <w:r w:rsidRPr="006E3C07">
        <w:rPr>
          <w:sz w:val="24"/>
          <w:szCs w:val="24"/>
        </w:rPr>
        <w:t xml:space="preserve">de </w:t>
      </w:r>
      <w:proofErr w:type="spellStart"/>
      <w:r w:rsidRPr="006E3C07">
        <w:rPr>
          <w:sz w:val="24"/>
          <w:szCs w:val="24"/>
        </w:rPr>
        <w:t>Ignacy</w:t>
      </w:r>
      <w:proofErr w:type="spellEnd"/>
      <w:r w:rsidRPr="006E3C07">
        <w:rPr>
          <w:sz w:val="24"/>
          <w:szCs w:val="24"/>
        </w:rPr>
        <w:t xml:space="preserve"> Sachs e </w:t>
      </w:r>
      <w:r w:rsidR="00705E9A">
        <w:rPr>
          <w:sz w:val="24"/>
          <w:szCs w:val="24"/>
        </w:rPr>
        <w:t>a inércia dos mecanismos e metodologias</w:t>
      </w:r>
      <w:r w:rsidRPr="006E3C07">
        <w:rPr>
          <w:sz w:val="24"/>
          <w:szCs w:val="24"/>
        </w:rPr>
        <w:t xml:space="preserve"> internaciona</w:t>
      </w:r>
      <w:r w:rsidR="00705E9A">
        <w:rPr>
          <w:sz w:val="24"/>
          <w:szCs w:val="24"/>
        </w:rPr>
        <w:t>lmente utilizadas.</w:t>
      </w:r>
    </w:p>
    <w:p w14:paraId="1439E949" w14:textId="2604A40C" w:rsidR="0070057D" w:rsidRDefault="00570207" w:rsidP="00655BDC">
      <w:pPr>
        <w:spacing w:line="360" w:lineRule="auto"/>
        <w:jc w:val="right"/>
        <w:rPr>
          <w:sz w:val="24"/>
          <w:szCs w:val="24"/>
        </w:rPr>
      </w:pPr>
      <w:r w:rsidRPr="00570207">
        <w:rPr>
          <w:sz w:val="24"/>
          <w:szCs w:val="24"/>
        </w:rPr>
        <w:t>Samara Micaela Lima da Silva</w:t>
      </w:r>
      <w:r w:rsidR="0070057D">
        <w:rPr>
          <w:rStyle w:val="Refdenotaderodap"/>
          <w:sz w:val="24"/>
          <w:szCs w:val="24"/>
        </w:rPr>
        <w:footnoteReference w:id="1"/>
      </w:r>
    </w:p>
    <w:p w14:paraId="5C0CD97E" w14:textId="68F4CCE3" w:rsidR="00971EAC" w:rsidRDefault="00971EAC" w:rsidP="00655BDC">
      <w:pPr>
        <w:spacing w:line="360" w:lineRule="auto"/>
        <w:jc w:val="right"/>
        <w:rPr>
          <w:sz w:val="24"/>
          <w:szCs w:val="24"/>
        </w:rPr>
      </w:pPr>
      <w:proofErr w:type="spellStart"/>
      <w:r>
        <w:rPr>
          <w:sz w:val="24"/>
          <w:szCs w:val="24"/>
        </w:rPr>
        <w:t>Waleska</w:t>
      </w:r>
      <w:proofErr w:type="spellEnd"/>
      <w:r>
        <w:rPr>
          <w:sz w:val="24"/>
          <w:szCs w:val="24"/>
        </w:rPr>
        <w:t xml:space="preserve"> Lima e Silva</w:t>
      </w:r>
    </w:p>
    <w:p w14:paraId="1E8DA298" w14:textId="77777777" w:rsidR="004F776F" w:rsidRDefault="004F776F" w:rsidP="004F776F">
      <w:pPr>
        <w:spacing w:line="240" w:lineRule="auto"/>
        <w:ind w:left="2835"/>
        <w:jc w:val="both"/>
        <w:rPr>
          <w:b/>
          <w:sz w:val="20"/>
          <w:szCs w:val="20"/>
        </w:rPr>
      </w:pPr>
    </w:p>
    <w:p w14:paraId="3AA35C0A" w14:textId="77777777" w:rsidR="005C4655" w:rsidRDefault="005C4655" w:rsidP="004F776F">
      <w:pPr>
        <w:spacing w:line="240" w:lineRule="auto"/>
        <w:ind w:left="2835"/>
        <w:jc w:val="both"/>
        <w:rPr>
          <w:b/>
          <w:sz w:val="20"/>
          <w:szCs w:val="20"/>
        </w:rPr>
      </w:pPr>
    </w:p>
    <w:p w14:paraId="280EB5AA" w14:textId="77777777" w:rsidR="004F776F" w:rsidRDefault="004F776F" w:rsidP="004F776F">
      <w:pPr>
        <w:spacing w:line="240" w:lineRule="auto"/>
        <w:ind w:left="2835"/>
        <w:jc w:val="both"/>
        <w:rPr>
          <w:b/>
          <w:sz w:val="20"/>
          <w:szCs w:val="20"/>
        </w:rPr>
      </w:pPr>
      <w:r>
        <w:rPr>
          <w:b/>
          <w:sz w:val="20"/>
          <w:szCs w:val="20"/>
        </w:rPr>
        <w:t>Resumo</w:t>
      </w:r>
    </w:p>
    <w:p w14:paraId="08AB85F9" w14:textId="52E59B83" w:rsidR="00570207" w:rsidRDefault="0080389A" w:rsidP="004F776F">
      <w:pPr>
        <w:spacing w:line="240" w:lineRule="auto"/>
        <w:ind w:left="2835"/>
        <w:jc w:val="both"/>
        <w:rPr>
          <w:sz w:val="20"/>
          <w:szCs w:val="20"/>
        </w:rPr>
      </w:pPr>
      <w:r w:rsidRPr="0080389A">
        <w:rPr>
          <w:sz w:val="20"/>
          <w:szCs w:val="20"/>
        </w:rPr>
        <w:t xml:space="preserve">O artigo analisa criticamente o </w:t>
      </w:r>
      <w:proofErr w:type="spellStart"/>
      <w:r w:rsidRPr="0080389A">
        <w:rPr>
          <w:sz w:val="20"/>
          <w:szCs w:val="20"/>
        </w:rPr>
        <w:t>greenwashing</w:t>
      </w:r>
      <w:proofErr w:type="spellEnd"/>
      <w:r w:rsidRPr="0080389A">
        <w:rPr>
          <w:sz w:val="20"/>
          <w:szCs w:val="20"/>
        </w:rPr>
        <w:t xml:space="preserve"> na Amazônia, evidenciando como empresas e instituições financeiras utilizam discursos ambientais para mascarar práticas predatórias. Com base no pensamento de </w:t>
      </w:r>
      <w:proofErr w:type="spellStart"/>
      <w:r w:rsidRPr="0080389A">
        <w:rPr>
          <w:sz w:val="20"/>
          <w:szCs w:val="20"/>
        </w:rPr>
        <w:t>Ignacy</w:t>
      </w:r>
      <w:proofErr w:type="spellEnd"/>
      <w:r w:rsidRPr="0080389A">
        <w:rPr>
          <w:sz w:val="20"/>
          <w:szCs w:val="20"/>
        </w:rPr>
        <w:t xml:space="preserve"> Sachs e no arcabouço da soft </w:t>
      </w:r>
      <w:proofErr w:type="spellStart"/>
      <w:r w:rsidRPr="0080389A">
        <w:rPr>
          <w:sz w:val="20"/>
          <w:szCs w:val="20"/>
        </w:rPr>
        <w:t>law</w:t>
      </w:r>
      <w:proofErr w:type="spellEnd"/>
      <w:r w:rsidRPr="0080389A">
        <w:rPr>
          <w:sz w:val="20"/>
          <w:szCs w:val="20"/>
        </w:rPr>
        <w:t xml:space="preserve"> internacional, examina-se o uso estratégico dos princípios ESG. A abordagem segue o método materialista histórico-dialético, destacando os efeitos desse processo na divisão internacional do trabalho e na reprodução de desigualdades.</w:t>
      </w:r>
    </w:p>
    <w:p w14:paraId="7F75A6F2" w14:textId="56758C76" w:rsidR="004F776F" w:rsidRPr="00A432D6" w:rsidRDefault="004F776F" w:rsidP="004F776F">
      <w:pPr>
        <w:spacing w:line="240" w:lineRule="auto"/>
        <w:ind w:left="2835"/>
        <w:jc w:val="both"/>
        <w:rPr>
          <w:sz w:val="20"/>
          <w:szCs w:val="20"/>
        </w:rPr>
      </w:pPr>
      <w:r>
        <w:rPr>
          <w:b/>
          <w:sz w:val="20"/>
          <w:szCs w:val="20"/>
        </w:rPr>
        <w:t>Palavras-chave</w:t>
      </w:r>
      <w:r>
        <w:rPr>
          <w:sz w:val="20"/>
          <w:szCs w:val="20"/>
        </w:rPr>
        <w:t xml:space="preserve">: </w:t>
      </w:r>
      <w:proofErr w:type="spellStart"/>
      <w:r w:rsidR="0080389A" w:rsidRPr="0080389A">
        <w:rPr>
          <w:sz w:val="20"/>
          <w:szCs w:val="20"/>
        </w:rPr>
        <w:t>Greenwashing</w:t>
      </w:r>
      <w:proofErr w:type="spellEnd"/>
      <w:r w:rsidR="0080389A" w:rsidRPr="0080389A">
        <w:rPr>
          <w:sz w:val="20"/>
          <w:szCs w:val="20"/>
        </w:rPr>
        <w:t xml:space="preserve">; Sustentabilidade; Soft </w:t>
      </w:r>
      <w:proofErr w:type="spellStart"/>
      <w:r w:rsidR="0080389A" w:rsidRPr="0080389A">
        <w:rPr>
          <w:sz w:val="20"/>
          <w:szCs w:val="20"/>
        </w:rPr>
        <w:t>law</w:t>
      </w:r>
      <w:proofErr w:type="spellEnd"/>
      <w:r w:rsidR="0080389A" w:rsidRPr="0080389A">
        <w:rPr>
          <w:sz w:val="20"/>
          <w:szCs w:val="20"/>
        </w:rPr>
        <w:t>.</w:t>
      </w:r>
    </w:p>
    <w:p w14:paraId="5F92842E" w14:textId="77777777" w:rsidR="004F776F" w:rsidRPr="00A432D6" w:rsidRDefault="004F776F" w:rsidP="004F776F">
      <w:pPr>
        <w:spacing w:line="240" w:lineRule="auto"/>
        <w:ind w:left="2835"/>
        <w:jc w:val="both"/>
        <w:rPr>
          <w:sz w:val="20"/>
          <w:szCs w:val="20"/>
        </w:rPr>
      </w:pPr>
    </w:p>
    <w:p w14:paraId="12E5B2B4"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6BE8769E" w14:textId="27C5C071" w:rsidR="006E3C07" w:rsidRDefault="00CD2ECE" w:rsidP="004F776F">
      <w:pPr>
        <w:spacing w:line="240" w:lineRule="auto"/>
        <w:ind w:left="2835"/>
        <w:jc w:val="both"/>
        <w:rPr>
          <w:sz w:val="20"/>
          <w:szCs w:val="20"/>
          <w:lang w:val="en-US"/>
        </w:rPr>
      </w:pPr>
      <w:r w:rsidRPr="00CD2ECE">
        <w:rPr>
          <w:sz w:val="20"/>
          <w:szCs w:val="20"/>
          <w:lang w:val="en-US"/>
        </w:rPr>
        <w:t>This article critically analyzes greenwashing in the Amazon, highlighting how corporations and financial institutions use environmental discourse to conceal predatory practices. Grounded in Ignacy Sachs' theory of sustainable development and framed by international soft law instruments, it examines the strategic use of ESG principles. The study adopts the historical-dialectical materialist method, emphasizing its effects on the international division of labor and the reproduction of inequalities.</w:t>
      </w:r>
    </w:p>
    <w:p w14:paraId="15BFAA5D" w14:textId="068CDABA" w:rsidR="004F776F" w:rsidRPr="00326385" w:rsidRDefault="004F776F" w:rsidP="004F776F">
      <w:pPr>
        <w:spacing w:line="240" w:lineRule="auto"/>
        <w:ind w:left="2835"/>
        <w:jc w:val="both"/>
        <w:rPr>
          <w:sz w:val="20"/>
          <w:szCs w:val="20"/>
        </w:rPr>
      </w:pPr>
      <w:r w:rsidRPr="00326385">
        <w:rPr>
          <w:b/>
          <w:sz w:val="20"/>
          <w:szCs w:val="20"/>
        </w:rPr>
        <w:t>Keywords</w:t>
      </w:r>
      <w:r w:rsidRPr="00326385">
        <w:rPr>
          <w:sz w:val="20"/>
          <w:szCs w:val="20"/>
        </w:rPr>
        <w:t xml:space="preserve">: </w:t>
      </w:r>
      <w:proofErr w:type="spellStart"/>
      <w:r w:rsidR="00CD2ECE" w:rsidRPr="00CD2ECE">
        <w:rPr>
          <w:sz w:val="20"/>
          <w:szCs w:val="20"/>
        </w:rPr>
        <w:t>Greenwashing</w:t>
      </w:r>
      <w:proofErr w:type="spellEnd"/>
      <w:r w:rsidR="00CD2ECE" w:rsidRPr="00CD2ECE">
        <w:rPr>
          <w:sz w:val="20"/>
          <w:szCs w:val="20"/>
        </w:rPr>
        <w:t xml:space="preserve">; </w:t>
      </w:r>
      <w:proofErr w:type="spellStart"/>
      <w:r w:rsidR="00CD2ECE" w:rsidRPr="00CD2ECE">
        <w:rPr>
          <w:sz w:val="20"/>
          <w:szCs w:val="20"/>
        </w:rPr>
        <w:t>Sustainability</w:t>
      </w:r>
      <w:proofErr w:type="spellEnd"/>
      <w:r w:rsidR="00CD2ECE" w:rsidRPr="00CD2ECE">
        <w:rPr>
          <w:sz w:val="20"/>
          <w:szCs w:val="20"/>
        </w:rPr>
        <w:t xml:space="preserve">; Soft </w:t>
      </w:r>
      <w:proofErr w:type="spellStart"/>
      <w:r w:rsidR="00CD2ECE" w:rsidRPr="00CD2ECE">
        <w:rPr>
          <w:sz w:val="20"/>
          <w:szCs w:val="20"/>
        </w:rPr>
        <w:t>law</w:t>
      </w:r>
      <w:proofErr w:type="spellEnd"/>
      <w:r w:rsidR="00CD2ECE" w:rsidRPr="00CD2ECE">
        <w:rPr>
          <w:sz w:val="20"/>
          <w:szCs w:val="20"/>
        </w:rPr>
        <w:t>.</w:t>
      </w:r>
    </w:p>
    <w:p w14:paraId="74F780C2" w14:textId="77777777" w:rsidR="004F776F" w:rsidRPr="00326385" w:rsidRDefault="004F776F" w:rsidP="004F776F">
      <w:pPr>
        <w:spacing w:line="360" w:lineRule="auto"/>
        <w:jc w:val="both"/>
        <w:rPr>
          <w:sz w:val="24"/>
          <w:szCs w:val="24"/>
        </w:rPr>
      </w:pPr>
    </w:p>
    <w:p w14:paraId="56137D8C" w14:textId="77777777" w:rsidR="004F776F" w:rsidRPr="00326385" w:rsidRDefault="004F776F" w:rsidP="004F776F">
      <w:pPr>
        <w:spacing w:line="360" w:lineRule="auto"/>
        <w:jc w:val="both"/>
        <w:rPr>
          <w:sz w:val="24"/>
          <w:szCs w:val="24"/>
        </w:rPr>
      </w:pPr>
    </w:p>
    <w:p w14:paraId="44C4536D" w14:textId="77777777" w:rsidR="004F776F" w:rsidRPr="00326385" w:rsidRDefault="004F776F" w:rsidP="004F776F">
      <w:pPr>
        <w:spacing w:line="360" w:lineRule="auto"/>
        <w:jc w:val="both"/>
        <w:rPr>
          <w:sz w:val="24"/>
          <w:szCs w:val="24"/>
        </w:rPr>
      </w:pPr>
    </w:p>
    <w:p w14:paraId="634A4E48" w14:textId="608BC147" w:rsidR="00A149DA" w:rsidRPr="00A149DA" w:rsidRDefault="004F776F" w:rsidP="00A149DA">
      <w:pPr>
        <w:pStyle w:val="Ttulo1"/>
      </w:pPr>
      <w:r w:rsidRPr="00326385">
        <w:br w:type="page"/>
      </w:r>
      <w:r>
        <w:lastRenderedPageBreak/>
        <w:t>1</w:t>
      </w:r>
      <w:r w:rsidR="00CA4810">
        <w:t xml:space="preserve"> </w:t>
      </w:r>
      <w:r>
        <w:t>INTRODUÇÃO</w:t>
      </w:r>
    </w:p>
    <w:p w14:paraId="5F75E06A" w14:textId="77777777" w:rsidR="004229D8" w:rsidRDefault="004229D8" w:rsidP="004229D8">
      <w:pPr>
        <w:pStyle w:val="Pargrafo"/>
      </w:pPr>
      <w:r>
        <w:t xml:space="preserve">O presente artigo tem como objeto de estudo o fenômeno do </w:t>
      </w:r>
      <w:proofErr w:type="spellStart"/>
      <w:r>
        <w:t>greenwashing</w:t>
      </w:r>
      <w:proofErr w:type="spellEnd"/>
      <w:r>
        <w:t xml:space="preserve"> praticado por empresas e instituições financeiras que operam na região amazônica. Parte-se da hipótese de que tais práticas não apenas comprometem os objetivos da sustentabilidade, mas também perpetuam a lógica de exploração colonial e a mercantilização dos bens comuns. O objetivo é analisar criticamente como o discurso da sustentabilidade tem sido instrumentalizado por meio dos princípios ESG, amparados por mecanismos normativos voluntários, característicos da </w:t>
      </w:r>
      <w:r w:rsidRPr="004229D8">
        <w:rPr>
          <w:i/>
          <w:iCs/>
        </w:rPr>
        <w:t xml:space="preserve">soft </w:t>
      </w:r>
      <w:proofErr w:type="spellStart"/>
      <w:r w:rsidRPr="004229D8">
        <w:rPr>
          <w:i/>
          <w:iCs/>
        </w:rPr>
        <w:t>law</w:t>
      </w:r>
      <w:proofErr w:type="spellEnd"/>
      <w:r>
        <w:t>, para ocultar práticas predatórias e legitimar a atuação empresarial junto ao mercado e à opinião pública.</w:t>
      </w:r>
    </w:p>
    <w:p w14:paraId="2B854387" w14:textId="566FE530" w:rsidR="00E55EF9" w:rsidRDefault="004229D8" w:rsidP="004229D8">
      <w:pPr>
        <w:pStyle w:val="Pargrafo"/>
      </w:pPr>
      <w:r>
        <w:t>A abordagem teórico-metodológica adotada é o materialismo histórico-dialético, que permite compreender as dinâmicas estruturais que regem as contradições entre capital, natureza e trabalho. A partir dessa perspectiva, a Amazônia é compreendida como território estratégico na divisão internacional do trabalho, cujas funções ecológicas e socioculturais têm sido subordinadas aos imperativos do capital globalizado. A análise concentra-se na forma como os discursos ESG, promovidos sob a égide da governança ambiental internacional, reproduzem desigualdades e mascaram os reais efeitos das atividades econômicas desenvolvidas na região.</w:t>
      </w:r>
    </w:p>
    <w:p w14:paraId="079BC7AF" w14:textId="1B8599A6" w:rsidR="004F776F" w:rsidRDefault="004F776F" w:rsidP="00A149DA">
      <w:pPr>
        <w:pStyle w:val="Ttulo1"/>
      </w:pPr>
      <w:r>
        <w:t>2</w:t>
      </w:r>
      <w:r w:rsidR="002270D3">
        <w:t xml:space="preserve"> </w:t>
      </w:r>
      <w:r w:rsidR="00F31C6D">
        <w:t xml:space="preserve">A PANACEIA </w:t>
      </w:r>
      <w:r w:rsidR="00865AAA">
        <w:t>ECOLÓGICA</w:t>
      </w:r>
      <w:r w:rsidR="007F45A7">
        <w:t xml:space="preserve"> DO DESENVOLVIMENTO SUSTENTÁVEL</w:t>
      </w:r>
    </w:p>
    <w:p w14:paraId="27328DAD" w14:textId="7060939E" w:rsidR="007F45A7" w:rsidRDefault="007F45A7" w:rsidP="00F93415">
      <w:pPr>
        <w:pStyle w:val="Pargrafo"/>
        <w:rPr>
          <w:rFonts w:eastAsia="Times New Roman"/>
        </w:rPr>
      </w:pPr>
      <w:r w:rsidRPr="007F45A7">
        <w:rPr>
          <w:rFonts w:eastAsia="Times New Roman"/>
        </w:rPr>
        <w:t xml:space="preserve">A obra </w:t>
      </w:r>
      <w:r w:rsidRPr="007F45A7">
        <w:rPr>
          <w:rFonts w:eastAsia="Times New Roman"/>
          <w:i/>
          <w:iCs/>
        </w:rPr>
        <w:t>Caminhos para o Desenvolvimento Sustentável</w:t>
      </w:r>
      <w:r w:rsidRPr="007F45A7">
        <w:rPr>
          <w:rFonts w:eastAsia="Times New Roman"/>
        </w:rPr>
        <w:t xml:space="preserve">, de </w:t>
      </w:r>
      <w:proofErr w:type="spellStart"/>
      <w:r w:rsidRPr="007F45A7">
        <w:rPr>
          <w:rFonts w:eastAsia="Times New Roman"/>
        </w:rPr>
        <w:t>Ignacy</w:t>
      </w:r>
      <w:proofErr w:type="spellEnd"/>
      <w:r w:rsidRPr="007F45A7">
        <w:rPr>
          <w:rFonts w:eastAsia="Times New Roman"/>
        </w:rPr>
        <w:t xml:space="preserve"> Sachs, oferece importantes fundamentos conceituais para a elaboração de uma crítica ao </w:t>
      </w:r>
      <w:proofErr w:type="spellStart"/>
      <w:r w:rsidRPr="007F45A7">
        <w:rPr>
          <w:rFonts w:eastAsia="Times New Roman"/>
          <w:i/>
          <w:iCs/>
        </w:rPr>
        <w:t>greenwashing</w:t>
      </w:r>
      <w:proofErr w:type="spellEnd"/>
      <w:r w:rsidRPr="007F45A7">
        <w:rPr>
          <w:rFonts w:eastAsia="Times New Roman"/>
        </w:rPr>
        <w:t xml:space="preserve"> na Amazônia, especialmente ao articular o desenvolvimento sustentável com justiça social, conservação ambiental, diversidade cultural e responsabilidade intergeracional.</w:t>
      </w:r>
    </w:p>
    <w:p w14:paraId="0A51EE15" w14:textId="30106B1B" w:rsidR="00C20CA5" w:rsidRDefault="00C20CA5" w:rsidP="00F93415">
      <w:pPr>
        <w:pStyle w:val="Pargrafo"/>
        <w:rPr>
          <w:rFonts w:eastAsia="Times New Roman"/>
        </w:rPr>
      </w:pPr>
      <w:r w:rsidRPr="00C20CA5">
        <w:rPr>
          <w:rFonts w:eastAsia="Times New Roman"/>
        </w:rPr>
        <w:t xml:space="preserve">A mercantilização da natureza configura-se como uma das expressões mais problemáticas da racionalidade econômica dominante, especialmente quando se observa a crescente tentativa de integrar os bens naturais e os serviços ecossistêmicos aos mecanismos de mercado financeiro global. </w:t>
      </w:r>
      <w:proofErr w:type="spellStart"/>
      <w:r w:rsidRPr="00C20CA5">
        <w:rPr>
          <w:rFonts w:eastAsia="Times New Roman"/>
        </w:rPr>
        <w:t>Ignacy</w:t>
      </w:r>
      <w:proofErr w:type="spellEnd"/>
      <w:r w:rsidRPr="00C20CA5">
        <w:rPr>
          <w:rFonts w:eastAsia="Times New Roman"/>
        </w:rPr>
        <w:t xml:space="preserve"> Sachs critica </w:t>
      </w:r>
      <w:r w:rsidRPr="00C20CA5">
        <w:rPr>
          <w:rFonts w:eastAsia="Times New Roman"/>
        </w:rPr>
        <w:lastRenderedPageBreak/>
        <w:t>de forma contundente essa tendência ao advertir que certos setores neoliberais propõem a privatização integral do capital natural e dos serviços ecossistêmicos, com o intuito de convertê-los em ativos financeiros e lastro para emissões de títulos, em uma lógica que se assemelha à criação de um "curral global" de exploração ambiental</w:t>
      </w:r>
      <w:r>
        <w:rPr>
          <w:rFonts w:eastAsia="Times New Roman"/>
        </w:rPr>
        <w:t xml:space="preserve"> </w:t>
      </w:r>
      <w:r w:rsidRPr="00C20CA5">
        <w:t>(Sachs, 2002)</w:t>
      </w:r>
      <w:r w:rsidRPr="00C20CA5">
        <w:rPr>
          <w:rFonts w:eastAsia="Times New Roman"/>
        </w:rPr>
        <w:t xml:space="preserve">. </w:t>
      </w:r>
    </w:p>
    <w:p w14:paraId="1EDB258E" w14:textId="703821A3" w:rsidR="007F45A7" w:rsidRDefault="00C20CA5" w:rsidP="00F93415">
      <w:pPr>
        <w:pStyle w:val="Pargrafo"/>
        <w:rPr>
          <w:rFonts w:eastAsia="Times New Roman"/>
        </w:rPr>
      </w:pPr>
      <w:r w:rsidRPr="00C20CA5">
        <w:rPr>
          <w:rFonts w:eastAsia="Times New Roman"/>
        </w:rPr>
        <w:t>Tal proposta, ao reduzir a complexidade biológica e os direitos socioambientais a valores monetários, compromete a preservação dos bens comuns e a autonomia dos povos dos ecossistemas, sobretudo nos contextos tropicais e periféricos. Nesse sentido, a mercantilização da natureza, ao deslocar a função ecológica dos recursos para sua função especulativa, representa não apenas uma distorção conceitual da sustentabilidade, mas também um obstáculo à construção de modelos alternativos de desenvolvimento, baseados na justiça ambiental, na economia de permanência e na gestão coletiva dos bens naturais</w:t>
      </w:r>
      <w:r>
        <w:rPr>
          <w:rFonts w:eastAsia="Times New Roman"/>
        </w:rPr>
        <w:t xml:space="preserve"> </w:t>
      </w:r>
      <w:r w:rsidRPr="00C20CA5">
        <w:t>(Sachs, 2002)</w:t>
      </w:r>
      <w:r w:rsidRPr="00C20CA5">
        <w:rPr>
          <w:rFonts w:eastAsia="Times New Roman"/>
        </w:rPr>
        <w:t>.</w:t>
      </w:r>
    </w:p>
    <w:p w14:paraId="6C2F4943" w14:textId="56D6C380" w:rsidR="00A36926" w:rsidRDefault="004E7EB3" w:rsidP="00F93415">
      <w:pPr>
        <w:pStyle w:val="Pargrafo"/>
        <w:rPr>
          <w:rFonts w:eastAsia="Times New Roman"/>
        </w:rPr>
      </w:pPr>
      <w:r>
        <w:rPr>
          <w:rFonts w:eastAsia="Times New Roman"/>
        </w:rPr>
        <w:t xml:space="preserve">Em contraponto, </w:t>
      </w:r>
      <w:r w:rsidR="00A36926" w:rsidRPr="00A36926">
        <w:rPr>
          <w:rFonts w:eastAsia="Times New Roman"/>
        </w:rPr>
        <w:t xml:space="preserve">O termo ESG, sigla em inglês para </w:t>
      </w:r>
      <w:r w:rsidR="00A36926" w:rsidRPr="00A36926">
        <w:rPr>
          <w:rFonts w:eastAsia="Times New Roman"/>
          <w:i/>
          <w:iCs/>
        </w:rPr>
        <w:t xml:space="preserve">Environmental, Social </w:t>
      </w:r>
      <w:proofErr w:type="spellStart"/>
      <w:r w:rsidR="00A36926" w:rsidRPr="00A36926">
        <w:rPr>
          <w:rFonts w:eastAsia="Times New Roman"/>
          <w:i/>
          <w:iCs/>
        </w:rPr>
        <w:t>and</w:t>
      </w:r>
      <w:proofErr w:type="spellEnd"/>
      <w:r w:rsidR="00A36926" w:rsidRPr="00A36926">
        <w:rPr>
          <w:rFonts w:eastAsia="Times New Roman"/>
          <w:i/>
          <w:iCs/>
        </w:rPr>
        <w:t xml:space="preserve"> </w:t>
      </w:r>
      <w:proofErr w:type="spellStart"/>
      <w:r w:rsidR="00A36926" w:rsidRPr="00A36926">
        <w:rPr>
          <w:rFonts w:eastAsia="Times New Roman"/>
          <w:i/>
          <w:iCs/>
        </w:rPr>
        <w:t>Governance</w:t>
      </w:r>
      <w:proofErr w:type="spellEnd"/>
      <w:r w:rsidR="00A36926" w:rsidRPr="00A36926">
        <w:rPr>
          <w:rFonts w:eastAsia="Times New Roman"/>
        </w:rPr>
        <w:t>, refere-se aos fatores ambientais, sociais e de governança corporativa que conferem concretude à sustentabilidade quando assumidos como princípios estruturantes da cultura empresarial</w:t>
      </w:r>
      <w:r w:rsidR="00A36926">
        <w:rPr>
          <w:rFonts w:eastAsia="Times New Roman"/>
        </w:rPr>
        <w:t xml:space="preserve"> </w:t>
      </w:r>
      <w:r w:rsidR="00A36926" w:rsidRPr="00A36926">
        <w:t>(Soler, 2023)</w:t>
      </w:r>
      <w:r w:rsidR="00A36926" w:rsidRPr="00A36926">
        <w:rPr>
          <w:rFonts w:eastAsia="Times New Roman"/>
        </w:rPr>
        <w:t xml:space="preserve">. </w:t>
      </w:r>
    </w:p>
    <w:p w14:paraId="2EDC3B00" w14:textId="7F441BCE" w:rsidR="00A36926" w:rsidRDefault="00A36926" w:rsidP="00F93415">
      <w:pPr>
        <w:pStyle w:val="Pargrafo"/>
        <w:rPr>
          <w:rFonts w:eastAsia="Times New Roman"/>
        </w:rPr>
      </w:pPr>
      <w:r w:rsidRPr="00A36926">
        <w:rPr>
          <w:rFonts w:eastAsia="Times New Roman"/>
        </w:rPr>
        <w:t>A efetivação desses valores, contudo, depende diretamente da adoção de um modelo de desenvolvimento sustentável, capaz de articular responsabilidade socioambiental e desempenho econômico. Ao longo do percurso formativo, a pesquisa e a compreensão dessa temática foram sendo gradualmente aprimoradas, evidenciando que a reflexão em torno do ESG constitui um processo contínuo e em permanente atualização</w:t>
      </w:r>
      <w:r>
        <w:rPr>
          <w:rFonts w:eastAsia="Times New Roman"/>
        </w:rPr>
        <w:t xml:space="preserve"> </w:t>
      </w:r>
      <w:r w:rsidRPr="00A36926">
        <w:t>(Soler, 2023)</w:t>
      </w:r>
      <w:r w:rsidRPr="00A36926">
        <w:rPr>
          <w:rFonts w:eastAsia="Times New Roman"/>
        </w:rPr>
        <w:t xml:space="preserve">. </w:t>
      </w:r>
    </w:p>
    <w:p w14:paraId="254062FD" w14:textId="42528FF2" w:rsidR="007F45A7" w:rsidRDefault="00A36926" w:rsidP="00F93415">
      <w:pPr>
        <w:pStyle w:val="Pargrafo"/>
        <w:rPr>
          <w:rFonts w:eastAsia="Times New Roman"/>
        </w:rPr>
      </w:pPr>
      <w:r w:rsidRPr="00A36926">
        <w:rPr>
          <w:rFonts w:eastAsia="Times New Roman"/>
        </w:rPr>
        <w:t xml:space="preserve">A integração desses pilares à lógica dos negócios representa uma oportunidade estratégica para assegurar a perenidade das organizações, ao passo que contribui para a construção de um mundo mais justo e equilibrado, demonstrando que a busca por lucro pode e deve estar alinhada a finalidades mais amplas. Todavia, é preciso destacar que a transição para práticas efetivas de ESG exige equilíbrio e realismo. As transformações não ocorrem de forma automática ou acelerada; ao </w:t>
      </w:r>
      <w:r w:rsidRPr="00A36926">
        <w:rPr>
          <w:rFonts w:eastAsia="Times New Roman"/>
        </w:rPr>
        <w:lastRenderedPageBreak/>
        <w:t>contrário, demandam atenção às especificidades de cada setor produtivo e do contexto nacional em que se insere a empresa. Somente assim será possível evitar a dissociação entre o discurso e a prática, garantindo autenticidade na incorporação dos princípios ESG</w:t>
      </w:r>
      <w:r>
        <w:rPr>
          <w:rFonts w:eastAsia="Times New Roman"/>
        </w:rPr>
        <w:t xml:space="preserve"> </w:t>
      </w:r>
      <w:r w:rsidRPr="00A36926">
        <w:t>(Soler, 2023)</w:t>
      </w:r>
      <w:r w:rsidRPr="00A36926">
        <w:rPr>
          <w:rFonts w:eastAsia="Times New Roman"/>
        </w:rPr>
        <w:t>.</w:t>
      </w:r>
    </w:p>
    <w:p w14:paraId="379B6B07" w14:textId="77777777" w:rsidR="008B57D7" w:rsidRDefault="001F6088" w:rsidP="00F93415">
      <w:pPr>
        <w:pStyle w:val="Pargrafo"/>
        <w:rPr>
          <w:rFonts w:eastAsia="Times New Roman"/>
        </w:rPr>
      </w:pPr>
      <w:r w:rsidRPr="001F6088">
        <w:rPr>
          <w:rFonts w:eastAsia="Times New Roman"/>
        </w:rPr>
        <w:t xml:space="preserve">Embora o ESG tenha surgido como uma proposta promissora para integrar valores ambientais, sociais e de governança às estratégias corporativas, sua rápida disseminação nos mercados financeiros globais acabou por transformá-lo, em muitos casos, em uma panaceia retórica, esvaziada de conteúdo prático e dissociada dos pressupostos fundamentais do desenvolvimento sustentável. Ao ser apropriado como um rótulo atrativo para investidores e consumidores, o ESG passou a ser frequentemente utilizado como mecanismo de legitimação simbólica, servindo mais à gestão da imagem corporativa do que à transformação efetiva dos modelos de produção e consumo. </w:t>
      </w:r>
    </w:p>
    <w:p w14:paraId="7389976B" w14:textId="1B30BBA5" w:rsidR="008B57D7" w:rsidRDefault="001F6088" w:rsidP="00F93415">
      <w:pPr>
        <w:pStyle w:val="Pargrafo"/>
        <w:rPr>
          <w:rFonts w:eastAsia="Times New Roman"/>
        </w:rPr>
      </w:pPr>
      <w:r w:rsidRPr="001F6088">
        <w:rPr>
          <w:rFonts w:eastAsia="Times New Roman"/>
        </w:rPr>
        <w:t xml:space="preserve">A ausência de padronização rigorosa, a multiplicidade de métricas autorreferenciadas e a flexibilização nos critérios de avaliação contribuíram para que as práticas ESG se tornassem altamente adaptáveis aos interesses empresariais, permitindo que empresas mantivessem condutas ambientalmente e socialmente questionáveis ao mesmo tempo em que ostentavam selos de sustentabilidade. </w:t>
      </w:r>
    </w:p>
    <w:p w14:paraId="5A9F11C6" w14:textId="4A402DFA" w:rsidR="001F6088" w:rsidRDefault="001F6088" w:rsidP="00F93415">
      <w:pPr>
        <w:pStyle w:val="Pargrafo"/>
        <w:rPr>
          <w:rFonts w:eastAsia="Times New Roman"/>
        </w:rPr>
      </w:pPr>
      <w:r w:rsidRPr="001F6088">
        <w:rPr>
          <w:rFonts w:eastAsia="Times New Roman"/>
        </w:rPr>
        <w:t>Nesse contexto, o ESG perdeu a capacidade de operar como instrumento de ruptura ou reorientação ética, consolidando-se, antes, como um dispositivo de mercado funcional à lógica do capital financeiro. Em vez de promover o equilíbrio entre viabilidade econômica, justiça social e prudência ecológica</w:t>
      </w:r>
      <w:r>
        <w:rPr>
          <w:rFonts w:eastAsia="Times New Roman"/>
        </w:rPr>
        <w:t>,</w:t>
      </w:r>
      <w:r w:rsidRPr="001F6088">
        <w:rPr>
          <w:rFonts w:eastAsia="Times New Roman"/>
        </w:rPr>
        <w:t xml:space="preserve"> como preconiza </w:t>
      </w:r>
      <w:proofErr w:type="spellStart"/>
      <w:r w:rsidRPr="001F6088">
        <w:rPr>
          <w:rFonts w:eastAsia="Times New Roman"/>
        </w:rPr>
        <w:t>Ignacy</w:t>
      </w:r>
      <w:proofErr w:type="spellEnd"/>
      <w:r w:rsidRPr="001F6088">
        <w:rPr>
          <w:rFonts w:eastAsia="Times New Roman"/>
        </w:rPr>
        <w:t xml:space="preserve"> Sachs, o ESG, quando esvaziado de compromisso, contribui para perpetuar formas sutis de </w:t>
      </w:r>
      <w:proofErr w:type="spellStart"/>
      <w:r w:rsidRPr="008B57D7">
        <w:rPr>
          <w:rFonts w:eastAsia="Times New Roman"/>
          <w:i/>
          <w:iCs/>
        </w:rPr>
        <w:t>greenwashing</w:t>
      </w:r>
      <w:proofErr w:type="spellEnd"/>
      <w:r w:rsidRPr="001F6088">
        <w:rPr>
          <w:rFonts w:eastAsia="Times New Roman"/>
        </w:rPr>
        <w:t xml:space="preserve"> e de ocultamento das externalidades negativas geradas pelas corporações.</w:t>
      </w:r>
      <w:r w:rsidR="008B57D7">
        <w:rPr>
          <w:rFonts w:eastAsia="Times New Roman"/>
        </w:rPr>
        <w:t xml:space="preserve"> Tem-se, então o chamado capitalismo de stakeholders.</w:t>
      </w:r>
    </w:p>
    <w:p w14:paraId="3A77DB84" w14:textId="3E7B8278" w:rsidR="00F93415" w:rsidRPr="00F93415" w:rsidRDefault="00F93415" w:rsidP="00F93415">
      <w:pPr>
        <w:pStyle w:val="Pargrafo"/>
        <w:rPr>
          <w:rFonts w:eastAsia="Times New Roman"/>
        </w:rPr>
      </w:pPr>
      <w:r w:rsidRPr="00F93415">
        <w:rPr>
          <w:rFonts w:eastAsia="Times New Roman"/>
        </w:rPr>
        <w:t xml:space="preserve">De forma sintética, os </w:t>
      </w:r>
      <w:r w:rsidRPr="008B57D7">
        <w:rPr>
          <w:rFonts w:eastAsia="Times New Roman"/>
          <w:i/>
          <w:iCs/>
        </w:rPr>
        <w:t xml:space="preserve">stakeholders </w:t>
      </w:r>
      <w:r w:rsidRPr="00F93415">
        <w:rPr>
          <w:rFonts w:eastAsia="Times New Roman"/>
        </w:rPr>
        <w:t xml:space="preserve">podem ser compreendidos como todos os atores que, de algum modo, exercem influência sobre uma organização ou por ela são influenciados. No âmbito empresarial, essa categoria abrange uma ampla gama de sujeitos, incluindo governos, empregados, clientes (atuais e potenciais), fornecedores, </w:t>
      </w:r>
      <w:r w:rsidRPr="00F93415">
        <w:rPr>
          <w:rFonts w:eastAsia="Times New Roman"/>
        </w:rPr>
        <w:lastRenderedPageBreak/>
        <w:t>instituições financeiras, comunidades locais, sindicatos, investidores, proprietários, acionistas, sócios, organizações não governamentais, concorrentes, meios de comunicação e quaisquer outros agentes que se relacionem direta ou indiretamente com a atividade da empresa</w:t>
      </w:r>
      <w:r>
        <w:rPr>
          <w:rFonts w:eastAsia="Times New Roman"/>
        </w:rPr>
        <w:t xml:space="preserve"> </w:t>
      </w:r>
      <w:r w:rsidRPr="00F93415">
        <w:t>(Alves, 2024)</w:t>
      </w:r>
      <w:r w:rsidRPr="00F93415">
        <w:rPr>
          <w:rFonts w:eastAsia="Times New Roman"/>
        </w:rPr>
        <w:t>.</w:t>
      </w:r>
    </w:p>
    <w:p w14:paraId="3A2F3755" w14:textId="065EDE22" w:rsidR="002E18AD" w:rsidRDefault="00F93415" w:rsidP="00F93415">
      <w:pPr>
        <w:pStyle w:val="Pargrafo"/>
        <w:rPr>
          <w:rFonts w:eastAsia="Times New Roman"/>
        </w:rPr>
      </w:pPr>
      <w:r w:rsidRPr="00F93415">
        <w:rPr>
          <w:rFonts w:eastAsia="Times New Roman"/>
        </w:rPr>
        <w:t xml:space="preserve">Dentro desse conjunto mais amplo de stakeholders, é possível identificar um subgrupo específico denominado </w:t>
      </w:r>
      <w:proofErr w:type="spellStart"/>
      <w:r w:rsidRPr="008B57D7">
        <w:rPr>
          <w:rFonts w:eastAsia="Times New Roman"/>
          <w:i/>
          <w:iCs/>
        </w:rPr>
        <w:t>shareholders</w:t>
      </w:r>
      <w:proofErr w:type="spellEnd"/>
      <w:r w:rsidRPr="00F93415">
        <w:rPr>
          <w:rFonts w:eastAsia="Times New Roman"/>
        </w:rPr>
        <w:t>. Esses se distinguem dos demais por possuírem efetivamente participação no capital da empresa, ainda que proporcionalmente pequena. Integram essa categoria os acionistas, sócios, investidores e proprietários, o que inclui também microempresários e empreendedores, cuja atuação está intrinsecamente vinculada à propriedade e à gestão do capital</w:t>
      </w:r>
      <w:r>
        <w:rPr>
          <w:rFonts w:eastAsia="Times New Roman"/>
        </w:rPr>
        <w:t xml:space="preserve"> </w:t>
      </w:r>
      <w:r w:rsidRPr="00F93415">
        <w:t>(Alves, 2024)</w:t>
      </w:r>
      <w:r w:rsidRPr="00F93415">
        <w:rPr>
          <w:rFonts w:eastAsia="Times New Roman"/>
        </w:rPr>
        <w:t>.</w:t>
      </w:r>
    </w:p>
    <w:p w14:paraId="15251BF0" w14:textId="3B37E8ED" w:rsidR="00080FDF" w:rsidRPr="00080FDF" w:rsidRDefault="00080FDF" w:rsidP="00080FDF">
      <w:pPr>
        <w:pStyle w:val="Pargrafo"/>
        <w:rPr>
          <w:rFonts w:eastAsia="Times New Roman"/>
        </w:rPr>
      </w:pPr>
      <w:r w:rsidRPr="00080FDF">
        <w:rPr>
          <w:rFonts w:eastAsia="Times New Roman"/>
        </w:rPr>
        <w:t xml:space="preserve">O modelo de capitalismo orientado pelos </w:t>
      </w:r>
      <w:r w:rsidRPr="008B57D7">
        <w:rPr>
          <w:rFonts w:eastAsia="Times New Roman"/>
          <w:i/>
          <w:iCs/>
        </w:rPr>
        <w:t xml:space="preserve">stakeholders </w:t>
      </w:r>
      <w:r w:rsidRPr="00080FDF">
        <w:rPr>
          <w:rFonts w:eastAsia="Times New Roman"/>
        </w:rPr>
        <w:t xml:space="preserve">distingue-se de forma substancial de outras variantes, como o capitalismo voltado exclusivamente para os </w:t>
      </w:r>
      <w:proofErr w:type="spellStart"/>
      <w:r w:rsidRPr="008B57D7">
        <w:rPr>
          <w:rFonts w:eastAsia="Times New Roman"/>
          <w:i/>
          <w:iCs/>
        </w:rPr>
        <w:t>shareholders</w:t>
      </w:r>
      <w:proofErr w:type="spellEnd"/>
      <w:r w:rsidRPr="00080FDF">
        <w:rPr>
          <w:rFonts w:eastAsia="Times New Roman"/>
        </w:rPr>
        <w:t xml:space="preserve"> ou o chamado capitalismo de Estado, ao propor mecanismos que buscam superar limitações estruturais presentes nesses sistemas. Nesse arranjo, todos os atores que possuem interesses</w:t>
      </w:r>
      <w:r>
        <w:rPr>
          <w:rFonts w:eastAsia="Times New Roman"/>
        </w:rPr>
        <w:t xml:space="preserve"> </w:t>
      </w:r>
      <w:r w:rsidRPr="00080FDF">
        <w:rPr>
          <w:rFonts w:eastAsia="Times New Roman"/>
        </w:rPr>
        <w:t>nas atividades econômicas passam a ter a possibilidade de intervir no processo decisório, de modo que as métricas de desempenho deixam de se restringir à lucratividade e incorporam considerações sociais e ambientais mais amplas</w:t>
      </w:r>
      <w:r>
        <w:rPr>
          <w:rFonts w:eastAsia="Times New Roman"/>
        </w:rPr>
        <w:t xml:space="preserve"> </w:t>
      </w:r>
      <w:r w:rsidRPr="00080FDF">
        <w:t>(Alves, 2024)</w:t>
      </w:r>
      <w:r w:rsidRPr="00080FDF">
        <w:rPr>
          <w:rFonts w:eastAsia="Times New Roman"/>
        </w:rPr>
        <w:t>.</w:t>
      </w:r>
    </w:p>
    <w:p w14:paraId="0A2AA3F8" w14:textId="1895E87E" w:rsidR="00F93415" w:rsidRDefault="00080FDF" w:rsidP="00080FDF">
      <w:pPr>
        <w:pStyle w:val="Pargrafo"/>
        <w:rPr>
          <w:rFonts w:eastAsia="Times New Roman"/>
        </w:rPr>
      </w:pPr>
      <w:r w:rsidRPr="00080FDF">
        <w:rPr>
          <w:rFonts w:eastAsia="Times New Roman"/>
        </w:rPr>
        <w:t>Além disso, o capitalismo stakeholder opera com base em um sistema de freios e contrapesos que visa impedir a concentração excessiva de poder em um único grupo de interesse, promovendo um equilíbrio entre os diversos atores envolvidos. Nesse contexto, tanto o Estado quanto as empresas são orientados não apenas pela maximização de lucros, mas pela busca de um bem-estar coletivo que contemple a prosperidade social, a sustentabilidade ambiental e a preservação intergeracional. Assim, esse modelo emerge como uma alternativa preferencial e necessária frente aos desafios contemporâneos, sendo apontado como o paradigma econômico a ser perseguido nas transformações futuras</w:t>
      </w:r>
      <w:r>
        <w:rPr>
          <w:rFonts w:eastAsia="Times New Roman"/>
        </w:rPr>
        <w:t xml:space="preserve"> </w:t>
      </w:r>
      <w:r w:rsidRPr="00080FDF">
        <w:t>(Alves, 2024)</w:t>
      </w:r>
      <w:r w:rsidRPr="00080FDF">
        <w:rPr>
          <w:rFonts w:eastAsia="Times New Roman"/>
        </w:rPr>
        <w:t>.</w:t>
      </w:r>
    </w:p>
    <w:p w14:paraId="17ACEDE3" w14:textId="7B2DEA45" w:rsidR="00741666" w:rsidRDefault="00691011" w:rsidP="00080FDF">
      <w:pPr>
        <w:pStyle w:val="Pargrafo"/>
        <w:rPr>
          <w:rFonts w:eastAsia="Times New Roman"/>
        </w:rPr>
      </w:pPr>
      <w:r>
        <w:rPr>
          <w:rFonts w:eastAsia="Times New Roman"/>
        </w:rPr>
        <w:lastRenderedPageBreak/>
        <w:t>Sob a</w:t>
      </w:r>
      <w:r w:rsidR="00741666">
        <w:rPr>
          <w:rFonts w:eastAsia="Times New Roman"/>
        </w:rPr>
        <w:t xml:space="preserve"> luz da proposta de desenvolvimento </w:t>
      </w:r>
      <w:r w:rsidR="0096424A">
        <w:rPr>
          <w:rFonts w:eastAsia="Times New Roman"/>
        </w:rPr>
        <w:t>sustentável de Sachs, que</w:t>
      </w:r>
      <w:r>
        <w:rPr>
          <w:rFonts w:eastAsia="Times New Roman"/>
        </w:rPr>
        <w:t xml:space="preserve"> se </w:t>
      </w:r>
      <w:r w:rsidRPr="00691011">
        <w:rPr>
          <w:rFonts w:eastAsia="Times New Roman"/>
        </w:rPr>
        <w:t xml:space="preserve">analisa criticamente como o </w:t>
      </w:r>
      <w:proofErr w:type="spellStart"/>
      <w:r w:rsidRPr="00691011">
        <w:rPr>
          <w:rFonts w:eastAsia="Times New Roman"/>
        </w:rPr>
        <w:t>greenwashing</w:t>
      </w:r>
      <w:proofErr w:type="spellEnd"/>
      <w:r w:rsidRPr="00691011">
        <w:rPr>
          <w:rFonts w:eastAsia="Times New Roman"/>
        </w:rPr>
        <w:t xml:space="preserve"> tem sido usado para manter estruturas de poder e exploração na Amazônia, especialmente quando articulado por grandes corporações e instituições financeiras globais. A esse cenário soma-se um elemento importante: a crescente pressão internacional exercida sobre as empresas por meio de instrumentos normativos não vinculantes — o chamado soft </w:t>
      </w:r>
      <w:proofErr w:type="spellStart"/>
      <w:r w:rsidRPr="00691011">
        <w:rPr>
          <w:rFonts w:eastAsia="Times New Roman"/>
        </w:rPr>
        <w:t>law</w:t>
      </w:r>
      <w:proofErr w:type="spellEnd"/>
      <w:r w:rsidRPr="00691011">
        <w:rPr>
          <w:rFonts w:eastAsia="Times New Roman"/>
        </w:rPr>
        <w:t xml:space="preserve"> — que, embora não sejam obrigatórios, moldam a atuação empresarial no campo da sustentabilidade</w:t>
      </w:r>
      <w:r>
        <w:rPr>
          <w:rFonts w:eastAsia="Times New Roman"/>
        </w:rPr>
        <w:t xml:space="preserve"> </w:t>
      </w:r>
      <w:r w:rsidRPr="00691011">
        <w:t>(</w:t>
      </w:r>
      <w:proofErr w:type="spellStart"/>
      <w:r w:rsidRPr="00691011">
        <w:t>Smolenaars</w:t>
      </w:r>
      <w:proofErr w:type="spellEnd"/>
      <w:r w:rsidRPr="00691011">
        <w:t xml:space="preserve">; </w:t>
      </w:r>
      <w:proofErr w:type="spellStart"/>
      <w:r w:rsidRPr="00691011">
        <w:t>Pellin</w:t>
      </w:r>
      <w:proofErr w:type="spellEnd"/>
      <w:r w:rsidRPr="00691011">
        <w:t>, 2023)</w:t>
      </w:r>
      <w:r>
        <w:rPr>
          <w:rFonts w:eastAsia="Times New Roman"/>
        </w:rPr>
        <w:t>.</w:t>
      </w:r>
    </w:p>
    <w:p w14:paraId="25F62E39" w14:textId="23A57963" w:rsidR="003A6025" w:rsidRDefault="003A6025" w:rsidP="00080FDF">
      <w:pPr>
        <w:pStyle w:val="Pargrafo"/>
        <w:rPr>
          <w:rFonts w:eastAsia="Times New Roman"/>
        </w:rPr>
      </w:pPr>
      <w:r w:rsidRPr="003A6025">
        <w:rPr>
          <w:rFonts w:eastAsia="Times New Roman"/>
        </w:rPr>
        <w:t>Os princípios ESG têm sido compreendidos, na literatura recente, como diretrizes voltadas à incorporação de aspectos ambientais, sociais e de governança no universo corporativo, abrangendo temáticas como mudanças climáticas, diversidade, relações de trabalho, ética e estrutura organizacional. Para além de sua dimensão normativa, tais princípios vêm sendo empregados como instrumentos de aferição da reputação institucional e do grau de comprometimento social das empresas</w:t>
      </w:r>
      <w:r>
        <w:rPr>
          <w:rFonts w:eastAsia="Times New Roman"/>
        </w:rPr>
        <w:t xml:space="preserve"> </w:t>
      </w:r>
      <w:r w:rsidRPr="003A6025">
        <w:t>(</w:t>
      </w:r>
      <w:proofErr w:type="spellStart"/>
      <w:r w:rsidRPr="003A6025">
        <w:t>Smolenaars</w:t>
      </w:r>
      <w:proofErr w:type="spellEnd"/>
      <w:r w:rsidRPr="003A6025">
        <w:t xml:space="preserve">; </w:t>
      </w:r>
      <w:proofErr w:type="spellStart"/>
      <w:r w:rsidRPr="003A6025">
        <w:t>Pellin</w:t>
      </w:r>
      <w:proofErr w:type="spellEnd"/>
      <w:r w:rsidRPr="003A6025">
        <w:t>, 2023)</w:t>
      </w:r>
      <w:r w:rsidRPr="003A6025">
        <w:rPr>
          <w:rFonts w:eastAsia="Times New Roman"/>
        </w:rPr>
        <w:t xml:space="preserve">. </w:t>
      </w:r>
    </w:p>
    <w:p w14:paraId="086206C5" w14:textId="2ECFD9A5" w:rsidR="00691011" w:rsidRPr="00AC5527" w:rsidRDefault="003A6025" w:rsidP="00080FDF">
      <w:pPr>
        <w:pStyle w:val="Pargrafo"/>
        <w:rPr>
          <w:rFonts w:eastAsia="Times New Roman"/>
        </w:rPr>
      </w:pPr>
      <w:r w:rsidRPr="003A6025">
        <w:rPr>
          <w:rFonts w:eastAsia="Times New Roman"/>
        </w:rPr>
        <w:t xml:space="preserve">No entanto, seu caráter não vinculante, associado à lógica da </w:t>
      </w:r>
      <w:r w:rsidRPr="003A6025">
        <w:rPr>
          <w:rFonts w:eastAsia="Times New Roman"/>
          <w:i/>
          <w:iCs/>
        </w:rPr>
        <w:t xml:space="preserve">soft </w:t>
      </w:r>
      <w:proofErr w:type="spellStart"/>
      <w:r w:rsidRPr="003A6025">
        <w:rPr>
          <w:rFonts w:eastAsia="Times New Roman"/>
          <w:i/>
          <w:iCs/>
        </w:rPr>
        <w:t>law</w:t>
      </w:r>
      <w:proofErr w:type="spellEnd"/>
      <w:r w:rsidRPr="003A6025">
        <w:rPr>
          <w:rFonts w:eastAsia="Times New Roman"/>
        </w:rPr>
        <w:t xml:space="preserve">, revela que se </w:t>
      </w:r>
      <w:r w:rsidR="00CD2ECE" w:rsidRPr="003A6025">
        <w:rPr>
          <w:rFonts w:eastAsia="Times New Roman"/>
        </w:rPr>
        <w:t>trata</w:t>
      </w:r>
      <w:r w:rsidRPr="003A6025">
        <w:rPr>
          <w:rFonts w:eastAsia="Times New Roman"/>
        </w:rPr>
        <w:t xml:space="preserve"> de compromissos cuja violação não necessariamente resulta em sanções formais, o que lhes confere uma natureza essencialmente simbólica. Essa flexibilidade normativa, ainda que favoreça a adesão voluntária e a disseminação dos princípios, também os torna vulneráveis à apropriação retórica, sobretudo quando são utilizados como estratégias de autopromoção, sem correspondência com transformações estruturais nas práticas empresariais</w:t>
      </w:r>
      <w:r>
        <w:rPr>
          <w:rFonts w:eastAsia="Times New Roman"/>
        </w:rPr>
        <w:t xml:space="preserve"> </w:t>
      </w:r>
      <w:r w:rsidRPr="003A6025">
        <w:t>(</w:t>
      </w:r>
      <w:proofErr w:type="spellStart"/>
      <w:r w:rsidRPr="003A6025">
        <w:t>Smolenaars</w:t>
      </w:r>
      <w:proofErr w:type="spellEnd"/>
      <w:r w:rsidRPr="003A6025">
        <w:t xml:space="preserve">; </w:t>
      </w:r>
      <w:proofErr w:type="spellStart"/>
      <w:r w:rsidRPr="003A6025">
        <w:t>Pellin</w:t>
      </w:r>
      <w:proofErr w:type="spellEnd"/>
      <w:r w:rsidRPr="003A6025">
        <w:t>, 2023)</w:t>
      </w:r>
      <w:r>
        <w:rPr>
          <w:rFonts w:eastAsia="Times New Roman"/>
        </w:rPr>
        <w:t>.</w:t>
      </w:r>
    </w:p>
    <w:p w14:paraId="0CDD40F5" w14:textId="2D911727" w:rsidR="00AD5609" w:rsidRDefault="00464189" w:rsidP="008B0F0B">
      <w:pPr>
        <w:pStyle w:val="Ttulo1"/>
      </w:pPr>
      <w:r>
        <w:t>3</w:t>
      </w:r>
      <w:r w:rsidR="00AD5609">
        <w:t xml:space="preserve"> </w:t>
      </w:r>
      <w:r w:rsidR="00672E7D">
        <w:t>A PRESERVAÇÃO DA AMAZÔNIA SOB A PERSPECTIVA</w:t>
      </w:r>
    </w:p>
    <w:p w14:paraId="09D429EB" w14:textId="2764AA39" w:rsidR="00672E7D" w:rsidRDefault="00672E7D" w:rsidP="00A53F0C">
      <w:pPr>
        <w:pStyle w:val="Pargrafo"/>
      </w:pPr>
      <w:r w:rsidRPr="00672E7D">
        <w:t xml:space="preserve">O fenômeno do </w:t>
      </w:r>
      <w:proofErr w:type="spellStart"/>
      <w:r w:rsidRPr="00672E7D">
        <w:rPr>
          <w:i/>
          <w:iCs/>
        </w:rPr>
        <w:t>greenwashing</w:t>
      </w:r>
      <w:proofErr w:type="spellEnd"/>
      <w:r w:rsidRPr="00672E7D">
        <w:t>, embora amplamente difundido em estratégias corporativas globais, assume contornos especialmente perversos quando analisado no contexto amazônico. Trata-se da apropriação de um discurso ambientalista com o objetivo de melhorar a imagem institucional de empresas e bancos, sem mudanças estruturais em suas práticas</w:t>
      </w:r>
      <w:r>
        <w:t xml:space="preserve"> </w:t>
      </w:r>
      <w:r w:rsidRPr="00672E7D">
        <w:t xml:space="preserve">(Valente </w:t>
      </w:r>
      <w:r w:rsidRPr="00672E7D">
        <w:rPr>
          <w:i/>
          <w:iCs/>
        </w:rPr>
        <w:t>et al.</w:t>
      </w:r>
      <w:r w:rsidRPr="00672E7D">
        <w:t xml:space="preserve">, 2023). </w:t>
      </w:r>
      <w:r>
        <w:t>E</w:t>
      </w:r>
      <w:r w:rsidRPr="00672E7D">
        <w:t xml:space="preserve">ssa prática se manifesta por meio </w:t>
      </w:r>
      <w:r w:rsidRPr="00672E7D">
        <w:lastRenderedPageBreak/>
        <w:t>da omissão de dados relevantes, da utilização de selos ou campanhas ambientais genéricas e da exploração simbólica de valores sustentáveis, enquanto as ações concretas seguem reproduzindo lógicas de degradação e injustiça ambiental</w:t>
      </w:r>
      <w:r w:rsidR="00E545A2">
        <w:t xml:space="preserve"> </w:t>
      </w:r>
      <w:r w:rsidR="00E545A2" w:rsidRPr="00E545A2">
        <w:t xml:space="preserve">(Valente </w:t>
      </w:r>
      <w:r w:rsidR="00E545A2" w:rsidRPr="00E545A2">
        <w:rPr>
          <w:i/>
          <w:iCs/>
        </w:rPr>
        <w:t>et al.</w:t>
      </w:r>
      <w:r w:rsidR="00E545A2" w:rsidRPr="00E545A2">
        <w:t>, 2023)</w:t>
      </w:r>
      <w:r w:rsidRPr="00672E7D">
        <w:t>.</w:t>
      </w:r>
    </w:p>
    <w:p w14:paraId="49C00EE5" w14:textId="7801F5B3" w:rsidR="00E545A2" w:rsidRDefault="00E545A2" w:rsidP="00A53F0C">
      <w:pPr>
        <w:pStyle w:val="Pargrafo"/>
      </w:pPr>
      <w:r w:rsidRPr="00E545A2">
        <w:t>Na Amazônia, esse discurso de fachada ganha força principalmente a partir da atuação de empresas ligadas ao setor extrativista e de instituições financeiras internacionais. O relatório “</w:t>
      </w:r>
      <w:proofErr w:type="spellStart"/>
      <w:r w:rsidRPr="00E545A2">
        <w:t>Greenwashing</w:t>
      </w:r>
      <w:proofErr w:type="spellEnd"/>
      <w:r w:rsidRPr="00E545A2">
        <w:t xml:space="preserve"> na Amazônia”, publicado pela </w:t>
      </w:r>
      <w:proofErr w:type="spellStart"/>
      <w:r w:rsidRPr="00E545A2">
        <w:t>Stand.earth</w:t>
      </w:r>
      <w:proofErr w:type="spellEnd"/>
      <w:r w:rsidRPr="00E545A2">
        <w:t xml:space="preserve"> e COICA</w:t>
      </w:r>
      <w:r>
        <w:t xml:space="preserve"> </w:t>
      </w:r>
      <w:r w:rsidRPr="00E545A2">
        <w:t>aponta que seis bancos</w:t>
      </w:r>
      <w:r>
        <w:t xml:space="preserve"> </w:t>
      </w:r>
      <w:r w:rsidRPr="00E545A2">
        <w:t>foram responsáveis por quase metade de todo o financiamento direto a operações de petróleo e gás na região nos últimos 20 anos</w:t>
      </w:r>
      <w:r>
        <w:t xml:space="preserve"> </w:t>
      </w:r>
      <w:r w:rsidRPr="00E545A2">
        <w:t>(</w:t>
      </w:r>
      <w:proofErr w:type="spellStart"/>
      <w:r w:rsidRPr="00E545A2">
        <w:t>Stand.earth</w:t>
      </w:r>
      <w:proofErr w:type="spellEnd"/>
      <w:r w:rsidRPr="00E545A2">
        <w:t xml:space="preserve">; Robertson; León, 2024). </w:t>
      </w:r>
    </w:p>
    <w:p w14:paraId="02157736" w14:textId="58AFA257" w:rsidR="00E545A2" w:rsidRDefault="00866D95" w:rsidP="00A53F0C">
      <w:pPr>
        <w:pStyle w:val="Pargrafo"/>
      </w:pPr>
      <w:r w:rsidRPr="00866D95">
        <w:t>Essa distância entre discurso e prática também é evidenciada em casos concretos envolvendo grandes empresas brasileiras. A JBS, por exemplo, mantém compromissos públicos com metas de “desmatamento zero”, mas investigações apontam a aquisição de gado oriundo de áreas embargadas por desmatamento ilegal</w:t>
      </w:r>
      <w:r>
        <w:t xml:space="preserve"> </w:t>
      </w:r>
      <w:r w:rsidRPr="00866D95">
        <w:t xml:space="preserve">(Aranha </w:t>
      </w:r>
      <w:r w:rsidRPr="00866D95">
        <w:rPr>
          <w:i/>
          <w:iCs/>
        </w:rPr>
        <w:t>et al.</w:t>
      </w:r>
      <w:r w:rsidRPr="00866D95">
        <w:t>, 2025)</w:t>
      </w:r>
      <w:r>
        <w:t>.</w:t>
      </w:r>
    </w:p>
    <w:p w14:paraId="47AB9DC4" w14:textId="34083A0E" w:rsidR="00E84E0B" w:rsidRDefault="00E84E0B" w:rsidP="00A53F0C">
      <w:pPr>
        <w:pStyle w:val="Pargrafo"/>
      </w:pPr>
      <w:r w:rsidRPr="00E84E0B">
        <w:t xml:space="preserve">Do mesmo modo, a Petrobras conduz campanhas publicitárias em favor da transição energética, enquanto insiste em expandir suas operações de exploração de petróleo na sensível região da Foz do Amazonas </w:t>
      </w:r>
      <w:r w:rsidR="00DC41CD" w:rsidRPr="00DC41CD">
        <w:t>(</w:t>
      </w:r>
      <w:proofErr w:type="spellStart"/>
      <w:r w:rsidR="00DC41CD" w:rsidRPr="00DC41CD">
        <w:t>Modelli</w:t>
      </w:r>
      <w:proofErr w:type="spellEnd"/>
      <w:r w:rsidR="00DC41CD" w:rsidRPr="00DC41CD">
        <w:t>, 2025)</w:t>
      </w:r>
      <w:r w:rsidR="00DC41CD">
        <w:t xml:space="preserve">. </w:t>
      </w:r>
      <w:r w:rsidR="00387411" w:rsidRPr="00387411">
        <w:t xml:space="preserve">Tais exemplos evidenciam que o </w:t>
      </w:r>
      <w:proofErr w:type="spellStart"/>
      <w:r w:rsidR="00387411" w:rsidRPr="00387411">
        <w:t>greenwashing</w:t>
      </w:r>
      <w:proofErr w:type="spellEnd"/>
      <w:r w:rsidR="00387411" w:rsidRPr="00387411">
        <w:t xml:space="preserve"> não se limita a induzir em erro consumidores e investidores, mas opera também como instrumento de dissimulação da persistência de um modelo econômico insustentável e de orientação colonial na Amazônia, ocultando práticas que perpetuam a exploração intensiva dos recursos naturais e a marginalização das populações tradicionais sob o véu do discurso da sustentabilidade.</w:t>
      </w:r>
    </w:p>
    <w:p w14:paraId="1C7A6227" w14:textId="2D22EB94" w:rsidR="00A53F0C" w:rsidRDefault="00A53F0C" w:rsidP="00A53F0C">
      <w:pPr>
        <w:pStyle w:val="Pargrafo"/>
      </w:pPr>
      <w:r>
        <w:t xml:space="preserve">A pesquisa desenvolvida por Brito, Gonçalves Dias e </w:t>
      </w:r>
      <w:proofErr w:type="spellStart"/>
      <w:r>
        <w:t>Zaro</w:t>
      </w:r>
      <w:proofErr w:type="spellEnd"/>
      <w:r>
        <w:t xml:space="preserve"> (2022) apresenta uma análise crítica dos relatórios de sustentabilidade corporativa da mineradora Vale S.A., com o objetivo de identificar indícios de práticas de </w:t>
      </w:r>
      <w:proofErr w:type="spellStart"/>
      <w:r>
        <w:t>greenwashing</w:t>
      </w:r>
      <w:proofErr w:type="spellEnd"/>
      <w:r>
        <w:t>. Tomando como referência o período entre 2015 e 2021</w:t>
      </w:r>
      <w:r w:rsidR="00CD2ECE">
        <w:t>,</w:t>
      </w:r>
      <w:r w:rsidR="00007263">
        <w:t xml:space="preserve"> que fora </w:t>
      </w:r>
      <w:r>
        <w:t xml:space="preserve">marcado pelos desastres ambientais de Mariana e Brumadinho, o estudo lança luz sobre as fragilidades dos </w:t>
      </w:r>
      <w:r>
        <w:lastRenderedPageBreak/>
        <w:t xml:space="preserve">mecanismos voluntários de divulgação ambiental e os limites da verificação independente na contenção de discursos empresariais enganosos </w:t>
      </w:r>
      <w:r w:rsidRPr="00A53F0C">
        <w:t xml:space="preserve">(Brito; Dias; </w:t>
      </w:r>
      <w:proofErr w:type="spellStart"/>
      <w:r w:rsidRPr="00A53F0C">
        <w:t>Zaro</w:t>
      </w:r>
      <w:proofErr w:type="spellEnd"/>
      <w:r w:rsidRPr="00A53F0C">
        <w:t>, 2022)</w:t>
      </w:r>
      <w:r>
        <w:t>. Os achados empíricos indicam a presença de estratégias discursivas que buscam conferir legitimidade simbólica à atuação da empresa, sem, contudo, corresponder a práticas efetivas de responsabilidade socioambiental</w:t>
      </w:r>
      <w:r w:rsidR="00007263">
        <w:t xml:space="preserve"> </w:t>
      </w:r>
      <w:r w:rsidR="00007263" w:rsidRPr="00007263">
        <w:t xml:space="preserve">(Brito; Dias; </w:t>
      </w:r>
      <w:proofErr w:type="spellStart"/>
      <w:r w:rsidR="00007263" w:rsidRPr="00007263">
        <w:t>Zaro</w:t>
      </w:r>
      <w:proofErr w:type="spellEnd"/>
      <w:r w:rsidR="00007263" w:rsidRPr="00007263">
        <w:t>, 2022)</w:t>
      </w:r>
      <w:r>
        <w:t>.</w:t>
      </w:r>
    </w:p>
    <w:p w14:paraId="718751FE" w14:textId="6AB1CDEA" w:rsidR="00A53F0C" w:rsidRDefault="00A53F0C" w:rsidP="00A53F0C">
      <w:pPr>
        <w:pStyle w:val="Pargrafo"/>
      </w:pPr>
      <w:r>
        <w:t xml:space="preserve">Dentre os principais resultados, destaca-se a recorrência da omissão ou da apresentação distorcida de informações nos relatórios corporativos. Em diversas passagens, obrigações legais — como a reparação de danos ambientais e o cumprimento de normas de fiscalização — foram comunicadas como se constituíssem investimentos voluntários em sustentabilidade, contrariando tanto os parâmetros da NBC T15, emitida pelo Conselho Federal de Contabilidade, quanto os princípios de transparência esperados de documentos dessa natureza </w:t>
      </w:r>
      <w:r w:rsidRPr="00A53F0C">
        <w:t xml:space="preserve">(Brito; Dias; </w:t>
      </w:r>
      <w:proofErr w:type="spellStart"/>
      <w:r w:rsidRPr="00A53F0C">
        <w:t>Zaro</w:t>
      </w:r>
      <w:proofErr w:type="spellEnd"/>
      <w:r w:rsidRPr="00A53F0C">
        <w:t>, 2022)</w:t>
      </w:r>
      <w:r>
        <w:t xml:space="preserve">. </w:t>
      </w:r>
    </w:p>
    <w:p w14:paraId="08CC3BE6" w14:textId="45A7EFE3" w:rsidR="00A53F0C" w:rsidRDefault="00A53F0C" w:rsidP="00A53F0C">
      <w:pPr>
        <w:pStyle w:val="Pargrafo"/>
      </w:pPr>
      <w:r>
        <w:t xml:space="preserve">A linguagem utilizada nos relatórios, ao qualificar a conduta da empresa como “proativa”, por exemplo, também foi criticada por sua imprecisão e potencial para gerar interpretações equivocadas por parte do público, especialmente diante de obrigações legais claramente estabelecidas na legislação ambiental brasileira </w:t>
      </w:r>
      <w:r w:rsidRPr="00A53F0C">
        <w:t xml:space="preserve">(Brito; Dias; </w:t>
      </w:r>
      <w:proofErr w:type="spellStart"/>
      <w:r w:rsidRPr="00A53F0C">
        <w:t>Zaro</w:t>
      </w:r>
      <w:proofErr w:type="spellEnd"/>
      <w:r w:rsidRPr="00A53F0C">
        <w:t>, 2022)</w:t>
      </w:r>
      <w:r>
        <w:t>.</w:t>
      </w:r>
    </w:p>
    <w:p w14:paraId="2F652320" w14:textId="79AA34AF" w:rsidR="00A53F0C" w:rsidRDefault="00A53F0C" w:rsidP="00A53F0C">
      <w:pPr>
        <w:pStyle w:val="Pargrafo"/>
      </w:pPr>
      <w:r>
        <w:t xml:space="preserve">Além disso, o estudo evidencia que os processos de certificação independente dos relatórios — baseados em diretrizes como as da </w:t>
      </w:r>
      <w:r w:rsidRPr="00A53F0C">
        <w:rPr>
          <w:i/>
          <w:iCs/>
        </w:rPr>
        <w:t xml:space="preserve">Global </w:t>
      </w:r>
      <w:proofErr w:type="spellStart"/>
      <w:r w:rsidRPr="00A53F0C">
        <w:rPr>
          <w:i/>
          <w:iCs/>
        </w:rPr>
        <w:t>Reporting</w:t>
      </w:r>
      <w:proofErr w:type="spellEnd"/>
      <w:r w:rsidRPr="00A53F0C">
        <w:rPr>
          <w:i/>
          <w:iCs/>
        </w:rPr>
        <w:t xml:space="preserve"> </w:t>
      </w:r>
      <w:proofErr w:type="spellStart"/>
      <w:r w:rsidRPr="00A53F0C">
        <w:rPr>
          <w:i/>
          <w:iCs/>
        </w:rPr>
        <w:t>Initiative</w:t>
      </w:r>
      <w:proofErr w:type="spellEnd"/>
      <w:r w:rsidRPr="00A53F0C">
        <w:rPr>
          <w:i/>
          <w:iCs/>
        </w:rPr>
        <w:t xml:space="preserve"> (GRI)</w:t>
      </w:r>
      <w:r>
        <w:t xml:space="preserve"> — possuem alcance limitado, uma vez que não avaliam criticamente o conteúdo sob a ótica da veracidade das informações ou de seu potencial de induzir o leitor a conclusões equivocadas. Tal limitação revela a insuficiência dos mecanismos de </w:t>
      </w:r>
      <w:r w:rsidRPr="00A53F0C">
        <w:rPr>
          <w:i/>
          <w:iCs/>
        </w:rPr>
        <w:t xml:space="preserve">soft </w:t>
      </w:r>
      <w:proofErr w:type="spellStart"/>
      <w:r w:rsidRPr="00A53F0C">
        <w:rPr>
          <w:i/>
          <w:iCs/>
        </w:rPr>
        <w:t>law</w:t>
      </w:r>
      <w:proofErr w:type="spellEnd"/>
      <w:r>
        <w:t xml:space="preserve"> ambiental na promoção de condutas efetivamente sustentáveis, especialmente em setores de elevado impacto ecológico, como o de mineração </w:t>
      </w:r>
      <w:r w:rsidRPr="00A53F0C">
        <w:t xml:space="preserve">(Brito; Dias; </w:t>
      </w:r>
      <w:proofErr w:type="spellStart"/>
      <w:r w:rsidRPr="00A53F0C">
        <w:t>Zaro</w:t>
      </w:r>
      <w:proofErr w:type="spellEnd"/>
      <w:r w:rsidRPr="00A53F0C">
        <w:t>, 2022)</w:t>
      </w:r>
      <w:r>
        <w:t>.</w:t>
      </w:r>
    </w:p>
    <w:p w14:paraId="09DE1A17" w14:textId="4D888FBD" w:rsidR="00A53F0C" w:rsidRDefault="00A53F0C" w:rsidP="00A53F0C">
      <w:pPr>
        <w:pStyle w:val="Pargrafo"/>
      </w:pPr>
      <w:r>
        <w:t xml:space="preserve">A análise da atuação da Vale também revela uma dissonância entre o discurso empresarial e os dados divulgados por órgãos públicos e pela imprensa. Enquanto os relatórios exaltavam a ausência de riscos estruturais em suas barragens e a </w:t>
      </w:r>
      <w:r>
        <w:lastRenderedPageBreak/>
        <w:t>segurança operacional da empresa, documentos oficiais e investigações do Ministério Público apontavam para o contrário, inclusive com a existência de processos judiciais que questionam a conduta da mineradora. Esse descompasso reforça o argumento de que a retórica da sustentabilidade pode ser mobilizada de forma estratégica por grandes corporações com o intuito de preservar sua imagem perante investidores, consumidores e demais stakeholders</w:t>
      </w:r>
      <w:r w:rsidR="005815C1">
        <w:t xml:space="preserve"> </w:t>
      </w:r>
      <w:r w:rsidR="005815C1" w:rsidRPr="005815C1">
        <w:t xml:space="preserve">(Brito; Dias; </w:t>
      </w:r>
      <w:proofErr w:type="spellStart"/>
      <w:r w:rsidR="005815C1" w:rsidRPr="005815C1">
        <w:t>Zaro</w:t>
      </w:r>
      <w:proofErr w:type="spellEnd"/>
      <w:r w:rsidR="005815C1" w:rsidRPr="005815C1">
        <w:t>, 2022)</w:t>
      </w:r>
      <w:r>
        <w:t>.</w:t>
      </w:r>
    </w:p>
    <w:p w14:paraId="6B3CBE4C" w14:textId="77777777" w:rsidR="00AA0FA7" w:rsidRDefault="00A53F0C" w:rsidP="00A53F0C">
      <w:pPr>
        <w:pStyle w:val="Pargrafo"/>
      </w:pPr>
      <w:r>
        <w:t xml:space="preserve">Os resultados do estudo, portanto, contribuem para o debate crítico sobre os limites da autorregulação empresarial e os desafios para a efetiva implementação de uma agenda de desenvolvimento sustentável. </w:t>
      </w:r>
    </w:p>
    <w:p w14:paraId="5C809B74" w14:textId="0BFFA0C7" w:rsidR="00AA0FA7" w:rsidRDefault="00A53F0C" w:rsidP="00A53F0C">
      <w:pPr>
        <w:pStyle w:val="Pargrafo"/>
      </w:pPr>
      <w:r>
        <w:t xml:space="preserve">À luz da perspectiva de </w:t>
      </w:r>
      <w:proofErr w:type="spellStart"/>
      <w:r>
        <w:t>Ignacy</w:t>
      </w:r>
      <w:proofErr w:type="spellEnd"/>
      <w:r>
        <w:t xml:space="preserve"> Sachs, que defende um modelo de desenvolvimento baseado na articulação entre equidade social, viabilidade econômica e preservação ambiental, observa-se que a manipulação discursiva dos relatórios de sustentabilidade compromete a construção de políticas públicas e de práticas empresariais orientadas por esse paradigma</w:t>
      </w:r>
      <w:r w:rsidR="00AA0FA7">
        <w:t xml:space="preserve"> </w:t>
      </w:r>
      <w:r w:rsidR="00AA0FA7" w:rsidRPr="00AA0FA7">
        <w:t xml:space="preserve">(Brito; Dias; </w:t>
      </w:r>
      <w:proofErr w:type="spellStart"/>
      <w:r w:rsidR="00AA0FA7" w:rsidRPr="00AA0FA7">
        <w:t>Zaro</w:t>
      </w:r>
      <w:proofErr w:type="spellEnd"/>
      <w:r w:rsidR="00AA0FA7" w:rsidRPr="00AA0FA7">
        <w:t>, 2022; Sachs, 2002)</w:t>
      </w:r>
      <w:r>
        <w:t xml:space="preserve">. </w:t>
      </w:r>
    </w:p>
    <w:p w14:paraId="7733147C" w14:textId="145D5B34" w:rsidR="00A53F0C" w:rsidRDefault="00A53F0C" w:rsidP="00A53F0C">
      <w:pPr>
        <w:pStyle w:val="Pargrafo"/>
      </w:pPr>
      <w:r>
        <w:t>No contexto amazônico, essa problemática se torna ainda mais sensível, uma vez que a região é frequentemente alvo de discursos de “desenvolvimento sustentável” que ocultam dinâmicas de degradação ambiental legitimadas por narrativas corporativas e mecanismos regulatórios frágeis.</w:t>
      </w:r>
    </w:p>
    <w:p w14:paraId="6FE4FCF9" w14:textId="5DC90982" w:rsidR="00AD5609" w:rsidRDefault="00A53F0C" w:rsidP="00A53F0C">
      <w:pPr>
        <w:pStyle w:val="Pargrafo"/>
      </w:pPr>
      <w:r>
        <w:t xml:space="preserve">Dessa forma, os achados da pesquisa reafirmam a necessidade de fortalecer a regulação estatal e os mecanismos de responsabilização jurídica, além de fomentar o controle social e a transparência nos processos de comunicação ambiental empresarial. Em um cenário global marcado por pressões crescentes por sustentabilidade e governança responsável, a superação do </w:t>
      </w:r>
      <w:proofErr w:type="spellStart"/>
      <w:r w:rsidRPr="00AA0FA7">
        <w:rPr>
          <w:i/>
          <w:iCs/>
        </w:rPr>
        <w:t>greenwashing</w:t>
      </w:r>
      <w:proofErr w:type="spellEnd"/>
      <w:r>
        <w:t xml:space="preserve"> configura-se como condição indispensável para o avanço de práticas verdadeiramente comprometidas com a justiça socioambiental</w:t>
      </w:r>
      <w:r w:rsidR="00AA0FA7">
        <w:t xml:space="preserve"> </w:t>
      </w:r>
      <w:r w:rsidR="00AA0FA7" w:rsidRPr="00AA0FA7">
        <w:t xml:space="preserve">(Brito; Dias; </w:t>
      </w:r>
      <w:proofErr w:type="spellStart"/>
      <w:r w:rsidR="00AA0FA7" w:rsidRPr="00AA0FA7">
        <w:t>Zaro</w:t>
      </w:r>
      <w:proofErr w:type="spellEnd"/>
      <w:r w:rsidR="00AA0FA7" w:rsidRPr="00AA0FA7">
        <w:t>, 2022)</w:t>
      </w:r>
      <w:r>
        <w:t>.</w:t>
      </w:r>
    </w:p>
    <w:p w14:paraId="07989176" w14:textId="4D524954" w:rsidR="00AA0FA7" w:rsidRPr="00C5458A" w:rsidRDefault="008D2AF6" w:rsidP="00A53F0C">
      <w:pPr>
        <w:pStyle w:val="Pargrafo"/>
      </w:pPr>
      <w:r w:rsidRPr="008D2AF6">
        <w:t xml:space="preserve">Empresas que atuam na Amazônia, especialmente nos setores de mineração, agronegócio, energia e infraestrutura, têm incorporado os critérios ESG em seus relatórios e estratégias de comunicação, muitas vezes sem uma correspondência real com mudanças substantivas em seus modelos de operação. Esse processo é </w:t>
      </w:r>
      <w:r w:rsidRPr="008D2AF6">
        <w:lastRenderedPageBreak/>
        <w:t>intensificado pelo caráter voluntário e pouco normativo das métricas ESG, que carecem de padronização internacional e permitem uma ampla margem para manipulação e seletividade na divulgação de informações. Como apontado no caso da Vale, a distinção entre gastos obrigatórios e investimentos voluntários, ou a omissão de impactos negativos, são práticas recorrentes que configuram a tentativa de moldar percepções públicas sem alterar práticas nocivas ao meio ambiente e às comunidades locais.</w:t>
      </w:r>
    </w:p>
    <w:p w14:paraId="1004FCAB" w14:textId="41AEBF7D" w:rsidR="004F776F" w:rsidRDefault="00464189" w:rsidP="00D71AE0">
      <w:pPr>
        <w:pStyle w:val="Ttulo1"/>
      </w:pPr>
      <w:r>
        <w:t>4</w:t>
      </w:r>
      <w:r w:rsidR="00AD5609">
        <w:t xml:space="preserve"> </w:t>
      </w:r>
      <w:r w:rsidR="004F776F">
        <w:t>CONCLUSÃO</w:t>
      </w:r>
    </w:p>
    <w:p w14:paraId="3D313EF3" w14:textId="77777777" w:rsidR="002E10AF" w:rsidRDefault="002E10AF" w:rsidP="002E10AF">
      <w:pPr>
        <w:pStyle w:val="Pargrafo"/>
      </w:pPr>
      <w:r>
        <w:t xml:space="preserve">A análise desenvolvida ao longo do artigo permite concluir que o </w:t>
      </w:r>
      <w:proofErr w:type="spellStart"/>
      <w:r>
        <w:t>greenwashing</w:t>
      </w:r>
      <w:proofErr w:type="spellEnd"/>
      <w:r>
        <w:t xml:space="preserve">, ao ser articulado com os princípios ESG e os dispositivos da soft </w:t>
      </w:r>
      <w:proofErr w:type="spellStart"/>
      <w:r>
        <w:t>law</w:t>
      </w:r>
      <w:proofErr w:type="spellEnd"/>
      <w:r>
        <w:t xml:space="preserve"> internacional, atua como ferramenta de dissimulação de práticas empresariais que intensificam a degradação ambiental e a reprodução de desigualdades na Amazônia. A partir da crítica de </w:t>
      </w:r>
      <w:proofErr w:type="spellStart"/>
      <w:r>
        <w:t>Ignacy</w:t>
      </w:r>
      <w:proofErr w:type="spellEnd"/>
      <w:r>
        <w:t xml:space="preserve"> Sachs ao modelo de desenvolvimento centrado na mercantilização da natureza, observou-se que a adesão simbólica das empresas a discursos sustentáveis não implica em mudanças estruturais, mas sim na continuidade de um paradigma colonial, travestido de responsabilidade socioambiental.</w:t>
      </w:r>
    </w:p>
    <w:p w14:paraId="5B968646" w14:textId="763E6672" w:rsidR="0090631E" w:rsidRPr="0090631E" w:rsidRDefault="002E10AF" w:rsidP="002E10AF">
      <w:pPr>
        <w:pStyle w:val="Pargrafo"/>
      </w:pPr>
      <w:r>
        <w:t>A pesquisa demonstrou ainda que, embora os princípios ESG tenham potencial para reconfigurar a atuação empresarial, sua natureza não vinculante, aliada à falta de critérios metodológicos padronizados, favorece sua apropriação retórica e sua instrumentalização em estratégias de legitimação. Diante disso, torna-se fundamental o fortalecimento de mecanismos regulatórios estatais e de controle social, bem como a reafirmação de um projeto de desenvolvimento sustentável enraizado na justiça ambiental, na equidade social e na preservação dos territórios tradicionais da Amazônia.</w:t>
      </w:r>
    </w:p>
    <w:p w14:paraId="6A58A2CB" w14:textId="77777777" w:rsidR="001545AC" w:rsidRDefault="001545AC" w:rsidP="00D71AE0">
      <w:pPr>
        <w:pStyle w:val="Ttulo1"/>
      </w:pPr>
    </w:p>
    <w:p w14:paraId="36B187FB" w14:textId="77777777" w:rsidR="001545AC" w:rsidRDefault="001545AC" w:rsidP="00D71AE0">
      <w:pPr>
        <w:pStyle w:val="Ttulo1"/>
      </w:pPr>
    </w:p>
    <w:p w14:paraId="0E17E284" w14:textId="656A3649" w:rsidR="004F776F" w:rsidRDefault="004F776F" w:rsidP="00D71AE0">
      <w:pPr>
        <w:pStyle w:val="Ttulo1"/>
      </w:pPr>
      <w:r>
        <w:t>REFERÊNCIAS</w:t>
      </w:r>
    </w:p>
    <w:p w14:paraId="2DA72135" w14:textId="2DBC0B47" w:rsidR="005815C1" w:rsidRPr="005815C1" w:rsidRDefault="005815C1" w:rsidP="005815C1">
      <w:pPr>
        <w:pStyle w:val="Bibliografia"/>
        <w:rPr>
          <w:sz w:val="24"/>
        </w:rPr>
      </w:pPr>
      <w:r w:rsidRPr="005815C1">
        <w:rPr>
          <w:sz w:val="24"/>
        </w:rPr>
        <w:t xml:space="preserve">ALVES, R. R. </w:t>
      </w:r>
      <w:r w:rsidRPr="005815C1">
        <w:rPr>
          <w:b/>
          <w:bCs/>
          <w:sz w:val="24"/>
        </w:rPr>
        <w:t>A Força do ESG: A partir de agora, por que as empresas serão realmente sustentáveis?</w:t>
      </w:r>
      <w:r w:rsidRPr="005815C1">
        <w:rPr>
          <w:sz w:val="24"/>
        </w:rPr>
        <w:t xml:space="preserve"> Rio de Janeiro, RJ: Alta Books, 2024. </w:t>
      </w:r>
    </w:p>
    <w:p w14:paraId="7FB1CBD6" w14:textId="77777777" w:rsidR="005815C1" w:rsidRPr="005815C1" w:rsidRDefault="005815C1" w:rsidP="005815C1">
      <w:pPr>
        <w:pStyle w:val="Bibliografia"/>
        <w:rPr>
          <w:sz w:val="24"/>
        </w:rPr>
      </w:pPr>
      <w:r w:rsidRPr="005815C1">
        <w:rPr>
          <w:sz w:val="24"/>
        </w:rPr>
        <w:t xml:space="preserve">ARANHA, A. </w:t>
      </w:r>
      <w:r w:rsidRPr="005815C1">
        <w:rPr>
          <w:i/>
          <w:iCs/>
          <w:sz w:val="24"/>
        </w:rPr>
        <w:t>et al.</w:t>
      </w:r>
      <w:r w:rsidRPr="005815C1">
        <w:rPr>
          <w:sz w:val="24"/>
        </w:rPr>
        <w:t xml:space="preserve"> Exclusivo: pecuaristas desmentem a ‘revolução verde’ da JBS. </w:t>
      </w:r>
      <w:r w:rsidRPr="005815C1">
        <w:rPr>
          <w:i/>
          <w:iCs/>
          <w:sz w:val="24"/>
        </w:rPr>
        <w:t>In</w:t>
      </w:r>
      <w:r w:rsidRPr="005815C1">
        <w:rPr>
          <w:sz w:val="24"/>
        </w:rPr>
        <w:t xml:space="preserve">: </w:t>
      </w:r>
      <w:r w:rsidRPr="00206175">
        <w:rPr>
          <w:b/>
          <w:bCs/>
          <w:sz w:val="24"/>
        </w:rPr>
        <w:t>REPÓRTER BRASIL</w:t>
      </w:r>
      <w:r w:rsidRPr="005815C1">
        <w:rPr>
          <w:sz w:val="24"/>
        </w:rPr>
        <w:t>. 17 abr. 2025. Disponível em: https://reporterbrasil.org.br/2025/04/jbs-pecuaristas-desmentem-revolucao-verde/. Acesso em: 5 jul. 2025.</w:t>
      </w:r>
    </w:p>
    <w:p w14:paraId="62E5CBEC" w14:textId="77777777" w:rsidR="005815C1" w:rsidRPr="005815C1" w:rsidRDefault="005815C1" w:rsidP="005815C1">
      <w:pPr>
        <w:pStyle w:val="Bibliografia"/>
        <w:rPr>
          <w:sz w:val="24"/>
        </w:rPr>
      </w:pPr>
      <w:r w:rsidRPr="005815C1">
        <w:rPr>
          <w:sz w:val="24"/>
        </w:rPr>
        <w:t xml:space="preserve">BRITO, A. C. F. D. M.; DIAS, S. L. F. G.; ZARO, E. S. Corporate </w:t>
      </w:r>
      <w:proofErr w:type="spellStart"/>
      <w:r w:rsidRPr="005815C1">
        <w:rPr>
          <w:sz w:val="24"/>
        </w:rPr>
        <w:t>socioenvironmental</w:t>
      </w:r>
      <w:proofErr w:type="spellEnd"/>
      <w:r w:rsidRPr="005815C1">
        <w:rPr>
          <w:sz w:val="24"/>
        </w:rPr>
        <w:t xml:space="preserve"> </w:t>
      </w:r>
      <w:proofErr w:type="spellStart"/>
      <w:r w:rsidRPr="005815C1">
        <w:rPr>
          <w:sz w:val="24"/>
        </w:rPr>
        <w:t>report</w:t>
      </w:r>
      <w:proofErr w:type="spellEnd"/>
      <w:r w:rsidRPr="005815C1">
        <w:rPr>
          <w:sz w:val="24"/>
        </w:rPr>
        <w:t xml:space="preserve"> </w:t>
      </w:r>
      <w:proofErr w:type="spellStart"/>
      <w:r w:rsidRPr="005815C1">
        <w:rPr>
          <w:sz w:val="24"/>
        </w:rPr>
        <w:t>and</w:t>
      </w:r>
      <w:proofErr w:type="spellEnd"/>
      <w:r w:rsidRPr="005815C1">
        <w:rPr>
          <w:sz w:val="24"/>
        </w:rPr>
        <w:t xml:space="preserve"> </w:t>
      </w:r>
      <w:proofErr w:type="spellStart"/>
      <w:r w:rsidRPr="005815C1">
        <w:rPr>
          <w:sz w:val="24"/>
        </w:rPr>
        <w:t>greenwashing</w:t>
      </w:r>
      <w:proofErr w:type="spellEnd"/>
      <w:r w:rsidRPr="005815C1">
        <w:rPr>
          <w:sz w:val="24"/>
        </w:rPr>
        <w:t xml:space="preserve">: </w:t>
      </w:r>
      <w:proofErr w:type="spellStart"/>
      <w:r w:rsidRPr="005815C1">
        <w:rPr>
          <w:sz w:val="24"/>
        </w:rPr>
        <w:t>analysis</w:t>
      </w:r>
      <w:proofErr w:type="spellEnd"/>
      <w:r w:rsidRPr="005815C1">
        <w:rPr>
          <w:sz w:val="24"/>
        </w:rPr>
        <w:t xml:space="preserve"> </w:t>
      </w:r>
      <w:proofErr w:type="spellStart"/>
      <w:r w:rsidRPr="005815C1">
        <w:rPr>
          <w:sz w:val="24"/>
        </w:rPr>
        <w:t>of</w:t>
      </w:r>
      <w:proofErr w:type="spellEnd"/>
      <w:r w:rsidRPr="005815C1">
        <w:rPr>
          <w:sz w:val="24"/>
        </w:rPr>
        <w:t xml:space="preserve"> a </w:t>
      </w:r>
      <w:proofErr w:type="spellStart"/>
      <w:r w:rsidRPr="005815C1">
        <w:rPr>
          <w:sz w:val="24"/>
        </w:rPr>
        <w:t>Brazilian</w:t>
      </w:r>
      <w:proofErr w:type="spellEnd"/>
      <w:r w:rsidRPr="005815C1">
        <w:rPr>
          <w:sz w:val="24"/>
        </w:rPr>
        <w:t xml:space="preserve"> mining </w:t>
      </w:r>
      <w:proofErr w:type="spellStart"/>
      <w:r w:rsidRPr="005815C1">
        <w:rPr>
          <w:sz w:val="24"/>
        </w:rPr>
        <w:t>company</w:t>
      </w:r>
      <w:proofErr w:type="spellEnd"/>
      <w:r w:rsidRPr="005815C1">
        <w:rPr>
          <w:sz w:val="24"/>
        </w:rPr>
        <w:t xml:space="preserve">. </w:t>
      </w:r>
      <w:r w:rsidRPr="005815C1">
        <w:rPr>
          <w:b/>
          <w:bCs/>
          <w:sz w:val="24"/>
        </w:rPr>
        <w:t>Cadernos EBAPE.BR</w:t>
      </w:r>
      <w:r w:rsidRPr="005815C1">
        <w:rPr>
          <w:sz w:val="24"/>
        </w:rPr>
        <w:t>, [</w:t>
      </w:r>
      <w:r w:rsidRPr="005815C1">
        <w:rPr>
          <w:i/>
          <w:iCs/>
          <w:sz w:val="24"/>
        </w:rPr>
        <w:t>s. l.</w:t>
      </w:r>
      <w:r w:rsidRPr="005815C1">
        <w:rPr>
          <w:sz w:val="24"/>
        </w:rPr>
        <w:t xml:space="preserve">], v. 20, n. 2, p. 234–246, 2022. </w:t>
      </w:r>
    </w:p>
    <w:p w14:paraId="24CD0E41" w14:textId="77777777" w:rsidR="005815C1" w:rsidRPr="005815C1" w:rsidRDefault="005815C1" w:rsidP="005815C1">
      <w:pPr>
        <w:pStyle w:val="Bibliografia"/>
        <w:rPr>
          <w:sz w:val="24"/>
        </w:rPr>
      </w:pPr>
      <w:r w:rsidRPr="005815C1">
        <w:rPr>
          <w:sz w:val="24"/>
        </w:rPr>
        <w:t xml:space="preserve">MODELLI, L. Explorar petróleo na Foz do Amazonas escancara contradição entre a decisão política e a realidade climática. </w:t>
      </w:r>
      <w:r w:rsidRPr="005815C1">
        <w:rPr>
          <w:i/>
          <w:iCs/>
          <w:sz w:val="24"/>
        </w:rPr>
        <w:t>In</w:t>
      </w:r>
      <w:r w:rsidRPr="005815C1">
        <w:rPr>
          <w:sz w:val="24"/>
        </w:rPr>
        <w:t xml:space="preserve">: </w:t>
      </w:r>
      <w:r w:rsidRPr="00206175">
        <w:rPr>
          <w:b/>
          <w:bCs/>
          <w:sz w:val="24"/>
        </w:rPr>
        <w:t>GREENPEACE BRASIL</w:t>
      </w:r>
      <w:r w:rsidRPr="005815C1">
        <w:rPr>
          <w:sz w:val="24"/>
        </w:rPr>
        <w:t>. 4 jul. 2025. Disponível em: https://www.greenpeace.org/brasil/imprensa/explorar-petroleo-na-foz-do-amazonas-escancara-contradicao-entre-a-decisao-politica-e-a-realidade-climatica/. Acesso em: 5 jul. 2025.</w:t>
      </w:r>
    </w:p>
    <w:p w14:paraId="69A88E34" w14:textId="77777777" w:rsidR="005815C1" w:rsidRPr="005815C1" w:rsidRDefault="005815C1" w:rsidP="005815C1">
      <w:pPr>
        <w:pStyle w:val="Bibliografia"/>
        <w:rPr>
          <w:sz w:val="24"/>
        </w:rPr>
      </w:pPr>
      <w:r w:rsidRPr="005815C1">
        <w:rPr>
          <w:sz w:val="24"/>
        </w:rPr>
        <w:t xml:space="preserve">SACHS, I. </w:t>
      </w:r>
      <w:r w:rsidRPr="005815C1">
        <w:rPr>
          <w:b/>
          <w:bCs/>
          <w:sz w:val="24"/>
        </w:rPr>
        <w:t>Caminhos para o desenvolvimento sustentável</w:t>
      </w:r>
      <w:r w:rsidRPr="005815C1">
        <w:rPr>
          <w:sz w:val="24"/>
        </w:rPr>
        <w:t xml:space="preserve">. Tradução: José Lins Albuquerque Filho. 4a </w:t>
      </w:r>
      <w:proofErr w:type="spellStart"/>
      <w:r w:rsidRPr="005815C1">
        <w:rPr>
          <w:sz w:val="24"/>
        </w:rPr>
        <w:t>ediçãoed</w:t>
      </w:r>
      <w:proofErr w:type="spellEnd"/>
      <w:r w:rsidRPr="005815C1">
        <w:rPr>
          <w:sz w:val="24"/>
        </w:rPr>
        <w:t xml:space="preserve">. Rio de Janeiro: </w:t>
      </w:r>
      <w:proofErr w:type="spellStart"/>
      <w:r w:rsidRPr="005815C1">
        <w:rPr>
          <w:sz w:val="24"/>
        </w:rPr>
        <w:t>Garamond</w:t>
      </w:r>
      <w:proofErr w:type="spellEnd"/>
      <w:r w:rsidRPr="005815C1">
        <w:rPr>
          <w:sz w:val="24"/>
        </w:rPr>
        <w:t>, 2002. (</w:t>
      </w:r>
      <w:proofErr w:type="spellStart"/>
      <w:r w:rsidRPr="005815C1">
        <w:rPr>
          <w:sz w:val="24"/>
        </w:rPr>
        <w:t>Idéias</w:t>
      </w:r>
      <w:proofErr w:type="spellEnd"/>
      <w:r w:rsidRPr="005815C1">
        <w:rPr>
          <w:sz w:val="24"/>
        </w:rPr>
        <w:t xml:space="preserve"> sustentáveis). </w:t>
      </w:r>
    </w:p>
    <w:p w14:paraId="026462BF" w14:textId="77777777" w:rsidR="005815C1" w:rsidRPr="005815C1" w:rsidRDefault="005815C1" w:rsidP="005815C1">
      <w:pPr>
        <w:pStyle w:val="Bibliografia"/>
        <w:rPr>
          <w:sz w:val="24"/>
        </w:rPr>
      </w:pPr>
      <w:r w:rsidRPr="005815C1">
        <w:rPr>
          <w:sz w:val="24"/>
        </w:rPr>
        <w:t xml:space="preserve">SMOLENAARS, C. C.; PELLIN, D. R. PRINCÍPIOS ESG: soft </w:t>
      </w:r>
      <w:proofErr w:type="spellStart"/>
      <w:r w:rsidRPr="005815C1">
        <w:rPr>
          <w:sz w:val="24"/>
        </w:rPr>
        <w:t>law</w:t>
      </w:r>
      <w:proofErr w:type="spellEnd"/>
      <w:r w:rsidRPr="005815C1">
        <w:rPr>
          <w:sz w:val="24"/>
        </w:rPr>
        <w:t xml:space="preserve"> e a governança ambiental e social no direito internacional contemporâneo. </w:t>
      </w:r>
      <w:r w:rsidRPr="005815C1">
        <w:rPr>
          <w:b/>
          <w:bCs/>
          <w:sz w:val="24"/>
        </w:rPr>
        <w:t>Revista do Programa de Pós-Graduação em Direito da UFC</w:t>
      </w:r>
      <w:r w:rsidRPr="005815C1">
        <w:rPr>
          <w:sz w:val="24"/>
        </w:rPr>
        <w:t xml:space="preserve">, Rio de Janeiro, RJ, v. 43, n. 1, p. 69–82, 2023. </w:t>
      </w:r>
    </w:p>
    <w:p w14:paraId="602CE48B" w14:textId="77777777" w:rsidR="005815C1" w:rsidRPr="005815C1" w:rsidRDefault="005815C1" w:rsidP="005815C1">
      <w:pPr>
        <w:pStyle w:val="Bibliografia"/>
        <w:rPr>
          <w:sz w:val="24"/>
        </w:rPr>
      </w:pPr>
      <w:r w:rsidRPr="005815C1">
        <w:rPr>
          <w:sz w:val="24"/>
        </w:rPr>
        <w:t xml:space="preserve">SOLER, F. </w:t>
      </w:r>
      <w:r w:rsidRPr="005815C1">
        <w:rPr>
          <w:b/>
          <w:bCs/>
          <w:sz w:val="24"/>
        </w:rPr>
        <w:t>ESG (ambiental, social e governança): da teoria à prática - 1 ed. - 2023</w:t>
      </w:r>
      <w:r w:rsidRPr="005815C1">
        <w:rPr>
          <w:sz w:val="24"/>
        </w:rPr>
        <w:t xml:space="preserve">. SÃO PAULO, SP: </w:t>
      </w:r>
      <w:proofErr w:type="spellStart"/>
      <w:r w:rsidRPr="005815C1">
        <w:rPr>
          <w:sz w:val="24"/>
        </w:rPr>
        <w:t>SaraivaJur</w:t>
      </w:r>
      <w:proofErr w:type="spellEnd"/>
      <w:r w:rsidRPr="005815C1">
        <w:rPr>
          <w:sz w:val="24"/>
        </w:rPr>
        <w:t xml:space="preserve">, 2023. </w:t>
      </w:r>
    </w:p>
    <w:p w14:paraId="35489A51" w14:textId="77777777" w:rsidR="005815C1" w:rsidRPr="005815C1" w:rsidRDefault="005815C1" w:rsidP="005815C1">
      <w:pPr>
        <w:pStyle w:val="Bibliografia"/>
        <w:rPr>
          <w:sz w:val="24"/>
        </w:rPr>
      </w:pPr>
      <w:r w:rsidRPr="005815C1">
        <w:rPr>
          <w:sz w:val="24"/>
        </w:rPr>
        <w:t xml:space="preserve">STAND.EARTH; ROBERTSON, A.; LEÓN, A. G. </w:t>
      </w:r>
      <w:proofErr w:type="spellStart"/>
      <w:r w:rsidRPr="005815C1">
        <w:rPr>
          <w:b/>
          <w:bCs/>
          <w:sz w:val="24"/>
        </w:rPr>
        <w:t>Greenwashing</w:t>
      </w:r>
      <w:proofErr w:type="spellEnd"/>
      <w:r w:rsidRPr="005815C1">
        <w:rPr>
          <w:b/>
          <w:bCs/>
          <w:sz w:val="24"/>
        </w:rPr>
        <w:t xml:space="preserve"> na Amazônia: como os bancos destroem a floresta enquanto fingem ser verdes</w:t>
      </w:r>
      <w:r w:rsidRPr="005815C1">
        <w:rPr>
          <w:sz w:val="24"/>
        </w:rPr>
        <w:t xml:space="preserve">. San Francisco: </w:t>
      </w:r>
      <w:proofErr w:type="spellStart"/>
      <w:r w:rsidRPr="005815C1">
        <w:rPr>
          <w:sz w:val="24"/>
        </w:rPr>
        <w:t>Stand.earth</w:t>
      </w:r>
      <w:proofErr w:type="spellEnd"/>
      <w:r w:rsidRPr="005815C1">
        <w:rPr>
          <w:sz w:val="24"/>
        </w:rPr>
        <w:t xml:space="preserve"> </w:t>
      </w:r>
      <w:proofErr w:type="spellStart"/>
      <w:r w:rsidRPr="005815C1">
        <w:rPr>
          <w:sz w:val="24"/>
        </w:rPr>
        <w:t>Research</w:t>
      </w:r>
      <w:proofErr w:type="spellEnd"/>
      <w:r w:rsidRPr="005815C1">
        <w:rPr>
          <w:sz w:val="24"/>
        </w:rPr>
        <w:t xml:space="preserve"> </w:t>
      </w:r>
      <w:proofErr w:type="spellStart"/>
      <w:r w:rsidRPr="005815C1">
        <w:rPr>
          <w:sz w:val="24"/>
        </w:rPr>
        <w:t>Group</w:t>
      </w:r>
      <w:proofErr w:type="spellEnd"/>
      <w:r w:rsidRPr="005815C1">
        <w:rPr>
          <w:sz w:val="24"/>
        </w:rPr>
        <w:t xml:space="preserve">, 2024. </w:t>
      </w:r>
    </w:p>
    <w:p w14:paraId="134EFDD4" w14:textId="597C7B97" w:rsidR="008B0F0B" w:rsidRPr="00FD19F3" w:rsidRDefault="005815C1" w:rsidP="00FD19F3">
      <w:pPr>
        <w:pStyle w:val="Bibliografia"/>
        <w:rPr>
          <w:sz w:val="24"/>
        </w:rPr>
      </w:pPr>
      <w:r w:rsidRPr="005815C1">
        <w:rPr>
          <w:sz w:val="24"/>
        </w:rPr>
        <w:t xml:space="preserve">VALENTE, K. R. D. M. </w:t>
      </w:r>
      <w:r w:rsidRPr="005815C1">
        <w:rPr>
          <w:i/>
          <w:iCs/>
          <w:sz w:val="24"/>
        </w:rPr>
        <w:t>et al.</w:t>
      </w:r>
      <w:r w:rsidRPr="005815C1">
        <w:rPr>
          <w:sz w:val="24"/>
        </w:rPr>
        <w:t xml:space="preserve"> “</w:t>
      </w:r>
      <w:proofErr w:type="spellStart"/>
      <w:r w:rsidRPr="005815C1">
        <w:rPr>
          <w:sz w:val="24"/>
        </w:rPr>
        <w:t>Greenwashing</w:t>
      </w:r>
      <w:proofErr w:type="spellEnd"/>
      <w:r w:rsidRPr="005815C1">
        <w:rPr>
          <w:sz w:val="24"/>
        </w:rPr>
        <w:t xml:space="preserve">”: adequação ou distorção? </w:t>
      </w:r>
      <w:r w:rsidRPr="005815C1">
        <w:rPr>
          <w:b/>
          <w:bCs/>
          <w:sz w:val="24"/>
        </w:rPr>
        <w:t xml:space="preserve">Revista de Gestão e Secretariado (Management </w:t>
      </w:r>
      <w:proofErr w:type="spellStart"/>
      <w:r w:rsidRPr="005815C1">
        <w:rPr>
          <w:b/>
          <w:bCs/>
          <w:sz w:val="24"/>
        </w:rPr>
        <w:t>and</w:t>
      </w:r>
      <w:proofErr w:type="spellEnd"/>
      <w:r w:rsidRPr="005815C1">
        <w:rPr>
          <w:b/>
          <w:bCs/>
          <w:sz w:val="24"/>
        </w:rPr>
        <w:t xml:space="preserve"> </w:t>
      </w:r>
      <w:proofErr w:type="spellStart"/>
      <w:r w:rsidRPr="005815C1">
        <w:rPr>
          <w:b/>
          <w:bCs/>
          <w:sz w:val="24"/>
        </w:rPr>
        <w:t>Administrative</w:t>
      </w:r>
      <w:proofErr w:type="spellEnd"/>
      <w:r w:rsidRPr="005815C1">
        <w:rPr>
          <w:b/>
          <w:bCs/>
          <w:sz w:val="24"/>
        </w:rPr>
        <w:t xml:space="preserve"> Professional Review)</w:t>
      </w:r>
      <w:r w:rsidRPr="005815C1">
        <w:rPr>
          <w:sz w:val="24"/>
        </w:rPr>
        <w:t>, [</w:t>
      </w:r>
      <w:r w:rsidRPr="005815C1">
        <w:rPr>
          <w:i/>
          <w:iCs/>
          <w:sz w:val="24"/>
        </w:rPr>
        <w:t>s. l.</w:t>
      </w:r>
      <w:r w:rsidRPr="005815C1">
        <w:rPr>
          <w:sz w:val="24"/>
        </w:rPr>
        <w:t xml:space="preserve">], v. 14, n. 9, p. 15984–16003, 2023. </w:t>
      </w:r>
    </w:p>
    <w:sectPr w:rsidR="008B0F0B" w:rsidRPr="00FD19F3" w:rsidSect="004F776F">
      <w:headerReference w:type="even" r:id="rId7"/>
      <w:headerReference w:type="default" r:id="rId8"/>
      <w:footerReference w:type="even" r:id="rId9"/>
      <w:footerReference w:type="default" r:id="rId10"/>
      <w:headerReference w:type="first" r:id="rId11"/>
      <w:footerReference w:type="first" r:id="rId12"/>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9C20A" w14:textId="77777777" w:rsidR="003E0D2D" w:rsidRDefault="003E0D2D">
      <w:pPr>
        <w:spacing w:line="240" w:lineRule="auto"/>
      </w:pPr>
      <w:r>
        <w:separator/>
      </w:r>
    </w:p>
  </w:endnote>
  <w:endnote w:type="continuationSeparator" w:id="0">
    <w:p w14:paraId="30460752" w14:textId="77777777" w:rsidR="003E0D2D" w:rsidRDefault="003E0D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9472" w14:textId="77777777" w:rsidR="00FE15CE" w:rsidRDefault="00FE15C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5A29" w14:textId="77777777" w:rsidR="00FE15CE" w:rsidRDefault="00FE15CE">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36E1" w14:textId="77777777" w:rsidR="00FE15CE" w:rsidRDefault="00FE15C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FF5F4" w14:textId="77777777" w:rsidR="003E0D2D" w:rsidRDefault="003E0D2D">
      <w:pPr>
        <w:spacing w:line="240" w:lineRule="auto"/>
      </w:pPr>
      <w:r>
        <w:separator/>
      </w:r>
    </w:p>
  </w:footnote>
  <w:footnote w:type="continuationSeparator" w:id="0">
    <w:p w14:paraId="5698D08E" w14:textId="77777777" w:rsidR="003E0D2D" w:rsidRDefault="003E0D2D">
      <w:pPr>
        <w:spacing w:line="240" w:lineRule="auto"/>
      </w:pPr>
      <w:r>
        <w:continuationSeparator/>
      </w:r>
    </w:p>
  </w:footnote>
  <w:footnote w:id="1">
    <w:p w14:paraId="09999899" w14:textId="1B2D445B" w:rsidR="0070057D" w:rsidRDefault="0070057D">
      <w:pPr>
        <w:pStyle w:val="Textodenotaderodap"/>
      </w:pPr>
      <w:r>
        <w:rPr>
          <w:rStyle w:val="Refdenotaderodap"/>
        </w:rPr>
        <w:footnoteRef/>
      </w:r>
      <w:r w:rsidR="00F236D6">
        <w:t xml:space="preserve"> </w:t>
      </w:r>
      <w:r w:rsidR="00D7787E">
        <w:t>Discente do curso de Relações Internacionais na Universidade Estadual do Maranhão</w:t>
      </w:r>
      <w:r w:rsidR="00D83495">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B147" w14:textId="77777777" w:rsidR="00FE15CE" w:rsidRDefault="00FE15C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57B50" w14:textId="77777777" w:rsidR="00FF4348" w:rsidRDefault="00F20889">
    <w:r>
      <w:rPr>
        <w:noProof/>
      </w:rPr>
      <w:drawing>
        <wp:anchor distT="114300" distB="114300" distL="114300" distR="114300" simplePos="0" relativeHeight="251657728" behindDoc="1" locked="0" layoutInCell="1" allowOverlap="1" wp14:anchorId="5BCD6FD4">
          <wp:simplePos x="0" y="0"/>
          <wp:positionH relativeFrom="page">
            <wp:posOffset>0</wp:posOffset>
          </wp:positionH>
          <wp:positionV relativeFrom="page">
            <wp:posOffset>6985</wp:posOffset>
          </wp:positionV>
          <wp:extent cx="7563485" cy="10727690"/>
          <wp:effectExtent l="0" t="0" r="0" b="0"/>
          <wp:wrapNone/>
          <wp:docPr id="1"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7276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1DDC" w14:textId="77777777" w:rsidR="00FE15CE" w:rsidRDefault="00FE15CE">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348"/>
    <w:rsid w:val="00000CAB"/>
    <w:rsid w:val="00007263"/>
    <w:rsid w:val="0001757E"/>
    <w:rsid w:val="00032B75"/>
    <w:rsid w:val="00033549"/>
    <w:rsid w:val="00075523"/>
    <w:rsid w:val="00077A92"/>
    <w:rsid w:val="00080FDF"/>
    <w:rsid w:val="00090F9D"/>
    <w:rsid w:val="0009377A"/>
    <w:rsid w:val="000B7010"/>
    <w:rsid w:val="000C262C"/>
    <w:rsid w:val="000D548B"/>
    <w:rsid w:val="000F6EE0"/>
    <w:rsid w:val="001006BE"/>
    <w:rsid w:val="0011206F"/>
    <w:rsid w:val="001142B6"/>
    <w:rsid w:val="001476C9"/>
    <w:rsid w:val="0015116B"/>
    <w:rsid w:val="001529EA"/>
    <w:rsid w:val="001545AC"/>
    <w:rsid w:val="001754E7"/>
    <w:rsid w:val="00185913"/>
    <w:rsid w:val="0019613C"/>
    <w:rsid w:val="001B2870"/>
    <w:rsid w:val="001C0850"/>
    <w:rsid w:val="001E2DB3"/>
    <w:rsid w:val="001F6088"/>
    <w:rsid w:val="00206175"/>
    <w:rsid w:val="00206373"/>
    <w:rsid w:val="002265CE"/>
    <w:rsid w:val="002270D3"/>
    <w:rsid w:val="002361E6"/>
    <w:rsid w:val="00262E34"/>
    <w:rsid w:val="00285B49"/>
    <w:rsid w:val="00290545"/>
    <w:rsid w:val="00292980"/>
    <w:rsid w:val="002B22E3"/>
    <w:rsid w:val="002C4B31"/>
    <w:rsid w:val="002C4D9B"/>
    <w:rsid w:val="002D2BC5"/>
    <w:rsid w:val="002D4B9E"/>
    <w:rsid w:val="002E10AF"/>
    <w:rsid w:val="002E18AD"/>
    <w:rsid w:val="002F74B4"/>
    <w:rsid w:val="00326385"/>
    <w:rsid w:val="00327DA4"/>
    <w:rsid w:val="00373996"/>
    <w:rsid w:val="0038104F"/>
    <w:rsid w:val="00387411"/>
    <w:rsid w:val="003924D3"/>
    <w:rsid w:val="003929E3"/>
    <w:rsid w:val="003A4AE5"/>
    <w:rsid w:val="003A6025"/>
    <w:rsid w:val="003C17CC"/>
    <w:rsid w:val="003C3291"/>
    <w:rsid w:val="003C7E2C"/>
    <w:rsid w:val="003E0D2D"/>
    <w:rsid w:val="003E1C52"/>
    <w:rsid w:val="00413DF6"/>
    <w:rsid w:val="004229D8"/>
    <w:rsid w:val="00437A25"/>
    <w:rsid w:val="00456EC9"/>
    <w:rsid w:val="00461131"/>
    <w:rsid w:val="00464189"/>
    <w:rsid w:val="00472776"/>
    <w:rsid w:val="004E7EB3"/>
    <w:rsid w:val="004E7EF2"/>
    <w:rsid w:val="004F6167"/>
    <w:rsid w:val="004F705F"/>
    <w:rsid w:val="004F776F"/>
    <w:rsid w:val="00500497"/>
    <w:rsid w:val="005179C6"/>
    <w:rsid w:val="00525D61"/>
    <w:rsid w:val="00552753"/>
    <w:rsid w:val="00570207"/>
    <w:rsid w:val="005815C1"/>
    <w:rsid w:val="00586806"/>
    <w:rsid w:val="00592104"/>
    <w:rsid w:val="005C4655"/>
    <w:rsid w:val="005C67E4"/>
    <w:rsid w:val="005D6102"/>
    <w:rsid w:val="005F0F7C"/>
    <w:rsid w:val="005F2153"/>
    <w:rsid w:val="00602F93"/>
    <w:rsid w:val="00633E63"/>
    <w:rsid w:val="00655BDC"/>
    <w:rsid w:val="00672E7D"/>
    <w:rsid w:val="00674512"/>
    <w:rsid w:val="006871E4"/>
    <w:rsid w:val="00691011"/>
    <w:rsid w:val="006A1942"/>
    <w:rsid w:val="006A4B61"/>
    <w:rsid w:val="006C6F12"/>
    <w:rsid w:val="006E3C07"/>
    <w:rsid w:val="0070057D"/>
    <w:rsid w:val="00705E9A"/>
    <w:rsid w:val="00711AAD"/>
    <w:rsid w:val="007127BD"/>
    <w:rsid w:val="00721D14"/>
    <w:rsid w:val="007315EA"/>
    <w:rsid w:val="00741666"/>
    <w:rsid w:val="00751228"/>
    <w:rsid w:val="00753961"/>
    <w:rsid w:val="0075763E"/>
    <w:rsid w:val="00777636"/>
    <w:rsid w:val="00796C95"/>
    <w:rsid w:val="007C4675"/>
    <w:rsid w:val="007F45A7"/>
    <w:rsid w:val="0080389A"/>
    <w:rsid w:val="00822A7B"/>
    <w:rsid w:val="00823764"/>
    <w:rsid w:val="00836841"/>
    <w:rsid w:val="0085262B"/>
    <w:rsid w:val="00857076"/>
    <w:rsid w:val="00865122"/>
    <w:rsid w:val="00865AAA"/>
    <w:rsid w:val="00866D95"/>
    <w:rsid w:val="00875C56"/>
    <w:rsid w:val="008821CD"/>
    <w:rsid w:val="008B0994"/>
    <w:rsid w:val="008B0F0B"/>
    <w:rsid w:val="008B447E"/>
    <w:rsid w:val="008B57D7"/>
    <w:rsid w:val="008C74BE"/>
    <w:rsid w:val="008D2AF6"/>
    <w:rsid w:val="008D4566"/>
    <w:rsid w:val="008F4A24"/>
    <w:rsid w:val="00902BDA"/>
    <w:rsid w:val="0090631E"/>
    <w:rsid w:val="0092275D"/>
    <w:rsid w:val="0094128A"/>
    <w:rsid w:val="0096424A"/>
    <w:rsid w:val="00971406"/>
    <w:rsid w:val="00971EAC"/>
    <w:rsid w:val="00984D6F"/>
    <w:rsid w:val="0099061F"/>
    <w:rsid w:val="00994F60"/>
    <w:rsid w:val="009C722B"/>
    <w:rsid w:val="009D7493"/>
    <w:rsid w:val="00A149DA"/>
    <w:rsid w:val="00A36926"/>
    <w:rsid w:val="00A432D6"/>
    <w:rsid w:val="00A53F0C"/>
    <w:rsid w:val="00A57A12"/>
    <w:rsid w:val="00A669C2"/>
    <w:rsid w:val="00A70FA8"/>
    <w:rsid w:val="00A8765F"/>
    <w:rsid w:val="00AA0FA7"/>
    <w:rsid w:val="00AA1B2B"/>
    <w:rsid w:val="00AA1D64"/>
    <w:rsid w:val="00AC14A5"/>
    <w:rsid w:val="00AC515E"/>
    <w:rsid w:val="00AC5527"/>
    <w:rsid w:val="00AD5609"/>
    <w:rsid w:val="00AF3A64"/>
    <w:rsid w:val="00B17D0A"/>
    <w:rsid w:val="00B24DA5"/>
    <w:rsid w:val="00B46E91"/>
    <w:rsid w:val="00B60B12"/>
    <w:rsid w:val="00B94240"/>
    <w:rsid w:val="00B95960"/>
    <w:rsid w:val="00BB06AC"/>
    <w:rsid w:val="00BC7C70"/>
    <w:rsid w:val="00BD28B0"/>
    <w:rsid w:val="00BE136F"/>
    <w:rsid w:val="00BE3E59"/>
    <w:rsid w:val="00BF20E1"/>
    <w:rsid w:val="00BF77CB"/>
    <w:rsid w:val="00C03F66"/>
    <w:rsid w:val="00C05A62"/>
    <w:rsid w:val="00C20CA5"/>
    <w:rsid w:val="00C2659F"/>
    <w:rsid w:val="00C269A6"/>
    <w:rsid w:val="00C45735"/>
    <w:rsid w:val="00C47E9E"/>
    <w:rsid w:val="00C5458A"/>
    <w:rsid w:val="00C6220F"/>
    <w:rsid w:val="00C7135F"/>
    <w:rsid w:val="00CA4810"/>
    <w:rsid w:val="00CD2ECE"/>
    <w:rsid w:val="00CD5886"/>
    <w:rsid w:val="00CF0673"/>
    <w:rsid w:val="00D07C4C"/>
    <w:rsid w:val="00D14C76"/>
    <w:rsid w:val="00D37EA5"/>
    <w:rsid w:val="00D42410"/>
    <w:rsid w:val="00D71AE0"/>
    <w:rsid w:val="00D7787E"/>
    <w:rsid w:val="00D83495"/>
    <w:rsid w:val="00D87752"/>
    <w:rsid w:val="00DC41CD"/>
    <w:rsid w:val="00DC52B1"/>
    <w:rsid w:val="00DD5162"/>
    <w:rsid w:val="00DF0005"/>
    <w:rsid w:val="00DF15EC"/>
    <w:rsid w:val="00E03BFF"/>
    <w:rsid w:val="00E1356F"/>
    <w:rsid w:val="00E16B5C"/>
    <w:rsid w:val="00E34A1A"/>
    <w:rsid w:val="00E37219"/>
    <w:rsid w:val="00E545A2"/>
    <w:rsid w:val="00E55EF9"/>
    <w:rsid w:val="00E570A5"/>
    <w:rsid w:val="00E64E46"/>
    <w:rsid w:val="00E84C97"/>
    <w:rsid w:val="00E84E0B"/>
    <w:rsid w:val="00E93F4E"/>
    <w:rsid w:val="00EB4DA7"/>
    <w:rsid w:val="00EF3742"/>
    <w:rsid w:val="00EF75B1"/>
    <w:rsid w:val="00F174F9"/>
    <w:rsid w:val="00F20889"/>
    <w:rsid w:val="00F236D6"/>
    <w:rsid w:val="00F2735F"/>
    <w:rsid w:val="00F31853"/>
    <w:rsid w:val="00F31C6D"/>
    <w:rsid w:val="00F35AF3"/>
    <w:rsid w:val="00F47D84"/>
    <w:rsid w:val="00F55FE3"/>
    <w:rsid w:val="00F61D52"/>
    <w:rsid w:val="00F93415"/>
    <w:rsid w:val="00FA5C16"/>
    <w:rsid w:val="00FC7E1B"/>
    <w:rsid w:val="00FD19F3"/>
    <w:rsid w:val="00FE15CE"/>
    <w:rsid w:val="00FF3A32"/>
    <w:rsid w:val="00FF4348"/>
    <w:rsid w:val="6A2DAE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4B4F2"/>
  <w15:docId w15:val="{D0F2CC52-C610-4246-8D90-A5EFFDBD6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rsid w:val="00D71AE0"/>
    <w:pPr>
      <w:keepNext/>
      <w:keepLines/>
      <w:spacing w:before="120" w:after="120" w:line="360" w:lineRule="auto"/>
      <w:outlineLvl w:val="0"/>
    </w:pPr>
    <w:rPr>
      <w:b/>
      <w:sz w:val="24"/>
      <w:szCs w:val="40"/>
    </w:rPr>
  </w:style>
  <w:style w:type="paragraph" w:styleId="Ttulo2">
    <w:name w:val="heading 2"/>
    <w:basedOn w:val="Normal"/>
    <w:next w:val="Normal"/>
    <w:uiPriority w:val="9"/>
    <w:unhideWhenUsed/>
    <w:qFormat/>
    <w:rsid w:val="00CD5886"/>
    <w:pPr>
      <w:keepNext/>
      <w:keepLines/>
      <w:spacing w:before="120" w:after="120" w:line="360" w:lineRule="auto"/>
      <w:outlineLvl w:val="1"/>
    </w:pPr>
    <w:rPr>
      <w:b/>
      <w:sz w:val="24"/>
      <w:szCs w:val="32"/>
    </w:rPr>
  </w:style>
  <w:style w:type="paragraph" w:styleId="Ttulo3">
    <w:name w:val="heading 3"/>
    <w:basedOn w:val="Normal"/>
    <w:next w:val="Normal"/>
    <w:uiPriority w:val="9"/>
    <w:semiHidden/>
    <w:unhideWhenUsed/>
    <w:qFormat/>
    <w:rsid w:val="002F74B4"/>
    <w:pPr>
      <w:keepNext/>
      <w:keepLines/>
      <w:spacing w:before="120" w:after="120" w:line="360" w:lineRule="auto"/>
      <w:outlineLvl w:val="2"/>
    </w:pPr>
    <w:rPr>
      <w:color w:val="434343"/>
      <w:sz w:val="24"/>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longa">
    <w:name w:val="cit_longa"/>
    <w:basedOn w:val="Normal"/>
    <w:link w:val="citlongaChar"/>
    <w:qFormat/>
    <w:rsid w:val="008821CD"/>
    <w:pPr>
      <w:spacing w:after="240" w:line="240" w:lineRule="auto"/>
      <w:ind w:left="2268"/>
      <w:contextualSpacing/>
      <w:jc w:val="both"/>
    </w:pPr>
    <w:rPr>
      <w:sz w:val="20"/>
      <w:szCs w:val="20"/>
    </w:r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customStyle="1" w:styleId="Pargrafo">
    <w:name w:val="Parágrafo"/>
    <w:basedOn w:val="Normal"/>
    <w:link w:val="PargrafoChar"/>
    <w:qFormat/>
    <w:rsid w:val="005179C6"/>
    <w:pPr>
      <w:spacing w:line="360" w:lineRule="auto"/>
      <w:ind w:firstLine="709"/>
      <w:jc w:val="both"/>
    </w:pPr>
    <w:rPr>
      <w:sz w:val="24"/>
      <w:szCs w:val="24"/>
    </w:rPr>
  </w:style>
  <w:style w:type="character" w:customStyle="1" w:styleId="PargrafoChar">
    <w:name w:val="Parágrafo Char"/>
    <w:link w:val="Pargrafo"/>
    <w:rsid w:val="005179C6"/>
    <w:rPr>
      <w:sz w:val="24"/>
      <w:szCs w:val="24"/>
    </w:rPr>
  </w:style>
  <w:style w:type="table" w:customStyle="1" w:styleId="TableNormal1">
    <w:name w:val="Table Normal1"/>
    <w:rsid w:val="00075523"/>
    <w:pPr>
      <w:spacing w:line="276" w:lineRule="auto"/>
    </w:pPr>
    <w:rPr>
      <w:sz w:val="22"/>
      <w:szCs w:val="22"/>
    </w:rPr>
    <w:tblPr>
      <w:tblCellMar>
        <w:top w:w="0" w:type="dxa"/>
        <w:left w:w="0" w:type="dxa"/>
        <w:bottom w:w="0" w:type="dxa"/>
        <w:right w:w="0" w:type="dxa"/>
      </w:tblCellMar>
    </w:tblPr>
  </w:style>
  <w:style w:type="character" w:customStyle="1" w:styleId="citlongaChar">
    <w:name w:val="cit_longa Char"/>
    <w:basedOn w:val="Fontepargpadro"/>
    <w:link w:val="citlonga"/>
    <w:rsid w:val="008821CD"/>
  </w:style>
  <w:style w:type="paragraph" w:styleId="Bibliografia">
    <w:name w:val="Bibliography"/>
    <w:basedOn w:val="Normal"/>
    <w:next w:val="Normal"/>
    <w:uiPriority w:val="37"/>
    <w:unhideWhenUsed/>
    <w:rsid w:val="008821CD"/>
    <w:pPr>
      <w:spacing w:after="240" w:line="240" w:lineRule="auto"/>
    </w:pPr>
  </w:style>
  <w:style w:type="paragraph" w:customStyle="1" w:styleId="corpodotexto">
    <w:name w:val="corpo_do_texto"/>
    <w:basedOn w:val="Normal"/>
    <w:link w:val="corpodotextoChar"/>
    <w:qFormat/>
    <w:rsid w:val="00AC14A5"/>
    <w:pPr>
      <w:spacing w:line="360" w:lineRule="auto"/>
      <w:ind w:firstLine="709"/>
      <w:jc w:val="both"/>
    </w:pPr>
    <w:rPr>
      <w:rFonts w:eastAsia="Aptos" w:cs="Times New Roman"/>
      <w:kern w:val="2"/>
      <w:sz w:val="24"/>
      <w:lang w:eastAsia="en-US"/>
    </w:rPr>
  </w:style>
  <w:style w:type="character" w:customStyle="1" w:styleId="corpodotextoChar">
    <w:name w:val="corpo_do_texto Char"/>
    <w:link w:val="corpodotexto"/>
    <w:rsid w:val="00AC14A5"/>
    <w:rPr>
      <w:rFonts w:eastAsia="Aptos" w:cs="Times New Roman"/>
      <w:kern w:val="2"/>
      <w:sz w:val="24"/>
      <w:szCs w:val="22"/>
      <w:lang w:eastAsia="en-US"/>
    </w:rPr>
  </w:style>
  <w:style w:type="table" w:styleId="Tabelacomgrade">
    <w:name w:val="Table Grid"/>
    <w:basedOn w:val="Tabelanormal"/>
    <w:uiPriority w:val="39"/>
    <w:rsid w:val="00AC14A5"/>
    <w:rPr>
      <w:rFonts w:ascii="Aptos" w:eastAsia="Aptos" w:hAnsi="Aptos" w:cs="Times New Roman"/>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1Clara">
    <w:name w:val="Grid Table 1 Light"/>
    <w:basedOn w:val="Tabelanormal"/>
    <w:uiPriority w:val="46"/>
    <w:rsid w:val="00AC14A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egenda">
    <w:name w:val="caption"/>
    <w:basedOn w:val="Normal"/>
    <w:next w:val="Normal"/>
    <w:uiPriority w:val="35"/>
    <w:unhideWhenUsed/>
    <w:qFormat/>
    <w:rsid w:val="00E03BFF"/>
    <w:pPr>
      <w:spacing w:line="360" w:lineRule="auto"/>
      <w:jc w:val="center"/>
    </w:pPr>
    <w:rPr>
      <w:b/>
      <w:bCs/>
      <w:sz w:val="20"/>
      <w:szCs w:val="20"/>
    </w:rPr>
  </w:style>
  <w:style w:type="paragraph" w:styleId="Textodenotaderodap">
    <w:name w:val="footnote text"/>
    <w:basedOn w:val="Normal"/>
    <w:link w:val="TextodenotaderodapChar"/>
    <w:uiPriority w:val="99"/>
    <w:semiHidden/>
    <w:unhideWhenUsed/>
    <w:rsid w:val="0070057D"/>
    <w:rPr>
      <w:sz w:val="20"/>
      <w:szCs w:val="20"/>
    </w:rPr>
  </w:style>
  <w:style w:type="character" w:customStyle="1" w:styleId="TextodenotaderodapChar">
    <w:name w:val="Texto de nota de rodapé Char"/>
    <w:basedOn w:val="Fontepargpadro"/>
    <w:link w:val="Textodenotaderodap"/>
    <w:uiPriority w:val="99"/>
    <w:semiHidden/>
    <w:rsid w:val="0070057D"/>
  </w:style>
  <w:style w:type="character" w:styleId="Refdenotaderodap">
    <w:name w:val="footnote reference"/>
    <w:basedOn w:val="Fontepargpadro"/>
    <w:uiPriority w:val="99"/>
    <w:semiHidden/>
    <w:unhideWhenUsed/>
    <w:rsid w:val="007005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header" Target="header1.xml" /><Relationship Id="rId12" Type="http://schemas.openxmlformats.org/officeDocument/2006/relationships/footer" Target="footer3.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header" Target="header3.xml" /><Relationship Id="rId5" Type="http://schemas.openxmlformats.org/officeDocument/2006/relationships/footnotes" Target="footnotes.xml" /><Relationship Id="rId10"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footer" Target="footer1.xml" /><Relationship Id="rId14" Type="http://schemas.openxmlformats.org/officeDocument/2006/relationships/theme" Target="theme/theme1.xml" /></Relationships>
</file>

<file path=word/_rels/header2.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F14E9-B58D-4ED2-B187-64AA4A6FDA8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3387</Words>
  <Characters>18290</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protagonismo@iema.edu.ma.gov.br</cp:lastModifiedBy>
  <cp:revision>2</cp:revision>
  <dcterms:created xsi:type="dcterms:W3CDTF">2025-07-06T15:40:00Z</dcterms:created>
  <dcterms:modified xsi:type="dcterms:W3CDTF">2025-07-06T15:40:00Z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zotero-version="7.0.19"&gt;&lt;session id="bX5Yl4i7"/&gt;&lt;style id="http://www.zotero.org/styles/associacao-brasileira-de-normas-tecnicas-ufrgs-initials" hasBibliography="1" bibliographyStyleHasBeenSet="1"/&gt;&lt;prefs&gt;&lt;pref name="fieldType" valu</vt:lpwstr>
  </property>
  <property fmtid="{D5CDD505-2E9C-101B-9397-08002B2CF9AE}" pid="3" name="ZOTERO_PREF_2">
    <vt:lpwstr>e="Field"/&gt;&lt;pref name="automaticJournalAbbreviations" value="true"/&gt;&lt;/prefs&gt;&lt;/data&gt;</vt:lpwstr>
  </property>
</Properties>
</file>