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B8CA8" w14:textId="77777777" w:rsidR="00E30577" w:rsidRDefault="00000000">
      <w:pPr>
        <w:spacing w:line="360" w:lineRule="auto"/>
        <w:jc w:val="center"/>
        <w:rPr>
          <w:sz w:val="24"/>
          <w:szCs w:val="24"/>
        </w:rPr>
      </w:pPr>
      <w:r>
        <w:rPr>
          <w:b/>
          <w:sz w:val="24"/>
          <w:szCs w:val="24"/>
        </w:rPr>
        <w:t>PROPRIEDADE INTELECTUAL NA PANDEMIA DE COVID-19:</w:t>
      </w:r>
      <w:r>
        <w:rPr>
          <w:sz w:val="24"/>
          <w:szCs w:val="24"/>
        </w:rPr>
        <w:t xml:space="preserve"> desafios para o acesso equitativo às vacinas</w:t>
      </w:r>
    </w:p>
    <w:p w14:paraId="16EFCAE5" w14:textId="77777777" w:rsidR="00E30577" w:rsidRDefault="00E30577">
      <w:pPr>
        <w:spacing w:line="360" w:lineRule="auto"/>
        <w:jc w:val="center"/>
        <w:rPr>
          <w:sz w:val="24"/>
          <w:szCs w:val="24"/>
        </w:rPr>
      </w:pPr>
    </w:p>
    <w:p w14:paraId="08478012" w14:textId="77777777" w:rsidR="00E30577" w:rsidRDefault="00000000">
      <w:pPr>
        <w:spacing w:line="360" w:lineRule="auto"/>
        <w:jc w:val="right"/>
        <w:rPr>
          <w:b/>
          <w:sz w:val="24"/>
          <w:szCs w:val="24"/>
        </w:rPr>
      </w:pPr>
      <w:r>
        <w:rPr>
          <w:b/>
          <w:sz w:val="24"/>
          <w:szCs w:val="24"/>
        </w:rPr>
        <w:t>Lucas Eduardo Serra Santos</w:t>
      </w:r>
      <w:r>
        <w:rPr>
          <w:b/>
          <w:sz w:val="24"/>
          <w:szCs w:val="24"/>
          <w:vertAlign w:val="superscript"/>
        </w:rPr>
        <w:footnoteReference w:id="1"/>
      </w:r>
    </w:p>
    <w:p w14:paraId="3A08F3F4" w14:textId="77777777" w:rsidR="00E30577" w:rsidRDefault="00E30577">
      <w:pPr>
        <w:spacing w:line="240" w:lineRule="auto"/>
        <w:ind w:left="2835"/>
        <w:jc w:val="both"/>
        <w:rPr>
          <w:sz w:val="20"/>
          <w:szCs w:val="20"/>
        </w:rPr>
      </w:pPr>
    </w:p>
    <w:p w14:paraId="0483A113" w14:textId="77777777" w:rsidR="00E30577" w:rsidRDefault="00E30577">
      <w:pPr>
        <w:spacing w:line="240" w:lineRule="auto"/>
        <w:ind w:left="2835"/>
        <w:jc w:val="both"/>
        <w:rPr>
          <w:sz w:val="20"/>
          <w:szCs w:val="20"/>
        </w:rPr>
      </w:pPr>
    </w:p>
    <w:p w14:paraId="48C709AD" w14:textId="77777777" w:rsidR="00E30577" w:rsidRDefault="00000000">
      <w:pPr>
        <w:spacing w:line="240" w:lineRule="auto"/>
        <w:ind w:left="2835"/>
        <w:jc w:val="both"/>
        <w:rPr>
          <w:sz w:val="20"/>
          <w:szCs w:val="20"/>
        </w:rPr>
      </w:pPr>
      <w:r>
        <w:rPr>
          <w:b/>
          <w:sz w:val="20"/>
          <w:szCs w:val="20"/>
        </w:rPr>
        <w:t>Resumo</w:t>
      </w:r>
    </w:p>
    <w:p w14:paraId="16CB1F65" w14:textId="77777777" w:rsidR="00E30577" w:rsidRDefault="00000000">
      <w:pPr>
        <w:spacing w:line="240" w:lineRule="auto"/>
        <w:ind w:left="2835"/>
        <w:jc w:val="both"/>
        <w:rPr>
          <w:sz w:val="20"/>
          <w:szCs w:val="20"/>
        </w:rPr>
      </w:pPr>
      <w:r>
        <w:rPr>
          <w:sz w:val="20"/>
          <w:szCs w:val="20"/>
        </w:rPr>
        <w:t>O artigo analisa os limites do regime internacional de propriedade intelectual durante a pandemia de COVID-19, destacando as tensões entre a proteção de patentes farmacêuticas e o direito à saúde em países do Sul Global. A partir de uma abordagem qualitativa, fundamentada em revisão bibliográfica e análise documental, investiga-se a atuação da Organização Mundial da Propriedade Intelectual (OMPI) frente à proposta de suspensão do Acordo TRIPS, evidenciando entraves jurídicos e políticos que comprometeram o acesso equitativo às vacinas. Iniciativas como o C-TAP, as licenças compulsórias e os esforços do BRICS são examinados como caminhos alternativos diante das limitações estruturais do sistema vigente. Conclui-se que, em contextos de emergência sanitária, a rigidez normativa internacional impõe barreiras à justiça global em saúde, demandando a revisão de mecanismos multilaterais à luz de princípios de equidade, solidariedade e efetivação de direitos.</w:t>
      </w:r>
    </w:p>
    <w:p w14:paraId="09802E9A" w14:textId="1CCA9FA8" w:rsidR="00E30577" w:rsidRDefault="00000000">
      <w:pPr>
        <w:spacing w:line="240" w:lineRule="auto"/>
        <w:ind w:left="2835"/>
        <w:jc w:val="both"/>
        <w:rPr>
          <w:sz w:val="20"/>
          <w:szCs w:val="20"/>
        </w:rPr>
      </w:pPr>
      <w:r>
        <w:rPr>
          <w:b/>
          <w:sz w:val="20"/>
          <w:szCs w:val="20"/>
        </w:rPr>
        <w:t>Palavras-chave</w:t>
      </w:r>
      <w:r>
        <w:rPr>
          <w:sz w:val="20"/>
          <w:szCs w:val="20"/>
        </w:rPr>
        <w:t xml:space="preserve">: </w:t>
      </w:r>
      <w:r w:rsidR="006769B7" w:rsidRPr="00FD7B5A">
        <w:rPr>
          <w:sz w:val="20"/>
          <w:szCs w:val="20"/>
        </w:rPr>
        <w:t>Direito à Saúde; OMPI; Sul Global.</w:t>
      </w:r>
    </w:p>
    <w:p w14:paraId="1588734F" w14:textId="77777777" w:rsidR="00E30577" w:rsidRDefault="00E30577">
      <w:pPr>
        <w:spacing w:line="240" w:lineRule="auto"/>
        <w:ind w:left="2835"/>
        <w:jc w:val="both"/>
        <w:rPr>
          <w:sz w:val="20"/>
          <w:szCs w:val="20"/>
        </w:rPr>
      </w:pPr>
    </w:p>
    <w:p w14:paraId="2EBC5B5E" w14:textId="77777777" w:rsidR="00E30577" w:rsidRDefault="00000000">
      <w:pPr>
        <w:spacing w:line="240" w:lineRule="auto"/>
        <w:ind w:left="2835"/>
        <w:jc w:val="both"/>
        <w:rPr>
          <w:sz w:val="20"/>
          <w:szCs w:val="20"/>
        </w:rPr>
      </w:pPr>
      <w:r>
        <w:rPr>
          <w:b/>
          <w:sz w:val="20"/>
          <w:szCs w:val="20"/>
        </w:rPr>
        <w:t>Abstract</w:t>
      </w:r>
    </w:p>
    <w:p w14:paraId="0B09EB6F" w14:textId="77777777" w:rsidR="00E30577" w:rsidRDefault="00000000">
      <w:pPr>
        <w:spacing w:line="240" w:lineRule="auto"/>
        <w:ind w:left="2835"/>
        <w:jc w:val="both"/>
        <w:rPr>
          <w:sz w:val="20"/>
          <w:szCs w:val="20"/>
        </w:rPr>
      </w:pPr>
      <w:r>
        <w:rPr>
          <w:sz w:val="20"/>
          <w:szCs w:val="20"/>
        </w:rPr>
        <w:t>The article analyzes the limits of the international intellectual property regime during the COVID-19 pandemic, highlighting the tensions between pharmaceutical patent protection and the right to health in countries of the Global South. Based on a qualitative approach, grounded in bibliographic review and documentary analysis, it investigates the role of the World Intellectual Property Organization (WIPO) with the proposal to suspend the TRIPS Agreement, revealing legal and political obstacles that compromised equitable access to vaccines. Initiatives such as C-TAP, compulsory licenses, and BRICS cooperation efforts are examined as alternative paths in the face of structural limitations of the current system. The study concludes that, in the context of public health emergencies, the rigidity of international norms poses barriers to global health justice, requiring a revision of multilateral mechanisms in light of principles of equity, solidarity, and the realization of rights.</w:t>
      </w:r>
    </w:p>
    <w:p w14:paraId="1699C357" w14:textId="71066A78" w:rsidR="00E30577" w:rsidRDefault="00000000">
      <w:pPr>
        <w:spacing w:line="240" w:lineRule="auto"/>
        <w:ind w:left="2835"/>
        <w:jc w:val="both"/>
        <w:rPr>
          <w:sz w:val="20"/>
          <w:szCs w:val="20"/>
        </w:rPr>
      </w:pPr>
      <w:r>
        <w:rPr>
          <w:b/>
          <w:sz w:val="20"/>
          <w:szCs w:val="20"/>
        </w:rPr>
        <w:t>Keywords</w:t>
      </w:r>
      <w:r>
        <w:rPr>
          <w:sz w:val="20"/>
          <w:szCs w:val="20"/>
        </w:rPr>
        <w:t xml:space="preserve">: </w:t>
      </w:r>
      <w:r w:rsidR="006769B7" w:rsidRPr="00FD7B5A">
        <w:rPr>
          <w:bCs/>
          <w:sz w:val="20"/>
          <w:szCs w:val="20"/>
        </w:rPr>
        <w:t>Right to Health; WIPO; Global South.</w:t>
      </w:r>
    </w:p>
    <w:p w14:paraId="0F08833F" w14:textId="10D4FA16" w:rsidR="00B549F9" w:rsidRDefault="00B549F9" w:rsidP="00B549F9">
      <w:pPr>
        <w:tabs>
          <w:tab w:val="left" w:pos="1095"/>
        </w:tabs>
        <w:spacing w:line="360" w:lineRule="auto"/>
      </w:pPr>
    </w:p>
    <w:p w14:paraId="7D39B2F0" w14:textId="45D171D3" w:rsidR="00E30577" w:rsidRDefault="00000000">
      <w:pPr>
        <w:spacing w:line="360" w:lineRule="auto"/>
        <w:rPr>
          <w:sz w:val="24"/>
          <w:szCs w:val="24"/>
        </w:rPr>
      </w:pPr>
      <w:r w:rsidRPr="00B549F9">
        <w:br w:type="page"/>
      </w:r>
      <w:r>
        <w:rPr>
          <w:b/>
          <w:sz w:val="24"/>
          <w:szCs w:val="24"/>
        </w:rPr>
        <w:lastRenderedPageBreak/>
        <w:t>1</w:t>
      </w:r>
      <w:r>
        <w:rPr>
          <w:b/>
          <w:sz w:val="24"/>
          <w:szCs w:val="24"/>
        </w:rPr>
        <w:tab/>
        <w:t>INTRODUÇÃO</w:t>
      </w:r>
    </w:p>
    <w:p w14:paraId="29929AA6" w14:textId="77777777" w:rsidR="00E30577" w:rsidRDefault="00E30577">
      <w:pPr>
        <w:spacing w:line="360" w:lineRule="auto"/>
        <w:jc w:val="both"/>
        <w:rPr>
          <w:sz w:val="24"/>
          <w:szCs w:val="24"/>
        </w:rPr>
      </w:pPr>
    </w:p>
    <w:p w14:paraId="784396B6" w14:textId="77777777" w:rsidR="00E30577" w:rsidRDefault="00000000">
      <w:pPr>
        <w:spacing w:line="360" w:lineRule="auto"/>
        <w:ind w:firstLine="720"/>
        <w:jc w:val="both"/>
        <w:rPr>
          <w:sz w:val="24"/>
          <w:szCs w:val="24"/>
        </w:rPr>
      </w:pPr>
      <w:r>
        <w:rPr>
          <w:sz w:val="24"/>
          <w:szCs w:val="24"/>
        </w:rPr>
        <w:t>A pandemia de COVID-19, declarada em 2020, revelou de maneira dramática as desigualdades estruturais que marcam o acesso a tecnologias de saúde em escala global. Dessa forma, a distribuição de vacinas tornou-se um ponto crítico nesse cenário, evidenciando o fosso entre países desenvolvidos, capazes de adquirir estoques massivos de imunizantes, e países em desenvolvimento, que enfrentaram obstáculos logísticos, financeiros e jurídicos para garantir a imunização de suas populações (Varella; Oliveira, 2023). Nesse contexto, o debate sobre o papel das patentes farmacêuticas e das organizações internacionais responsáveis por sua regulação ganhou centralidade, destacando a Organização Mundial da Propriedade Intelectual (OMPI)</w:t>
      </w:r>
      <w:r>
        <w:rPr>
          <w:sz w:val="24"/>
          <w:szCs w:val="24"/>
          <w:vertAlign w:val="superscript"/>
        </w:rPr>
        <w:footnoteReference w:id="2"/>
      </w:r>
      <w:r>
        <w:rPr>
          <w:sz w:val="24"/>
          <w:szCs w:val="24"/>
        </w:rPr>
        <w:t xml:space="preserve"> como um ator relevante no equilíbrio entre proteção à inovação e saúde global (Souza; Buss, 2021).</w:t>
      </w:r>
    </w:p>
    <w:p w14:paraId="53F9BE19" w14:textId="77777777" w:rsidR="00E30577" w:rsidRDefault="00000000">
      <w:pPr>
        <w:spacing w:line="360" w:lineRule="auto"/>
        <w:jc w:val="both"/>
        <w:rPr>
          <w:sz w:val="24"/>
          <w:szCs w:val="24"/>
        </w:rPr>
      </w:pPr>
      <w:r>
        <w:rPr>
          <w:sz w:val="24"/>
          <w:szCs w:val="24"/>
        </w:rPr>
        <w:t xml:space="preserve">        </w:t>
      </w:r>
      <w:r>
        <w:rPr>
          <w:sz w:val="24"/>
          <w:szCs w:val="24"/>
        </w:rPr>
        <w:tab/>
        <w:t xml:space="preserve">A importância do tema reside justamente na necessidade de compreender como instituições multilaterais atuam diante de crises sanitárias globais e até que ponto conseguem ou não adaptar suas diretrizes normativas a princípios mais igualitários. A OMPI, cuja função tradicional é zelar pelos direitos de propriedade intelectual em âmbito internacional, foi pressionada a se posicionar frente à proposta de suspensão temporária das patentes de vacinas contra a COVID-19 — conhecida como </w:t>
      </w:r>
      <w:r>
        <w:rPr>
          <w:i/>
          <w:sz w:val="24"/>
          <w:szCs w:val="24"/>
        </w:rPr>
        <w:t>TRIPS waiver</w:t>
      </w:r>
      <w:r>
        <w:rPr>
          <w:sz w:val="24"/>
          <w:szCs w:val="24"/>
        </w:rPr>
        <w:t xml:space="preserve"> — apresentada por Índia e África do Sul na Organização Mundial do Comércio (OMC). Essa proposta reacendeu o debate sobre a tensão entre os interesses comerciais das indústrias farmacêuticas e o direito à saúde de populações vulneráveis, questionando os limites do regime internacional de propriedade intelectual em contextos de emergência.</w:t>
      </w:r>
    </w:p>
    <w:p w14:paraId="2EFEBA32" w14:textId="77777777" w:rsidR="00E30577" w:rsidRDefault="00000000">
      <w:pPr>
        <w:spacing w:line="360" w:lineRule="auto"/>
        <w:jc w:val="both"/>
        <w:rPr>
          <w:sz w:val="24"/>
          <w:szCs w:val="24"/>
        </w:rPr>
      </w:pPr>
      <w:r>
        <w:rPr>
          <w:sz w:val="24"/>
          <w:szCs w:val="24"/>
        </w:rPr>
        <w:lastRenderedPageBreak/>
        <w:t xml:space="preserve">        </w:t>
      </w:r>
      <w:r>
        <w:rPr>
          <w:sz w:val="24"/>
          <w:szCs w:val="24"/>
        </w:rPr>
        <w:tab/>
        <w:t>Dessa forma, a presente pesquisa busca responder à seguinte pergunta-problema: como a atuação da OMPI durante a pandemia de COVID-19 evidenciou os limites da proteção internacional de patentes frente à necessidade de garantir o acesso equitativo às vacinas em países em desenvolvimento? Para tanto, o objetivo geral é analisar o papel da OMPI na mediação entre os direitos de propriedade intelectual e o acesso universal a vacinas durante a pandemia. A partir deste objetivo geral, pretende-se: investigar as diretrizes da OMPI sobre patentes farmacêuticas no contexto da pandemia; compreender o debate internacional em torno da proposta de suspensão temporária de patentes (</w:t>
      </w:r>
      <w:r>
        <w:rPr>
          <w:i/>
          <w:sz w:val="24"/>
          <w:szCs w:val="24"/>
        </w:rPr>
        <w:t>TRIPS waiver</w:t>
      </w:r>
      <w:r>
        <w:rPr>
          <w:sz w:val="24"/>
          <w:szCs w:val="24"/>
        </w:rPr>
        <w:t>); e avaliar as consequências da atuação da OMPI para o acesso a vacinas em países do Sul Global.</w:t>
      </w:r>
    </w:p>
    <w:p w14:paraId="7D39E654" w14:textId="77777777" w:rsidR="00E30577" w:rsidRDefault="00000000">
      <w:pPr>
        <w:spacing w:line="360" w:lineRule="auto"/>
        <w:jc w:val="both"/>
        <w:rPr>
          <w:sz w:val="24"/>
          <w:szCs w:val="24"/>
        </w:rPr>
      </w:pPr>
      <w:r>
        <w:rPr>
          <w:sz w:val="24"/>
          <w:szCs w:val="24"/>
        </w:rPr>
        <w:t xml:space="preserve">        </w:t>
      </w:r>
      <w:r>
        <w:rPr>
          <w:sz w:val="24"/>
          <w:szCs w:val="24"/>
        </w:rPr>
        <w:tab/>
        <w:t>A metodologia adotada baseia-se em uma abordagem qualitativa, orientada por uma perspectiva crítica, voltada à análise das dinâmicas de poder que atravessam o regime internacional de propriedade intelectual em contextos de emergência sanitária. Nesse sentido, a principal técnica utilizada foi a pesquisa bibliográfica e documental, com a seleção de fontes que permitissem articular aspectos normativos, institucionais e políticos.Para isso, foram consultados artigos acadêmicos relevantes, documentos institucionais da OMPI, relatórios de organismos multilaterais (como OMS e OMC) e tratados internacionais, visando compreender tanto os marcos legais quanto os posicionamentos políticos no debate sobre o TRIPS Waiver. Logo, esses referenciais possibilitam analisar criticamente como os mecanismos de propriedade intelectual se inserem nas estruturas de desigualdade, geopolítica e saúde global.</w:t>
      </w:r>
    </w:p>
    <w:p w14:paraId="31462060" w14:textId="77777777" w:rsidR="00E30577" w:rsidRDefault="00E30577">
      <w:pPr>
        <w:spacing w:line="360" w:lineRule="auto"/>
        <w:jc w:val="both"/>
        <w:rPr>
          <w:sz w:val="24"/>
          <w:szCs w:val="24"/>
        </w:rPr>
      </w:pPr>
    </w:p>
    <w:p w14:paraId="6A54C017" w14:textId="77777777" w:rsidR="00E30577" w:rsidRDefault="00000000">
      <w:pPr>
        <w:spacing w:line="360" w:lineRule="auto"/>
        <w:jc w:val="both"/>
        <w:rPr>
          <w:sz w:val="24"/>
          <w:szCs w:val="24"/>
        </w:rPr>
      </w:pPr>
      <w:r>
        <w:rPr>
          <w:b/>
          <w:sz w:val="24"/>
          <w:szCs w:val="24"/>
        </w:rPr>
        <w:t>2</w:t>
      </w:r>
      <w:r>
        <w:rPr>
          <w:b/>
          <w:sz w:val="24"/>
          <w:szCs w:val="24"/>
        </w:rPr>
        <w:tab/>
        <w:t>O REGIME INTERNACIONAL DE PATENTES E OS DESAFIOS DA SAÚDE GLOBAL NA PANDEMIA</w:t>
      </w:r>
    </w:p>
    <w:p w14:paraId="505A1B8E" w14:textId="77777777" w:rsidR="00E30577" w:rsidRDefault="00E30577">
      <w:pPr>
        <w:spacing w:line="360" w:lineRule="auto"/>
        <w:jc w:val="both"/>
        <w:rPr>
          <w:sz w:val="24"/>
          <w:szCs w:val="24"/>
        </w:rPr>
      </w:pPr>
    </w:p>
    <w:p w14:paraId="2BDFF153" w14:textId="77777777" w:rsidR="00E30577" w:rsidRDefault="00000000">
      <w:pPr>
        <w:spacing w:line="360" w:lineRule="auto"/>
        <w:ind w:firstLine="720"/>
        <w:jc w:val="both"/>
        <w:rPr>
          <w:sz w:val="24"/>
          <w:szCs w:val="24"/>
        </w:rPr>
      </w:pPr>
      <w:r>
        <w:rPr>
          <w:sz w:val="24"/>
          <w:szCs w:val="24"/>
        </w:rPr>
        <w:t xml:space="preserve">O Direito Internacional da Propriedade Intelectual, particularmente no que tange às patentes farmacêuticas, ocupa uma posição central na dinâmica contemporânea de regulação do acesso a tecnologias essenciais à saúde. A consolidação desse regime normativo ocorreu com o Acordo sobre os Aspectos dos </w:t>
      </w:r>
      <w:r>
        <w:rPr>
          <w:sz w:val="24"/>
          <w:szCs w:val="24"/>
        </w:rPr>
        <w:lastRenderedPageBreak/>
        <w:t>Direitos de Propriedade Intelectual Relacionados ao Comércio (TRIPS), negociado no âmbito da Organização Mundial do Comércio (OMC), que impôs aos Estados-membros a obrigatoriedade de conceder proteção patentária a produtos farmacêuticos por um período mínimo de 20 anos (Carvalho, 2008). Além disso, pode-se citar a Organização Mundial da Propriedade Intelectual (OMPI) como</w:t>
      </w:r>
    </w:p>
    <w:p w14:paraId="4939D5B8" w14:textId="77777777" w:rsidR="00E30577" w:rsidRDefault="00000000">
      <w:pPr>
        <w:spacing w:before="200" w:after="200" w:line="240" w:lineRule="auto"/>
        <w:ind w:left="2267"/>
        <w:jc w:val="both"/>
        <w:rPr>
          <w:sz w:val="20"/>
          <w:szCs w:val="20"/>
        </w:rPr>
      </w:pPr>
      <w:r>
        <w:rPr>
          <w:sz w:val="20"/>
          <w:szCs w:val="20"/>
        </w:rPr>
        <w:t>organismo de maior relevância para a promoção e defesa da propriedade intelectual, principalmente para temas relacionados aos países em desenvolvimento e de menor desenvolvimento relativo. Isto porque desde 1962, a ONU, por meio da Resolução sobre Propriedade Industrial, reconhece que as patentes farmacêuticas são essenciais para o desenvolvimento econômico e social (Carvalho, 2008).</w:t>
      </w:r>
    </w:p>
    <w:p w14:paraId="4AC8C225" w14:textId="77777777" w:rsidR="00E30577" w:rsidRDefault="00000000">
      <w:pPr>
        <w:spacing w:line="360" w:lineRule="auto"/>
        <w:jc w:val="both"/>
        <w:rPr>
          <w:sz w:val="24"/>
          <w:szCs w:val="24"/>
        </w:rPr>
      </w:pPr>
      <w:r>
        <w:rPr>
          <w:sz w:val="24"/>
          <w:szCs w:val="24"/>
        </w:rPr>
        <w:t xml:space="preserve">        </w:t>
      </w:r>
      <w:r>
        <w:rPr>
          <w:sz w:val="24"/>
          <w:szCs w:val="24"/>
        </w:rPr>
        <w:tab/>
        <w:t>Essa medida, embora justificada como incentivo à inovação e ao desenvolvimento tecnológico, também resultou em profundas implicações para a equidade no acesso a medicamentos, sobretudo nos países em desenvolvimento (Carvalho, 2008). Ao proteger de forma rígida os direitos dos titulares de patentes — majoritariamente empresas multinacionais sediadas em países desenvolvidos — o regime internacional tende a restringir a produção e distribuição de versões genéricas mais acessíveis, mesmo diante de crises sanitárias.</w:t>
      </w:r>
    </w:p>
    <w:p w14:paraId="12CCD82A" w14:textId="77777777" w:rsidR="00E30577" w:rsidRDefault="00000000">
      <w:pPr>
        <w:spacing w:line="360" w:lineRule="auto"/>
        <w:jc w:val="both"/>
        <w:rPr>
          <w:sz w:val="24"/>
          <w:szCs w:val="24"/>
        </w:rPr>
      </w:pPr>
      <w:r>
        <w:rPr>
          <w:sz w:val="24"/>
          <w:szCs w:val="24"/>
        </w:rPr>
        <w:t xml:space="preserve">        </w:t>
      </w:r>
      <w:r>
        <w:rPr>
          <w:sz w:val="24"/>
          <w:szCs w:val="24"/>
        </w:rPr>
        <w:tab/>
        <w:t xml:space="preserve"> Como destaca Carvalho (2008), a internalização das normas do TRIPS nos ordenamentos jurídicos nacionais foi frequentemente realizada sem considerar adequadamente os mecanismos de flexibilização previstos no próprio acordo, como as licenças compulsórias e o uso público não comercial. </w:t>
      </w:r>
    </w:p>
    <w:p w14:paraId="578D8B1D" w14:textId="77777777" w:rsidR="00E30577" w:rsidRDefault="00000000">
      <w:pPr>
        <w:spacing w:line="360" w:lineRule="auto"/>
        <w:jc w:val="both"/>
        <w:rPr>
          <w:sz w:val="24"/>
          <w:szCs w:val="24"/>
        </w:rPr>
      </w:pPr>
      <w:r>
        <w:rPr>
          <w:sz w:val="24"/>
          <w:szCs w:val="24"/>
        </w:rPr>
        <w:t xml:space="preserve">        </w:t>
      </w:r>
      <w:r>
        <w:rPr>
          <w:sz w:val="24"/>
          <w:szCs w:val="24"/>
        </w:rPr>
        <w:tab/>
        <w:t>Tal omissão revela não apenas uma assimetria estrutural entre países centrais e periféricos na formulação das regras globais de propriedade intelectual, mas também a dificuldade das instituições multilaterais em responder a situações de emergência em saúde pública com base no princípio da solidariedade (Souza; Buss, 2021).</w:t>
      </w:r>
    </w:p>
    <w:p w14:paraId="6C1EB8CA" w14:textId="77777777" w:rsidR="00E30577" w:rsidRDefault="00000000">
      <w:pPr>
        <w:spacing w:line="360" w:lineRule="auto"/>
        <w:jc w:val="both"/>
        <w:rPr>
          <w:sz w:val="24"/>
          <w:szCs w:val="24"/>
        </w:rPr>
      </w:pPr>
      <w:r>
        <w:rPr>
          <w:sz w:val="24"/>
          <w:szCs w:val="24"/>
        </w:rPr>
        <w:t xml:space="preserve">        </w:t>
      </w:r>
      <w:r>
        <w:rPr>
          <w:sz w:val="24"/>
          <w:szCs w:val="24"/>
        </w:rPr>
        <w:tab/>
        <w:t xml:space="preserve">Nesse contexto, o sistema internacional de propriedade intelectual, consolidado a partir do Acordo TRIPS busca, teoricamente, equilibrar os incentivos à inovação com a difusão de conhecimento (Ministério das Relações Exteriores, 2023). No entanto, em momentos de crise sanitária global, como a pandemia de COVID-19, essa </w:t>
      </w:r>
      <w:r>
        <w:rPr>
          <w:sz w:val="24"/>
          <w:szCs w:val="24"/>
        </w:rPr>
        <w:lastRenderedPageBreak/>
        <w:t xml:space="preserve">estrutura normativa revelou tensões profundas entre a proteção de patentes e a necessidade de garantir o acesso equitativo a tecnologias essenciais de saúde, como vacinas, testes diagnósticos e tratamentos (Souza; Buss, 2021). Isso porque </w:t>
      </w:r>
    </w:p>
    <w:p w14:paraId="71A414BE" w14:textId="77777777" w:rsidR="00E30577" w:rsidRDefault="00000000">
      <w:pPr>
        <w:spacing w:before="200" w:after="200" w:line="240" w:lineRule="auto"/>
        <w:ind w:left="2260"/>
        <w:jc w:val="both"/>
        <w:rPr>
          <w:sz w:val="20"/>
          <w:szCs w:val="20"/>
        </w:rPr>
      </w:pPr>
      <w:r>
        <w:rPr>
          <w:sz w:val="20"/>
          <w:szCs w:val="20"/>
        </w:rPr>
        <w:t>Em menos de um ano, não apenas a economia dos países foi severamente afetada, mas também o próprio modo de viver, além da perda de vários milhões de vidas humanas em todos os continentes. Rapidamente, houve um investimento massivo de Estados e empresas para o desenvolvimento de novas vacinas. (Varella; Oliveira, 2023)</w:t>
      </w:r>
    </w:p>
    <w:p w14:paraId="3EBCA480" w14:textId="77777777" w:rsidR="00E30577" w:rsidRDefault="00000000">
      <w:pPr>
        <w:spacing w:line="360" w:lineRule="auto"/>
        <w:jc w:val="both"/>
        <w:rPr>
          <w:sz w:val="24"/>
          <w:szCs w:val="24"/>
        </w:rPr>
      </w:pPr>
      <w:r>
        <w:rPr>
          <w:sz w:val="20"/>
          <w:szCs w:val="20"/>
        </w:rPr>
        <w:t xml:space="preserve">            </w:t>
      </w:r>
      <w:r>
        <w:rPr>
          <w:sz w:val="20"/>
          <w:szCs w:val="20"/>
        </w:rPr>
        <w:tab/>
      </w:r>
      <w:r>
        <w:rPr>
          <w:sz w:val="24"/>
          <w:szCs w:val="24"/>
        </w:rPr>
        <w:t xml:space="preserve">Sendo assim, a OMPI foi chamada a desempenhar um papel estratégico. Embora sua atuação seja predominantemente técnica e orientada para a cooperação e harmonização normativa, a pandemia colocou a OMPI sob pressão para adotar uma postura mais ativa frente à desigualdade no acesso aos insumos de saúde. Apesar disso, a organização manteve uma posição de neutralidade nos debates mais politizados, como a proposta de suspensão temporária de certos direitos de propriedade intelectual no âmbito do TRIPS — conhecida como </w:t>
      </w:r>
      <w:r>
        <w:rPr>
          <w:i/>
          <w:sz w:val="24"/>
          <w:szCs w:val="24"/>
        </w:rPr>
        <w:t>TRIPS waiver</w:t>
      </w:r>
      <w:r>
        <w:rPr>
          <w:sz w:val="24"/>
          <w:szCs w:val="24"/>
        </w:rPr>
        <w:t>, proposta originalmente por Índia e África do Sul (Zaman, 2022).</w:t>
      </w:r>
    </w:p>
    <w:p w14:paraId="65FF967E" w14:textId="77777777" w:rsidR="00E30577" w:rsidRDefault="00E30577">
      <w:pPr>
        <w:spacing w:line="360" w:lineRule="auto"/>
        <w:jc w:val="both"/>
        <w:rPr>
          <w:sz w:val="24"/>
          <w:szCs w:val="24"/>
        </w:rPr>
      </w:pPr>
    </w:p>
    <w:p w14:paraId="193D515E" w14:textId="77777777" w:rsidR="00E30577" w:rsidRDefault="00000000">
      <w:pPr>
        <w:spacing w:line="360" w:lineRule="auto"/>
        <w:jc w:val="both"/>
        <w:rPr>
          <w:sz w:val="24"/>
          <w:szCs w:val="24"/>
        </w:rPr>
      </w:pPr>
      <w:r>
        <w:rPr>
          <w:b/>
          <w:sz w:val="24"/>
          <w:szCs w:val="24"/>
        </w:rPr>
        <w:t>2.1</w:t>
      </w:r>
      <w:r>
        <w:rPr>
          <w:b/>
          <w:sz w:val="24"/>
          <w:szCs w:val="24"/>
        </w:rPr>
        <w:tab/>
        <w:t>O TRIPS Waiver e os impasses políticos nas negociações multilaterais</w:t>
      </w:r>
    </w:p>
    <w:p w14:paraId="606744B6" w14:textId="77777777" w:rsidR="00E30577" w:rsidRDefault="00E30577">
      <w:pPr>
        <w:spacing w:line="360" w:lineRule="auto"/>
        <w:jc w:val="both"/>
        <w:rPr>
          <w:sz w:val="24"/>
          <w:szCs w:val="24"/>
        </w:rPr>
      </w:pPr>
    </w:p>
    <w:p w14:paraId="74C3D17B" w14:textId="77777777" w:rsidR="00E30577" w:rsidRDefault="00000000">
      <w:pPr>
        <w:spacing w:before="60" w:after="40" w:line="360" w:lineRule="auto"/>
        <w:ind w:firstLine="720"/>
        <w:jc w:val="both"/>
        <w:rPr>
          <w:sz w:val="24"/>
          <w:szCs w:val="24"/>
        </w:rPr>
      </w:pPr>
      <w:r>
        <w:rPr>
          <w:sz w:val="24"/>
          <w:szCs w:val="24"/>
        </w:rPr>
        <w:t xml:space="preserve">A proposta, apresentada por Índia e África do Sul à Organização Mundial do Comércio (OMC) em outubro de 2020, visava suspender certas obrigações do Acordo sobre Aspectos dos Direitos de Propriedade Intelectual Relacionados ao Comércio (TRIPS), com o objetivo de facilitar o acesso equitativo e rápido a produtos de saúde em países em desenvolvimento (Zaman, 2022). Segundo Varella e Oliveira (2023), o </w:t>
      </w:r>
      <w:r>
        <w:rPr>
          <w:i/>
          <w:sz w:val="24"/>
          <w:szCs w:val="24"/>
        </w:rPr>
        <w:t>waiver</w:t>
      </w:r>
      <w:r>
        <w:rPr>
          <w:sz w:val="24"/>
          <w:szCs w:val="24"/>
        </w:rPr>
        <w:t xml:space="preserve"> representa uma forma extrema de flexibilização dos direitos de propriedade intelectual, ao propor uma suspensão generalizada de suas disposições, indo além das flexibilidades já previstas no próprio TRIPS, como as licenças compulsórias: </w:t>
      </w:r>
    </w:p>
    <w:p w14:paraId="174853F2" w14:textId="77777777" w:rsidR="00E30577" w:rsidRDefault="00000000">
      <w:pPr>
        <w:spacing w:before="200" w:after="200" w:line="240" w:lineRule="auto"/>
        <w:ind w:left="2260"/>
        <w:jc w:val="both"/>
        <w:rPr>
          <w:sz w:val="20"/>
          <w:szCs w:val="20"/>
        </w:rPr>
      </w:pPr>
      <w:r>
        <w:rPr>
          <w:sz w:val="20"/>
          <w:szCs w:val="20"/>
        </w:rPr>
        <w:t xml:space="preserve">A hipótese legal para a utilização de um waiver de direitos de propriedade intelectual encontra amparo no art. 73 do Acordo TRIPS (ABBOTT, 2020, p. 15). A pandemia de covid-19 constitui uma emergência nas relações </w:t>
      </w:r>
      <w:r>
        <w:rPr>
          <w:sz w:val="20"/>
          <w:szCs w:val="20"/>
        </w:rPr>
        <w:lastRenderedPageBreak/>
        <w:t>internacionais, nos termos da declaração da OMS, de 30 de janeiro de 2020, sobre o surto de covid-19 (Varella; Oliveira, 2023).</w:t>
      </w:r>
    </w:p>
    <w:p w14:paraId="4CC932EB" w14:textId="77777777" w:rsidR="00E30577" w:rsidRDefault="00000000">
      <w:pPr>
        <w:spacing w:before="60" w:after="40" w:line="360" w:lineRule="auto"/>
        <w:jc w:val="both"/>
        <w:rPr>
          <w:sz w:val="24"/>
          <w:szCs w:val="24"/>
        </w:rPr>
      </w:pPr>
      <w:r>
        <w:rPr>
          <w:sz w:val="24"/>
          <w:szCs w:val="24"/>
        </w:rPr>
        <w:t xml:space="preserve">        </w:t>
      </w:r>
      <w:r>
        <w:rPr>
          <w:sz w:val="24"/>
          <w:szCs w:val="24"/>
        </w:rPr>
        <w:tab/>
        <w:t xml:space="preserve">A justificativa dos proponentes baseava-se na insuficiência das ferramentas existentes para garantir a superação dos obstáculos tecnológicos, legais e logísticos impostos pelas patentes no contexto emergencial da pandemia. </w:t>
      </w:r>
    </w:p>
    <w:p w14:paraId="5DB35090" w14:textId="77777777" w:rsidR="00E30577" w:rsidRDefault="00000000">
      <w:pPr>
        <w:spacing w:before="60" w:after="40" w:line="360" w:lineRule="auto"/>
        <w:jc w:val="both"/>
        <w:rPr>
          <w:sz w:val="24"/>
          <w:szCs w:val="24"/>
        </w:rPr>
      </w:pPr>
      <w:r>
        <w:rPr>
          <w:sz w:val="24"/>
          <w:szCs w:val="24"/>
        </w:rPr>
        <w:t xml:space="preserve">        </w:t>
      </w:r>
      <w:r>
        <w:rPr>
          <w:sz w:val="24"/>
          <w:szCs w:val="24"/>
        </w:rPr>
        <w:tab/>
        <w:t>A proposta encontrou resistência de certos países, como o próprio Brasil, e de grandes conglomerados farmacêuticos, que argumentaram que a suspensão dos direitos de propriedade poderia desincentivar a inovação e comprometer a qualidade e a segurança dos produtos (Varella; Oliveira, 2023).</w:t>
      </w:r>
    </w:p>
    <w:p w14:paraId="4326936E" w14:textId="77777777" w:rsidR="00E30577" w:rsidRDefault="00000000">
      <w:pPr>
        <w:spacing w:before="60" w:after="40" w:line="360" w:lineRule="auto"/>
        <w:jc w:val="both"/>
        <w:rPr>
          <w:sz w:val="24"/>
          <w:szCs w:val="24"/>
        </w:rPr>
      </w:pPr>
      <w:r>
        <w:rPr>
          <w:sz w:val="24"/>
          <w:szCs w:val="24"/>
        </w:rPr>
        <w:t xml:space="preserve">        </w:t>
      </w:r>
      <w:r>
        <w:rPr>
          <w:sz w:val="24"/>
          <w:szCs w:val="24"/>
        </w:rPr>
        <w:tab/>
        <w:t>Embora a proposta tenha sido amplamente apoiada por organizações da sociedade civil e por diversas nações do Sul Global, seu escopo foi progressivamente reduzido nas negociações multilaterais. Em junho de 2022, a OMC aprovou uma decisão limitada, permitindo certas flexibilidades apenas para vacinas contra a COVID-19 e mantendo diversos requisitos burocráticos que, na prática, esvaziam o potencial transformador da proposta original (Zaman, 2022).</w:t>
      </w:r>
    </w:p>
    <w:p w14:paraId="39F2CB1D" w14:textId="77777777" w:rsidR="00E30577" w:rsidRDefault="00000000">
      <w:pPr>
        <w:spacing w:before="60" w:after="40" w:line="360" w:lineRule="auto"/>
        <w:jc w:val="both"/>
        <w:rPr>
          <w:sz w:val="24"/>
          <w:szCs w:val="24"/>
        </w:rPr>
      </w:pPr>
      <w:r>
        <w:rPr>
          <w:sz w:val="24"/>
          <w:szCs w:val="24"/>
        </w:rPr>
        <w:t xml:space="preserve">        </w:t>
      </w:r>
      <w:r>
        <w:rPr>
          <w:sz w:val="24"/>
          <w:szCs w:val="24"/>
        </w:rPr>
        <w:tab/>
        <w:t>Durante o período crítico da pandemia, a OMPI reforçou seu papel como fórum de informação e apoio técnico, promovendo práticas como o licenciamento voluntário, a ciência aberta e a disseminação de boas práticas em gestão de patentes. A organização apoiou iniciativas como o Medicines Patent Pool (MPP) e o COVID-19 Technology Access Pool (C-TAP), liderado pela Organização Mundial da Saúde (OMS), que visavam o compartilhamento voluntário de tecnologias relacionadas à COVID-19. No entanto, sua atuação foi principalmente de natureza técnica e observadora, sem exercer pressão significativa sobre os titulares de patentes ou propor reformas estruturais no regime vigente de propriedade intelectual (Varella; Oliveira, 2023).</w:t>
      </w:r>
    </w:p>
    <w:p w14:paraId="3266DD72" w14:textId="77777777" w:rsidR="00E30577" w:rsidRDefault="00000000">
      <w:pPr>
        <w:spacing w:before="60" w:after="40" w:line="360" w:lineRule="auto"/>
        <w:jc w:val="both"/>
        <w:rPr>
          <w:sz w:val="24"/>
          <w:szCs w:val="24"/>
        </w:rPr>
      </w:pPr>
      <w:r>
        <w:rPr>
          <w:sz w:val="24"/>
          <w:szCs w:val="24"/>
        </w:rPr>
        <w:t xml:space="preserve">        </w:t>
      </w:r>
      <w:r>
        <w:rPr>
          <w:sz w:val="24"/>
          <w:szCs w:val="24"/>
        </w:rPr>
        <w:tab/>
        <w:t>Essa limitação do papel da OMPI durante a pandemia da COVID-19 pode ser compreendida à luz da literatura sobre governança global, que destaca o crescente papel de instituições internacionais e atores privados na definição de normas transnacionais.</w:t>
      </w:r>
    </w:p>
    <w:p w14:paraId="2F4A23F3" w14:textId="77777777" w:rsidR="00E30577" w:rsidRDefault="00000000">
      <w:pPr>
        <w:spacing w:before="60" w:after="40" w:line="360" w:lineRule="auto"/>
        <w:jc w:val="both"/>
        <w:rPr>
          <w:sz w:val="24"/>
          <w:szCs w:val="24"/>
        </w:rPr>
      </w:pPr>
      <w:r>
        <w:rPr>
          <w:sz w:val="24"/>
          <w:szCs w:val="24"/>
        </w:rPr>
        <w:lastRenderedPageBreak/>
        <w:t xml:space="preserve">        </w:t>
      </w:r>
      <w:r>
        <w:rPr>
          <w:sz w:val="24"/>
          <w:szCs w:val="24"/>
        </w:rPr>
        <w:tab/>
        <w:t>Segundo Sell, Avant e Finnemore (2010), a governança global contemporânea é marcada por uma multiplicidade de agentes — incluindo corporações, ONGs e organizações internacionais — que moldam regras e padrões com efeitos práticos sobre os Estados e as populações.</w:t>
      </w:r>
    </w:p>
    <w:p w14:paraId="4A51EA55" w14:textId="77777777" w:rsidR="00E30577" w:rsidRDefault="00000000">
      <w:pPr>
        <w:spacing w:before="60" w:after="40" w:line="360" w:lineRule="auto"/>
        <w:jc w:val="both"/>
        <w:rPr>
          <w:sz w:val="24"/>
          <w:szCs w:val="24"/>
        </w:rPr>
      </w:pPr>
      <w:r>
        <w:rPr>
          <w:sz w:val="24"/>
          <w:szCs w:val="24"/>
        </w:rPr>
        <w:t xml:space="preserve">        </w:t>
      </w:r>
      <w:r>
        <w:rPr>
          <w:sz w:val="24"/>
          <w:szCs w:val="24"/>
        </w:rPr>
        <w:tab/>
        <w:t>No caso da propriedade intelectual, observa-se uma concentração de poder normativo nas mãos de atores privados e governos de países centrais, o que limita o espaço de atuação de organizações multilaterais como a OMPI quando se trata de garantir o acesso equitativo a tecnologias essenciais (Varella; Oliveira, 2023).</w:t>
      </w:r>
    </w:p>
    <w:p w14:paraId="43979C8A" w14:textId="77777777" w:rsidR="00E30577" w:rsidRDefault="00000000">
      <w:pPr>
        <w:spacing w:before="60" w:after="40" w:line="360" w:lineRule="auto"/>
        <w:jc w:val="both"/>
        <w:rPr>
          <w:sz w:val="24"/>
          <w:szCs w:val="24"/>
        </w:rPr>
      </w:pPr>
      <w:r>
        <w:rPr>
          <w:sz w:val="24"/>
          <w:szCs w:val="24"/>
        </w:rPr>
        <w:t xml:space="preserve">        </w:t>
      </w:r>
      <w:r>
        <w:rPr>
          <w:sz w:val="24"/>
          <w:szCs w:val="24"/>
        </w:rPr>
        <w:tab/>
        <w:t>A OMPI, embora formalmente comprometida com a promoção de um sistema equilibrado de propriedade intelectual, opera dentro de uma estrutura normativa dominada por interesses econômicos e jurídicos consolidados no Acordo TRIPS. Como argumenta Sell (2010), a internacionalização das normas de propriedade intelectual não foi um processo neutro, mas sim resultado de pressões políticas e econômicas exercidas por grandes corporações — especialmente do setor farmacêutico — que influenciaram diretamente a construção do regime global vigente.</w:t>
      </w:r>
    </w:p>
    <w:p w14:paraId="2A5D35EC" w14:textId="77777777" w:rsidR="00E30577" w:rsidRDefault="00000000">
      <w:pPr>
        <w:spacing w:before="60" w:after="40" w:line="360" w:lineRule="auto"/>
        <w:jc w:val="both"/>
        <w:rPr>
          <w:sz w:val="24"/>
          <w:szCs w:val="24"/>
        </w:rPr>
      </w:pPr>
      <w:r>
        <w:rPr>
          <w:sz w:val="24"/>
          <w:szCs w:val="24"/>
        </w:rPr>
        <w:t xml:space="preserve">        </w:t>
      </w:r>
      <w:r>
        <w:rPr>
          <w:sz w:val="24"/>
          <w:szCs w:val="24"/>
        </w:rPr>
        <w:tab/>
        <w:t xml:space="preserve">Mesmo com o apoio expressivo de organizações da sociedade civil e de diversos países do Sul Global, as negociações sobre o </w:t>
      </w:r>
      <w:r>
        <w:rPr>
          <w:i/>
          <w:sz w:val="24"/>
          <w:szCs w:val="24"/>
        </w:rPr>
        <w:t>waiver</w:t>
      </w:r>
      <w:r>
        <w:rPr>
          <w:sz w:val="24"/>
          <w:szCs w:val="24"/>
        </w:rPr>
        <w:t xml:space="preserve"> foram progressivamente esvaziadas. Em junho de 2022, a OMC aprovou uma decisão limitada que autorizava flexibilidades apenas para vacinas, e mesmo assim com exigências procedimentais que dificultaram sua implementação prática (Varella; Oliveira, 2023). Isso refletiu não apenas os entraves políticos, mas também as limitações estruturais da OMC como espaço de governança multilateral, no qual decisões são tomadas por consenso e sob forte influência de atores econômicos poderosos.</w:t>
      </w:r>
    </w:p>
    <w:p w14:paraId="54EA65C4" w14:textId="77777777" w:rsidR="00E30577" w:rsidRDefault="00000000">
      <w:pPr>
        <w:spacing w:before="60" w:after="40" w:line="360" w:lineRule="auto"/>
        <w:jc w:val="both"/>
        <w:rPr>
          <w:sz w:val="24"/>
          <w:szCs w:val="24"/>
        </w:rPr>
      </w:pPr>
      <w:r>
        <w:rPr>
          <w:sz w:val="24"/>
          <w:szCs w:val="24"/>
        </w:rPr>
        <w:t xml:space="preserve">        </w:t>
      </w:r>
      <w:r>
        <w:rPr>
          <w:sz w:val="24"/>
          <w:szCs w:val="24"/>
        </w:rPr>
        <w:tab/>
        <w:t xml:space="preserve">Além das barreiras políticas, há restrições técnicas e logísticas que não seriam superadas apenas com a suspensão das patentes. O domínio sobre o </w:t>
      </w:r>
      <w:r>
        <w:rPr>
          <w:i/>
          <w:sz w:val="24"/>
          <w:szCs w:val="24"/>
        </w:rPr>
        <w:t>know-how</w:t>
      </w:r>
      <w:r>
        <w:rPr>
          <w:sz w:val="24"/>
          <w:szCs w:val="24"/>
        </w:rPr>
        <w:t xml:space="preserve">, os segredos industriais e as capacidades produtivas concentram-se em poucos países e </w:t>
      </w:r>
      <w:r>
        <w:rPr>
          <w:sz w:val="24"/>
          <w:szCs w:val="24"/>
        </w:rPr>
        <w:lastRenderedPageBreak/>
        <w:t>empresas, o que exige medidas adicionais de transferência de tecnologia, capacitação técnica e financiamento, pois</w:t>
      </w:r>
    </w:p>
    <w:p w14:paraId="3F4EF189" w14:textId="77777777" w:rsidR="00E30577" w:rsidRDefault="00000000">
      <w:pPr>
        <w:spacing w:before="200" w:after="200" w:line="240" w:lineRule="auto"/>
        <w:ind w:left="2260"/>
        <w:jc w:val="both"/>
        <w:rPr>
          <w:sz w:val="20"/>
          <w:szCs w:val="20"/>
        </w:rPr>
      </w:pPr>
      <w:r>
        <w:rPr>
          <w:sz w:val="20"/>
          <w:szCs w:val="20"/>
        </w:rPr>
        <w:t>para que o waiver seja eficaz, seria necessário não apenas incluir uma suspensão da patente, mas também fornecer os segredos comerciais por meio da transferência de tecnologia, além de dados regulatórios. Cumpre mencionar que algumas desenvolvedoras das vacinas, como a Pfizer/BioNTech, optaram por manter tais informações em segredo. Embora tenha declarado em 2020 que deixaria de fazer cumprir as suas patentes, a decisão da Moderna não abrangeu todos os direitos de propriedade intelectual, como segredos comerciais/know-how, e excluía transferência de tecnologia. Deveras, não haveria lógica em deixar de fazer cumprir os direitos de patentes sem liberar as demais informações; caso contrário, a escala de fabricação da vacina enfrentaria obstáculos significativos. O fato é que a simples existência de uma discussão internacional, com fortes chances de levar à suspensão de direitos de propriedade intelectual, acabou sendo um elemento importante de pressão dos Estados nacionais sobre as empresas para a redução de preços e melhores cláusulas de negociação (Varella; Oliveira, 2023)</w:t>
      </w:r>
    </w:p>
    <w:p w14:paraId="5294ECBC" w14:textId="77777777" w:rsidR="00E30577" w:rsidRDefault="00000000">
      <w:pPr>
        <w:spacing w:before="60" w:after="40" w:line="360" w:lineRule="auto"/>
        <w:jc w:val="both"/>
        <w:rPr>
          <w:sz w:val="24"/>
          <w:szCs w:val="24"/>
        </w:rPr>
      </w:pPr>
      <w:r>
        <w:rPr>
          <w:sz w:val="20"/>
          <w:szCs w:val="20"/>
        </w:rPr>
        <w:t xml:space="preserve">            </w:t>
      </w:r>
      <w:r>
        <w:rPr>
          <w:sz w:val="20"/>
          <w:szCs w:val="20"/>
        </w:rPr>
        <w:tab/>
      </w:r>
      <w:r>
        <w:rPr>
          <w:sz w:val="24"/>
          <w:szCs w:val="24"/>
        </w:rPr>
        <w:t xml:space="preserve">Dessa forma, conforme Varella e Oliveira (2023), o impasse em torno do </w:t>
      </w:r>
      <w:r>
        <w:rPr>
          <w:i/>
          <w:sz w:val="24"/>
          <w:szCs w:val="24"/>
        </w:rPr>
        <w:t>waiver</w:t>
      </w:r>
      <w:r>
        <w:rPr>
          <w:sz w:val="24"/>
          <w:szCs w:val="24"/>
        </w:rPr>
        <w:t xml:space="preserve"> escancarou a contradição entre a lógica da inovação privada, respaldada por normas rígidas de propriedade intelectual, e os imperativos de equidade em contextos de emergência sanitária global. O caso evidencia como a governança da saúde global permanece subordinada à lógica do mercado, em detrimento do direito humano à saúde.</w:t>
      </w:r>
    </w:p>
    <w:p w14:paraId="364ACB94" w14:textId="77777777" w:rsidR="00E30577" w:rsidRDefault="00E30577">
      <w:pPr>
        <w:spacing w:before="60" w:after="40" w:line="360" w:lineRule="auto"/>
        <w:jc w:val="both"/>
        <w:rPr>
          <w:sz w:val="24"/>
          <w:szCs w:val="24"/>
        </w:rPr>
      </w:pPr>
    </w:p>
    <w:p w14:paraId="6E70BA17" w14:textId="77777777" w:rsidR="00E30577" w:rsidRDefault="00000000">
      <w:pPr>
        <w:spacing w:line="360" w:lineRule="auto"/>
        <w:jc w:val="both"/>
        <w:rPr>
          <w:b/>
          <w:sz w:val="24"/>
          <w:szCs w:val="24"/>
        </w:rPr>
      </w:pPr>
      <w:r>
        <w:rPr>
          <w:b/>
          <w:sz w:val="24"/>
          <w:szCs w:val="24"/>
        </w:rPr>
        <w:t>2.2 O impacto das desigualdades no Sul Global: entraves, resistências e caminhos alternativos</w:t>
      </w:r>
    </w:p>
    <w:p w14:paraId="759FEF93" w14:textId="77777777" w:rsidR="00E30577" w:rsidRDefault="00000000">
      <w:pPr>
        <w:spacing w:line="360" w:lineRule="auto"/>
        <w:jc w:val="both"/>
        <w:rPr>
          <w:b/>
          <w:sz w:val="24"/>
          <w:szCs w:val="24"/>
        </w:rPr>
      </w:pPr>
      <w:r>
        <w:rPr>
          <w:b/>
          <w:sz w:val="24"/>
          <w:szCs w:val="24"/>
        </w:rPr>
        <w:tab/>
      </w:r>
    </w:p>
    <w:p w14:paraId="13B6D7E9" w14:textId="77777777" w:rsidR="00E30577" w:rsidRDefault="00000000">
      <w:pPr>
        <w:spacing w:line="360" w:lineRule="auto"/>
        <w:jc w:val="both"/>
        <w:rPr>
          <w:sz w:val="24"/>
          <w:szCs w:val="24"/>
        </w:rPr>
      </w:pPr>
      <w:r>
        <w:rPr>
          <w:b/>
          <w:sz w:val="24"/>
          <w:szCs w:val="24"/>
        </w:rPr>
        <w:tab/>
      </w:r>
      <w:r>
        <w:rPr>
          <w:sz w:val="24"/>
          <w:szCs w:val="24"/>
        </w:rPr>
        <w:t xml:space="preserve">A pandemia de COVID-19 expôs, de forma contundente, as desigualdades estruturais que marcam o sistema internacional de saúde, especialmente no que tange à distribuição equitativa de vacinas. Enquanto países do Norte Global mobilizaram rapidamente recursos e garantiram acordos bilaterais com grandes farmacêuticas, países do Sul Global enfrentaram uma série de entraves, desde a limitação de infraestrutura industrial até barreiras político-institucionais associadas ao regime de propriedade intelectual: </w:t>
      </w:r>
    </w:p>
    <w:p w14:paraId="6885C2B5" w14:textId="77777777" w:rsidR="00E30577" w:rsidRDefault="00000000">
      <w:pPr>
        <w:spacing w:before="200" w:after="200" w:line="240" w:lineRule="auto"/>
        <w:ind w:left="2260"/>
        <w:jc w:val="both"/>
        <w:rPr>
          <w:sz w:val="20"/>
          <w:szCs w:val="20"/>
        </w:rPr>
      </w:pPr>
      <w:r>
        <w:rPr>
          <w:sz w:val="20"/>
          <w:szCs w:val="20"/>
        </w:rPr>
        <w:lastRenderedPageBreak/>
        <w:t>Os resultados da corrida pela vacina indicam uma clara assimetria na vacinação por país no mundo, uma vez que a consolidação de uma lógica mercadológica pouco fundamentada na cooperação e claramente assentada na competição gerou uma curva de Knutz na qual a vacinação é diretamente proporcional à renda. Por um lado, nos países com maior renda per capita há um percentual maior de população vacinada. Por outro lado, nos países com menor renda, a vacinação é inexistente ou mesmo baixa (Senhoras, 2021).</w:t>
      </w:r>
    </w:p>
    <w:p w14:paraId="6E8B9B61" w14:textId="77777777" w:rsidR="00E30577" w:rsidRDefault="00000000">
      <w:pPr>
        <w:spacing w:before="60" w:after="40" w:line="360" w:lineRule="auto"/>
        <w:jc w:val="both"/>
        <w:rPr>
          <w:sz w:val="24"/>
          <w:szCs w:val="24"/>
        </w:rPr>
      </w:pPr>
      <w:r>
        <w:rPr>
          <w:sz w:val="24"/>
          <w:szCs w:val="24"/>
        </w:rPr>
        <w:t xml:space="preserve">        </w:t>
      </w:r>
      <w:r>
        <w:rPr>
          <w:sz w:val="24"/>
          <w:szCs w:val="24"/>
        </w:rPr>
        <w:tab/>
        <w:t>O debate em torno do acesso equitativo a tecnologias em saúde durante crises sanitárias revelou o papel ambíguo das instituições internacionais de propriedade intelectual, cuja atuação muitas vezes prioriza a proteção das inovações em detrimento da saúde mundial (Kohler, 2022).</w:t>
      </w:r>
    </w:p>
    <w:p w14:paraId="7CD4BB37" w14:textId="77777777" w:rsidR="00E30577" w:rsidRDefault="00000000">
      <w:pPr>
        <w:spacing w:before="60" w:after="40" w:line="360" w:lineRule="auto"/>
        <w:jc w:val="both"/>
        <w:rPr>
          <w:sz w:val="24"/>
          <w:szCs w:val="24"/>
        </w:rPr>
      </w:pPr>
      <w:r>
        <w:rPr>
          <w:sz w:val="24"/>
          <w:szCs w:val="24"/>
        </w:rPr>
        <w:t xml:space="preserve">        </w:t>
      </w:r>
      <w:r>
        <w:rPr>
          <w:sz w:val="24"/>
          <w:szCs w:val="24"/>
        </w:rPr>
        <w:tab/>
        <w:t xml:space="preserve">Para além dos entraves legais, aspectos socioculturais e políticos também agravaram a crise no Sul Global, como a hesitação vacinal e a desinformação, sobretudo em países da América Latina e da África: </w:t>
      </w:r>
    </w:p>
    <w:p w14:paraId="081F2B3D" w14:textId="77777777" w:rsidR="00E30577" w:rsidRDefault="00000000">
      <w:pPr>
        <w:spacing w:before="200" w:after="200" w:line="240" w:lineRule="auto"/>
        <w:ind w:left="2260"/>
        <w:jc w:val="both"/>
        <w:rPr>
          <w:sz w:val="20"/>
          <w:szCs w:val="20"/>
        </w:rPr>
      </w:pPr>
      <w:r>
        <w:rPr>
          <w:sz w:val="20"/>
          <w:szCs w:val="20"/>
        </w:rPr>
        <w:t>Os resultados da corrida pela vacina indicam uma clara assimetria na vacinação por país no mundo, uma vez que a consolidação de uma lógica mercadológica pouco fundamentada na cooperação e claramente assentada na competição gerou uma curva de Knutz na qual a vacinação é diretamente proporcional à renda. Por um lado, nos países com maior renda per capita há um percentual maior de população vacinada. Por outro lado, nos países com menor renda, a vacinação é inexistente ou mesmo baixa (Senhoras, 2021).</w:t>
      </w:r>
    </w:p>
    <w:p w14:paraId="2ECA792F" w14:textId="77777777" w:rsidR="00E30577" w:rsidRDefault="00000000">
      <w:pPr>
        <w:spacing w:before="60" w:after="40" w:line="360" w:lineRule="auto"/>
        <w:jc w:val="both"/>
        <w:rPr>
          <w:sz w:val="24"/>
          <w:szCs w:val="24"/>
        </w:rPr>
      </w:pPr>
      <w:r>
        <w:rPr>
          <w:sz w:val="24"/>
          <w:szCs w:val="24"/>
        </w:rPr>
        <w:t xml:space="preserve">        </w:t>
      </w:r>
      <w:r>
        <w:rPr>
          <w:sz w:val="24"/>
          <w:szCs w:val="24"/>
        </w:rPr>
        <w:tab/>
        <w:t>A hesitação vacinal nessas regiões não pode ser compreendida de maneira isolada, mas sim como reflexo de um contexto em que a exclusão tecnológica e a dependência histórica de países centrais dificultam tanto o acesso aos imunizantes quanto a produção de campanhas de vacinação baseadas em realidades locais.</w:t>
      </w:r>
    </w:p>
    <w:p w14:paraId="2897D87E" w14:textId="77777777" w:rsidR="00E30577" w:rsidRDefault="00000000">
      <w:pPr>
        <w:spacing w:before="60" w:after="40" w:line="360" w:lineRule="auto"/>
        <w:jc w:val="both"/>
        <w:rPr>
          <w:sz w:val="24"/>
          <w:szCs w:val="24"/>
        </w:rPr>
      </w:pPr>
      <w:r>
        <w:rPr>
          <w:sz w:val="24"/>
          <w:szCs w:val="24"/>
        </w:rPr>
        <w:t xml:space="preserve">        </w:t>
      </w:r>
      <w:r>
        <w:rPr>
          <w:sz w:val="24"/>
          <w:szCs w:val="24"/>
        </w:rPr>
        <w:tab/>
        <w:t>Além disso, a ausência de investimentos sistemáticos em infraestrutura de saúde, somada à desconfiança gerada por políticas sanitárias instáveis, agrava a situação e limita a eficácia das ações públicas (Gonçalves et al., 2023).</w:t>
      </w:r>
    </w:p>
    <w:p w14:paraId="64591A23" w14:textId="77777777" w:rsidR="00E30577" w:rsidRDefault="00000000">
      <w:pPr>
        <w:spacing w:before="60" w:after="40" w:line="360" w:lineRule="auto"/>
        <w:jc w:val="both"/>
        <w:rPr>
          <w:sz w:val="24"/>
          <w:szCs w:val="24"/>
        </w:rPr>
      </w:pPr>
      <w:r>
        <w:rPr>
          <w:sz w:val="24"/>
          <w:szCs w:val="24"/>
        </w:rPr>
        <w:t xml:space="preserve">        </w:t>
      </w:r>
      <w:r>
        <w:rPr>
          <w:sz w:val="24"/>
          <w:szCs w:val="24"/>
        </w:rPr>
        <w:tab/>
        <w:t xml:space="preserve">Diante desse quadro, os países do BRICS desempenharam um papel estratégico ao propor uma alternativa cooperativa na produção e distribuição de vacinas. A iniciativa de países como China e Índia na exportação de imunizantes a preços acessíveis, muitas vezes por meio de doações, evidenciou o potencial da </w:t>
      </w:r>
      <w:r>
        <w:rPr>
          <w:sz w:val="24"/>
          <w:szCs w:val="24"/>
        </w:rPr>
        <w:lastRenderedPageBreak/>
        <w:t xml:space="preserve">cooperação Sul-Sul como instrumento de resistência às lógicas excludentes da ordem internacional vigente (Ribeiro, 2022). </w:t>
      </w:r>
    </w:p>
    <w:p w14:paraId="494C8BAD" w14:textId="77777777" w:rsidR="00E30577" w:rsidRDefault="00000000">
      <w:pPr>
        <w:spacing w:before="60" w:after="40" w:line="360" w:lineRule="auto"/>
        <w:jc w:val="both"/>
        <w:rPr>
          <w:sz w:val="24"/>
          <w:szCs w:val="24"/>
        </w:rPr>
      </w:pPr>
      <w:r>
        <w:rPr>
          <w:sz w:val="24"/>
          <w:szCs w:val="24"/>
        </w:rPr>
        <w:t xml:space="preserve">        </w:t>
      </w:r>
      <w:r>
        <w:rPr>
          <w:sz w:val="24"/>
          <w:szCs w:val="24"/>
        </w:rPr>
        <w:tab/>
        <w:t>Nesse mesmo contexto, a criação do Centro de Pesquisa e Desenvolvimento de Vacinas do BRICS representa um passo concreto rumo à autonomia sanitária e tecnológica do Sul Global. Essa instituição não apenas simboliza uma nova forma de multilateralismo — o chamado multilateralismo multinormativo —, como também propõe práticas de cooperação pautadas pela pluralidade normativa e pela troca horizontal de saberes (Santos, 2022). Isso porque</w:t>
      </w:r>
    </w:p>
    <w:p w14:paraId="18975952" w14:textId="77777777" w:rsidR="00E30577" w:rsidRDefault="00000000">
      <w:pPr>
        <w:spacing w:before="200" w:after="200" w:line="240" w:lineRule="auto"/>
        <w:ind w:left="2260"/>
        <w:jc w:val="both"/>
        <w:rPr>
          <w:sz w:val="20"/>
          <w:szCs w:val="20"/>
        </w:rPr>
      </w:pPr>
      <w:r>
        <w:rPr>
          <w:sz w:val="20"/>
          <w:szCs w:val="20"/>
        </w:rPr>
        <w:t>O centro do BRICS surge assim com o potencial de se tornar um importante lócus para a institucionalização de uma agenda estratégica, produtiva e coletiva da saúde. [...] Ele pode vir a ser fundamental para o fortalecimento, preparo e resposta dos países do grupo a novas pandemias no futuro” (Santos, 2022)</w:t>
      </w:r>
    </w:p>
    <w:p w14:paraId="014A60BB" w14:textId="77777777" w:rsidR="00E30577" w:rsidRDefault="00000000">
      <w:pPr>
        <w:spacing w:before="60" w:after="40" w:line="360" w:lineRule="auto"/>
        <w:jc w:val="both"/>
        <w:rPr>
          <w:sz w:val="20"/>
          <w:szCs w:val="20"/>
        </w:rPr>
      </w:pPr>
      <w:r>
        <w:rPr>
          <w:sz w:val="20"/>
          <w:szCs w:val="20"/>
        </w:rPr>
        <w:t xml:space="preserve">            </w:t>
      </w:r>
      <w:r>
        <w:rPr>
          <w:sz w:val="20"/>
          <w:szCs w:val="20"/>
        </w:rPr>
        <w:tab/>
      </w:r>
      <w:r>
        <w:rPr>
          <w:sz w:val="24"/>
          <w:szCs w:val="24"/>
        </w:rPr>
        <w:t>Portanto, as consequências da pandemia para o Sul Global não se limitam à carência imediata de vacinas, mas também apontam para a necessidade urgente de reconfiguração das estruturas de produção, distribuição e acesso a tecnologias em saúde. A pandemia serviu como catalisador para reflexões críticas sobre soberania sanitária, justiça global e o papel transformador da cooperação entre países do Sul.</w:t>
      </w:r>
    </w:p>
    <w:p w14:paraId="1D6D936B" w14:textId="77777777" w:rsidR="00E30577" w:rsidRDefault="00E30577">
      <w:pPr>
        <w:spacing w:line="360" w:lineRule="auto"/>
        <w:jc w:val="both"/>
        <w:rPr>
          <w:sz w:val="24"/>
          <w:szCs w:val="24"/>
        </w:rPr>
      </w:pPr>
    </w:p>
    <w:p w14:paraId="0FBD2D2B" w14:textId="77777777" w:rsidR="00E30577" w:rsidRDefault="00000000">
      <w:pPr>
        <w:spacing w:line="360" w:lineRule="auto"/>
        <w:jc w:val="both"/>
        <w:rPr>
          <w:sz w:val="24"/>
          <w:szCs w:val="24"/>
        </w:rPr>
      </w:pPr>
      <w:r>
        <w:rPr>
          <w:b/>
          <w:sz w:val="24"/>
          <w:szCs w:val="24"/>
        </w:rPr>
        <w:t>3</w:t>
      </w:r>
      <w:r>
        <w:rPr>
          <w:b/>
          <w:sz w:val="24"/>
          <w:szCs w:val="24"/>
        </w:rPr>
        <w:tab/>
        <w:t>CONCLUSÃO</w:t>
      </w:r>
    </w:p>
    <w:p w14:paraId="677A7990" w14:textId="77777777" w:rsidR="00E30577" w:rsidRDefault="00000000">
      <w:pPr>
        <w:spacing w:line="360" w:lineRule="auto"/>
        <w:ind w:firstLine="720"/>
        <w:jc w:val="both"/>
        <w:rPr>
          <w:sz w:val="24"/>
          <w:szCs w:val="24"/>
        </w:rPr>
      </w:pPr>
      <w:r>
        <w:rPr>
          <w:sz w:val="24"/>
          <w:szCs w:val="24"/>
        </w:rPr>
        <w:t xml:space="preserve">A pandemia de COVID-19 evidenciou, de forma contundente, as fragilidades do regime internacional de propriedade intelectual diante de emergências sanitárias globais. A partir disso, percebe-se que a rigidez normativa das patentes farmacêuticas representou um dos principais entraves ao acesso equitativo às vacinas, sobretudo nos países do Sul Global, onde desigualdades estruturais em saúde foram intensificadas. </w:t>
      </w:r>
    </w:p>
    <w:p w14:paraId="60966E94" w14:textId="77777777" w:rsidR="00E30577" w:rsidRDefault="00000000">
      <w:pPr>
        <w:spacing w:line="360" w:lineRule="auto"/>
        <w:ind w:firstLine="720"/>
        <w:jc w:val="both"/>
        <w:rPr>
          <w:sz w:val="24"/>
          <w:szCs w:val="24"/>
        </w:rPr>
      </w:pPr>
      <w:r>
        <w:rPr>
          <w:sz w:val="24"/>
          <w:szCs w:val="24"/>
        </w:rPr>
        <w:t xml:space="preserve">O desenvolvimento e a distribuição dos imunizantes mostraram como a concentração do poder tecnológico e produtivo em poucos países e laboratórios aprofundou disparidades históricas entre o Norte e o Sul globais. Enquanto nações desenvolvidas asseguraram rapidamente doses excedentes para proteger suas </w:t>
      </w:r>
      <w:r>
        <w:rPr>
          <w:sz w:val="24"/>
          <w:szCs w:val="24"/>
        </w:rPr>
        <w:lastRenderedPageBreak/>
        <w:t xml:space="preserve">populações em múltiplas rodadas de vacinação, países em desenvolvimento enfrentaram escassez prolongada, comprometendo suas estratégias sanitárias. </w:t>
      </w:r>
    </w:p>
    <w:p w14:paraId="061CFD16" w14:textId="77777777" w:rsidR="00E30577" w:rsidRDefault="00000000">
      <w:pPr>
        <w:spacing w:line="360" w:lineRule="auto"/>
        <w:ind w:firstLine="720"/>
        <w:jc w:val="both"/>
        <w:rPr>
          <w:sz w:val="24"/>
          <w:szCs w:val="24"/>
        </w:rPr>
      </w:pPr>
      <w:r>
        <w:rPr>
          <w:sz w:val="24"/>
          <w:szCs w:val="24"/>
        </w:rPr>
        <w:t>Nesse contexto, iniciativas como o TRIPS Waiver, o C-TAP e as licenças compulsórias emergiram como alternativas excepcionais, ainda que seus impactos tenham sido limitados diante da ausência de compromisso político e da resistência de atores centrais do sistema internacional.</w:t>
      </w:r>
    </w:p>
    <w:p w14:paraId="2125D5E3" w14:textId="77777777" w:rsidR="00E30577" w:rsidRDefault="00000000">
      <w:pPr>
        <w:spacing w:line="360" w:lineRule="auto"/>
        <w:ind w:firstLine="720"/>
        <w:jc w:val="both"/>
        <w:rPr>
          <w:sz w:val="24"/>
          <w:szCs w:val="24"/>
        </w:rPr>
      </w:pPr>
      <w:r>
        <w:rPr>
          <w:sz w:val="24"/>
          <w:szCs w:val="24"/>
        </w:rPr>
        <w:t>Essa conjuntura impõe uma reflexão crítica sobre o equilíbrio entre os direitos conferidos aos titulares de patentes e os imperativos do interesse público. Torna-se urgente fortalecer mecanismos multilaterais que promovam a transferência de tecnologias estratégicas, ampliem a capacidade produtiva autônoma dos países do Sul Global e reconheçam a saúde como um direito humano fundamental. A segurança sanitária não pode ser subordinada exclusivamente à lógica privatista da inovação, mas deve ser orientada por princípios de justiça global, solidariedade e cooperação.</w:t>
      </w:r>
    </w:p>
    <w:p w14:paraId="438B3557" w14:textId="77777777" w:rsidR="00E30577" w:rsidRDefault="00E30577">
      <w:pPr>
        <w:spacing w:line="360" w:lineRule="auto"/>
        <w:jc w:val="center"/>
        <w:rPr>
          <w:sz w:val="24"/>
          <w:szCs w:val="24"/>
        </w:rPr>
      </w:pPr>
    </w:p>
    <w:p w14:paraId="4E8A1635" w14:textId="77777777" w:rsidR="00E30577" w:rsidRDefault="00000000">
      <w:pPr>
        <w:spacing w:line="360" w:lineRule="auto"/>
        <w:jc w:val="center"/>
        <w:rPr>
          <w:sz w:val="24"/>
          <w:szCs w:val="24"/>
        </w:rPr>
      </w:pPr>
      <w:r>
        <w:rPr>
          <w:b/>
          <w:sz w:val="24"/>
          <w:szCs w:val="24"/>
        </w:rPr>
        <w:t xml:space="preserve">REFERÊNCIAS </w:t>
      </w:r>
    </w:p>
    <w:p w14:paraId="2282D3A9" w14:textId="77777777" w:rsidR="00E30577" w:rsidRDefault="00E30577">
      <w:pPr>
        <w:spacing w:line="240" w:lineRule="auto"/>
        <w:jc w:val="both"/>
        <w:rPr>
          <w:sz w:val="24"/>
          <w:szCs w:val="24"/>
        </w:rPr>
      </w:pPr>
    </w:p>
    <w:p w14:paraId="0FFEBD29" w14:textId="77777777" w:rsidR="00E30577" w:rsidRDefault="00000000">
      <w:pPr>
        <w:spacing w:line="240" w:lineRule="auto"/>
        <w:jc w:val="both"/>
        <w:rPr>
          <w:sz w:val="24"/>
          <w:szCs w:val="24"/>
        </w:rPr>
      </w:pPr>
      <w:r>
        <w:rPr>
          <w:sz w:val="24"/>
          <w:szCs w:val="24"/>
        </w:rPr>
        <w:t xml:space="preserve">AGUIAR NETA, Anízia. </w:t>
      </w:r>
      <w:r>
        <w:rPr>
          <w:b/>
          <w:sz w:val="24"/>
          <w:szCs w:val="24"/>
        </w:rPr>
        <w:t>Covid-19 e a diplomacia da saúde no BRICS: um estudo à luz da saúde global</w:t>
      </w:r>
      <w:r>
        <w:rPr>
          <w:sz w:val="24"/>
          <w:szCs w:val="24"/>
        </w:rPr>
        <w:t>. 2022. Tese (Doutorado em Saúde Global e Sustentabilidade) – Faculdade de Saúde Pública, Universidade de São Paulo, São Paulo, 2022. Acesso em: 04 maio 2025.</w:t>
      </w:r>
    </w:p>
    <w:p w14:paraId="3AAB7B4D" w14:textId="77777777" w:rsidR="00E30577" w:rsidRDefault="00000000">
      <w:pPr>
        <w:spacing w:line="240" w:lineRule="auto"/>
        <w:jc w:val="both"/>
        <w:rPr>
          <w:sz w:val="24"/>
          <w:szCs w:val="24"/>
        </w:rPr>
      </w:pPr>
      <w:r>
        <w:rPr>
          <w:sz w:val="24"/>
          <w:szCs w:val="24"/>
        </w:rPr>
        <w:t xml:space="preserve"> </w:t>
      </w:r>
    </w:p>
    <w:p w14:paraId="5FA615A8" w14:textId="77777777" w:rsidR="00E30577" w:rsidRDefault="00000000">
      <w:pPr>
        <w:spacing w:line="240" w:lineRule="auto"/>
        <w:jc w:val="both"/>
        <w:rPr>
          <w:sz w:val="24"/>
          <w:szCs w:val="24"/>
        </w:rPr>
      </w:pPr>
      <w:r>
        <w:rPr>
          <w:sz w:val="24"/>
          <w:szCs w:val="24"/>
        </w:rPr>
        <w:t xml:space="preserve">CARVALHO, Luiz P. O. O direito internacional da propriedade intelectual: a relação da patente farmacêutica com o acesso a medicamentos. </w:t>
      </w:r>
      <w:r>
        <w:rPr>
          <w:b/>
          <w:sz w:val="24"/>
          <w:szCs w:val="24"/>
        </w:rPr>
        <w:t>Revista da Faculdade de Direito da Universidade de São Paulo</w:t>
      </w:r>
      <w:r>
        <w:rPr>
          <w:sz w:val="24"/>
          <w:szCs w:val="24"/>
        </w:rPr>
        <w:t>, v. 103, p. 843–874, jan./dez. 2008.</w:t>
      </w:r>
    </w:p>
    <w:p w14:paraId="0199C253" w14:textId="77777777" w:rsidR="00E30577" w:rsidRDefault="00000000">
      <w:pPr>
        <w:spacing w:line="240" w:lineRule="auto"/>
        <w:jc w:val="both"/>
        <w:rPr>
          <w:sz w:val="24"/>
          <w:szCs w:val="24"/>
        </w:rPr>
      </w:pPr>
      <w:r>
        <w:rPr>
          <w:sz w:val="24"/>
          <w:szCs w:val="24"/>
        </w:rPr>
        <w:t xml:space="preserve"> </w:t>
      </w:r>
    </w:p>
    <w:p w14:paraId="02C09A09" w14:textId="77777777" w:rsidR="00E30577" w:rsidRDefault="00000000">
      <w:pPr>
        <w:spacing w:line="240" w:lineRule="auto"/>
        <w:jc w:val="both"/>
        <w:rPr>
          <w:sz w:val="24"/>
          <w:szCs w:val="24"/>
        </w:rPr>
      </w:pPr>
      <w:r>
        <w:rPr>
          <w:sz w:val="24"/>
          <w:szCs w:val="24"/>
        </w:rPr>
        <w:t xml:space="preserve">CHAMAS, Claudia et al. Inovação, propriedade intelectual e acesso a medicamentos e vacinas: o debate internacional na pandemia da Covid-19. </w:t>
      </w:r>
      <w:r>
        <w:rPr>
          <w:b/>
          <w:sz w:val="24"/>
          <w:szCs w:val="24"/>
        </w:rPr>
        <w:t>Liinc em Revista</w:t>
      </w:r>
      <w:r>
        <w:rPr>
          <w:sz w:val="24"/>
          <w:szCs w:val="24"/>
        </w:rPr>
        <w:t>, v. 16, n. 2, p. e5338, 2020.</w:t>
      </w:r>
    </w:p>
    <w:p w14:paraId="31E2015F" w14:textId="77777777" w:rsidR="00E30577" w:rsidRDefault="00000000">
      <w:pPr>
        <w:spacing w:line="240" w:lineRule="auto"/>
        <w:jc w:val="both"/>
        <w:rPr>
          <w:sz w:val="24"/>
          <w:szCs w:val="24"/>
        </w:rPr>
      </w:pPr>
      <w:r>
        <w:rPr>
          <w:sz w:val="24"/>
          <w:szCs w:val="24"/>
        </w:rPr>
        <w:t xml:space="preserve"> </w:t>
      </w:r>
    </w:p>
    <w:p w14:paraId="465B5E08" w14:textId="77777777" w:rsidR="00E30577" w:rsidRDefault="00000000">
      <w:pPr>
        <w:spacing w:line="240" w:lineRule="auto"/>
        <w:jc w:val="both"/>
        <w:rPr>
          <w:sz w:val="24"/>
          <w:szCs w:val="24"/>
        </w:rPr>
      </w:pPr>
      <w:r>
        <w:rPr>
          <w:sz w:val="24"/>
          <w:szCs w:val="24"/>
        </w:rPr>
        <w:t xml:space="preserve">DOS SANTOS, Camila. A cooperação Sul-Sul e o multilateralismo multinormativo na criação do Centro de Pesquisa e Desenvolvimento de Vacinas do BRICS. </w:t>
      </w:r>
      <w:r>
        <w:rPr>
          <w:b/>
          <w:sz w:val="24"/>
          <w:szCs w:val="24"/>
        </w:rPr>
        <w:t>Revista Tempo do Mundo</w:t>
      </w:r>
      <w:r>
        <w:rPr>
          <w:sz w:val="24"/>
          <w:szCs w:val="24"/>
        </w:rPr>
        <w:t>, n. 31, p. 117–144, 2023.</w:t>
      </w:r>
    </w:p>
    <w:p w14:paraId="3A333328" w14:textId="77777777" w:rsidR="00E30577" w:rsidRDefault="00E30577">
      <w:pPr>
        <w:spacing w:line="240" w:lineRule="auto"/>
        <w:jc w:val="both"/>
        <w:rPr>
          <w:sz w:val="24"/>
          <w:szCs w:val="24"/>
        </w:rPr>
      </w:pPr>
    </w:p>
    <w:p w14:paraId="593E6A62" w14:textId="77777777" w:rsidR="00E30577" w:rsidRDefault="00000000">
      <w:pPr>
        <w:spacing w:line="240" w:lineRule="auto"/>
        <w:jc w:val="both"/>
        <w:rPr>
          <w:sz w:val="24"/>
          <w:szCs w:val="24"/>
        </w:rPr>
      </w:pPr>
      <w:r>
        <w:rPr>
          <w:sz w:val="24"/>
          <w:szCs w:val="24"/>
        </w:rPr>
        <w:t xml:space="preserve">GONÇALVES, Bruna Aparecida et al. Hesitação vacinal contra a COVID-19 na América Latina e África: uma revisão de escopo. </w:t>
      </w:r>
      <w:r>
        <w:rPr>
          <w:i/>
          <w:sz w:val="24"/>
          <w:szCs w:val="24"/>
        </w:rPr>
        <w:t>Cadernos de Saúde Pública</w:t>
      </w:r>
      <w:r>
        <w:rPr>
          <w:sz w:val="24"/>
          <w:szCs w:val="24"/>
        </w:rPr>
        <w:t>, v. 39, p. e00041423, 2023.</w:t>
      </w:r>
    </w:p>
    <w:p w14:paraId="4A841E2C" w14:textId="77777777" w:rsidR="00E30577" w:rsidRDefault="00E30577">
      <w:pPr>
        <w:spacing w:line="240" w:lineRule="auto"/>
        <w:jc w:val="both"/>
        <w:rPr>
          <w:sz w:val="24"/>
          <w:szCs w:val="24"/>
        </w:rPr>
      </w:pPr>
    </w:p>
    <w:p w14:paraId="49865F64" w14:textId="77777777" w:rsidR="00E30577" w:rsidRDefault="00000000">
      <w:pPr>
        <w:spacing w:line="240" w:lineRule="auto"/>
        <w:jc w:val="both"/>
        <w:rPr>
          <w:sz w:val="24"/>
          <w:szCs w:val="24"/>
        </w:rPr>
      </w:pPr>
      <w:r>
        <w:rPr>
          <w:sz w:val="24"/>
          <w:szCs w:val="24"/>
        </w:rPr>
        <w:t xml:space="preserve">MINISTÉRIO DAS RELAÇÕES EXTERIORES. </w:t>
      </w:r>
      <w:r>
        <w:rPr>
          <w:b/>
          <w:sz w:val="24"/>
          <w:szCs w:val="24"/>
        </w:rPr>
        <w:t>Acordo TRIPS</w:t>
      </w:r>
      <w:r>
        <w:rPr>
          <w:sz w:val="24"/>
          <w:szCs w:val="24"/>
        </w:rPr>
        <w:t>. Disponível em:</w:t>
      </w:r>
      <w:hyperlink r:id="rId6">
        <w:r w:rsidR="00E30577">
          <w:rPr>
            <w:sz w:val="24"/>
            <w:szCs w:val="24"/>
          </w:rPr>
          <w:t xml:space="preserve"> </w:t>
        </w:r>
      </w:hyperlink>
      <w:hyperlink r:id="rId7">
        <w:r w:rsidR="00E30577">
          <w:rPr>
            <w:color w:val="1155CC"/>
            <w:sz w:val="24"/>
            <w:szCs w:val="24"/>
            <w:u w:val="single"/>
          </w:rPr>
          <w:t>https://www.gov.br/mre/pt-br/delbrasomc/brasil-e-a-omc/acordo-trips</w:t>
        </w:r>
      </w:hyperlink>
      <w:r>
        <w:rPr>
          <w:sz w:val="24"/>
          <w:szCs w:val="24"/>
        </w:rPr>
        <w:t>. Acesso em: 04 junho 2025.</w:t>
      </w:r>
    </w:p>
    <w:p w14:paraId="43065E43" w14:textId="77777777" w:rsidR="00E30577" w:rsidRDefault="00E30577">
      <w:pPr>
        <w:spacing w:line="240" w:lineRule="auto"/>
        <w:jc w:val="both"/>
        <w:rPr>
          <w:sz w:val="24"/>
          <w:szCs w:val="24"/>
        </w:rPr>
      </w:pPr>
    </w:p>
    <w:p w14:paraId="665B0F7F" w14:textId="77777777" w:rsidR="00E30577" w:rsidRDefault="00000000">
      <w:pPr>
        <w:spacing w:line="240" w:lineRule="auto"/>
        <w:jc w:val="both"/>
        <w:rPr>
          <w:sz w:val="24"/>
          <w:szCs w:val="24"/>
        </w:rPr>
      </w:pPr>
      <w:r>
        <w:rPr>
          <w:sz w:val="24"/>
          <w:szCs w:val="24"/>
        </w:rPr>
        <w:t xml:space="preserve">BRASIL. Ministério das Relações Exteriores. </w:t>
      </w:r>
      <w:r>
        <w:rPr>
          <w:b/>
          <w:sz w:val="24"/>
          <w:szCs w:val="24"/>
        </w:rPr>
        <w:t>Brasil e OMPI</w:t>
      </w:r>
      <w:r>
        <w:rPr>
          <w:sz w:val="24"/>
          <w:szCs w:val="24"/>
        </w:rPr>
        <w:t>. Disponível em:</w:t>
      </w:r>
      <w:hyperlink r:id="rId8">
        <w:r w:rsidR="00E30577">
          <w:rPr>
            <w:sz w:val="24"/>
            <w:szCs w:val="24"/>
          </w:rPr>
          <w:t xml:space="preserve"> </w:t>
        </w:r>
      </w:hyperlink>
      <w:hyperlink r:id="rId9">
        <w:r w:rsidR="00E30577">
          <w:rPr>
            <w:color w:val="1155CC"/>
            <w:sz w:val="24"/>
            <w:szCs w:val="24"/>
            <w:u w:val="single"/>
          </w:rPr>
          <w:t>https://www.gov.br/mre/pt-br/delbrasomc/brasil-e-ompi/brasil-e-ompi</w:t>
        </w:r>
      </w:hyperlink>
      <w:r>
        <w:rPr>
          <w:sz w:val="24"/>
          <w:szCs w:val="24"/>
        </w:rPr>
        <w:t>. Acesso em: 25 jun. 2025.</w:t>
      </w:r>
    </w:p>
    <w:p w14:paraId="4E6E6F33" w14:textId="77777777" w:rsidR="00E30577" w:rsidRDefault="00E30577">
      <w:pPr>
        <w:spacing w:line="240" w:lineRule="auto"/>
        <w:jc w:val="both"/>
        <w:rPr>
          <w:sz w:val="24"/>
          <w:szCs w:val="24"/>
        </w:rPr>
      </w:pPr>
    </w:p>
    <w:p w14:paraId="7DACDF3A" w14:textId="77777777" w:rsidR="00E30577" w:rsidRDefault="00000000">
      <w:pPr>
        <w:spacing w:line="240" w:lineRule="auto"/>
        <w:jc w:val="both"/>
        <w:rPr>
          <w:sz w:val="24"/>
          <w:szCs w:val="24"/>
        </w:rPr>
      </w:pPr>
      <w:r>
        <w:rPr>
          <w:sz w:val="24"/>
          <w:szCs w:val="24"/>
        </w:rPr>
        <w:t xml:space="preserve">RIBEIRO, Helena; AGUIAR, Anízia. BRICS na produção e distribuição de vacinas de covid-19 aos países do sul. </w:t>
      </w:r>
      <w:r>
        <w:rPr>
          <w:b/>
          <w:sz w:val="24"/>
          <w:szCs w:val="24"/>
        </w:rPr>
        <w:t>Saúde e Sociedade</w:t>
      </w:r>
      <w:r>
        <w:rPr>
          <w:sz w:val="24"/>
          <w:szCs w:val="24"/>
        </w:rPr>
        <w:t>, v. 32, p. e230333pt, 2023.</w:t>
      </w:r>
    </w:p>
    <w:p w14:paraId="6BFC9CE5" w14:textId="77777777" w:rsidR="00E30577" w:rsidRDefault="00000000">
      <w:pPr>
        <w:spacing w:line="240" w:lineRule="auto"/>
        <w:jc w:val="both"/>
        <w:rPr>
          <w:sz w:val="24"/>
          <w:szCs w:val="24"/>
        </w:rPr>
      </w:pPr>
      <w:r>
        <w:rPr>
          <w:sz w:val="24"/>
          <w:szCs w:val="24"/>
        </w:rPr>
        <w:t xml:space="preserve"> </w:t>
      </w:r>
    </w:p>
    <w:p w14:paraId="551BDB86" w14:textId="77777777" w:rsidR="00E30577" w:rsidRDefault="00000000">
      <w:pPr>
        <w:spacing w:line="240" w:lineRule="auto"/>
        <w:jc w:val="both"/>
        <w:rPr>
          <w:sz w:val="24"/>
          <w:szCs w:val="24"/>
        </w:rPr>
      </w:pPr>
      <w:r>
        <w:rPr>
          <w:sz w:val="24"/>
          <w:szCs w:val="24"/>
        </w:rPr>
        <w:t xml:space="preserve">SELL, Susan K.; AVANT, Deborah D.; FINNEMORE, Martha (Org.). </w:t>
      </w:r>
      <w:r>
        <w:rPr>
          <w:b/>
          <w:sz w:val="24"/>
          <w:szCs w:val="24"/>
        </w:rPr>
        <w:t>Who governs the globe?</w:t>
      </w:r>
      <w:r>
        <w:rPr>
          <w:sz w:val="24"/>
          <w:szCs w:val="24"/>
        </w:rPr>
        <w:t xml:space="preserve"> Cambridge: Cambridge University Press, 2010.</w:t>
      </w:r>
    </w:p>
    <w:p w14:paraId="28C197E5" w14:textId="77777777" w:rsidR="00E30577" w:rsidRDefault="00000000">
      <w:pPr>
        <w:spacing w:line="240" w:lineRule="auto"/>
        <w:jc w:val="both"/>
        <w:rPr>
          <w:sz w:val="24"/>
          <w:szCs w:val="24"/>
        </w:rPr>
      </w:pPr>
      <w:r>
        <w:rPr>
          <w:sz w:val="24"/>
          <w:szCs w:val="24"/>
        </w:rPr>
        <w:t xml:space="preserve"> </w:t>
      </w:r>
    </w:p>
    <w:p w14:paraId="25ECFB78" w14:textId="77777777" w:rsidR="00E30577" w:rsidRDefault="00000000">
      <w:pPr>
        <w:spacing w:line="240" w:lineRule="auto"/>
        <w:jc w:val="both"/>
        <w:rPr>
          <w:sz w:val="24"/>
          <w:szCs w:val="24"/>
        </w:rPr>
      </w:pPr>
      <w:r>
        <w:rPr>
          <w:sz w:val="24"/>
          <w:szCs w:val="24"/>
        </w:rPr>
        <w:t xml:space="preserve">SENHORAS, Elói Martins. </w:t>
      </w:r>
      <w:r>
        <w:rPr>
          <w:b/>
          <w:sz w:val="24"/>
          <w:szCs w:val="24"/>
        </w:rPr>
        <w:t>O campo de poder das vacinas na pandemia da Covid-19</w:t>
      </w:r>
      <w:r>
        <w:rPr>
          <w:sz w:val="24"/>
          <w:szCs w:val="24"/>
        </w:rPr>
        <w:t>. Boletim de Conjuntura (BOCA), v. 6, n. 18, p. 110–121, 2021.</w:t>
      </w:r>
    </w:p>
    <w:p w14:paraId="0F77E4D1" w14:textId="77777777" w:rsidR="00E30577" w:rsidRDefault="00000000">
      <w:pPr>
        <w:spacing w:line="240" w:lineRule="auto"/>
        <w:jc w:val="both"/>
        <w:rPr>
          <w:sz w:val="24"/>
          <w:szCs w:val="24"/>
        </w:rPr>
      </w:pPr>
      <w:r>
        <w:rPr>
          <w:sz w:val="24"/>
          <w:szCs w:val="24"/>
        </w:rPr>
        <w:t>SOUZA, Luiz E. P. F.; BUSS, Paulo M. Desafios globais para o acesso equitativo à vacinação contra a COVID-19. Cadernos de Saúde Pública, v. 37, p. e00056521, 2021.</w:t>
      </w:r>
    </w:p>
    <w:p w14:paraId="0591DE93" w14:textId="77777777" w:rsidR="00E30577" w:rsidRDefault="00000000">
      <w:pPr>
        <w:spacing w:line="240" w:lineRule="auto"/>
        <w:jc w:val="both"/>
        <w:rPr>
          <w:sz w:val="24"/>
          <w:szCs w:val="24"/>
        </w:rPr>
      </w:pPr>
      <w:r>
        <w:rPr>
          <w:sz w:val="24"/>
          <w:szCs w:val="24"/>
        </w:rPr>
        <w:t xml:space="preserve"> </w:t>
      </w:r>
    </w:p>
    <w:p w14:paraId="48146D2B" w14:textId="77777777" w:rsidR="00E30577" w:rsidRDefault="00000000">
      <w:pPr>
        <w:spacing w:line="240" w:lineRule="auto"/>
        <w:jc w:val="both"/>
        <w:rPr>
          <w:sz w:val="24"/>
          <w:szCs w:val="24"/>
        </w:rPr>
      </w:pPr>
      <w:r>
        <w:rPr>
          <w:sz w:val="24"/>
          <w:szCs w:val="24"/>
        </w:rPr>
        <w:t xml:space="preserve">VARELLA, Marcelo D.; OLIVEIRA, Karina A. C. Limites e possibilidades das flexibilidades do direito da propriedade intelectual para lidar com urgências em saúde: estudos de caso da AIDS e da COVID-19. </w:t>
      </w:r>
      <w:r>
        <w:rPr>
          <w:b/>
          <w:sz w:val="24"/>
          <w:szCs w:val="24"/>
        </w:rPr>
        <w:t>Revista Direito GV</w:t>
      </w:r>
      <w:r>
        <w:rPr>
          <w:sz w:val="24"/>
          <w:szCs w:val="24"/>
        </w:rPr>
        <w:t>, v. 19, p. e2326, 2023.</w:t>
      </w:r>
    </w:p>
    <w:p w14:paraId="52ACD433" w14:textId="77777777" w:rsidR="00E30577" w:rsidRDefault="00000000">
      <w:pPr>
        <w:spacing w:line="240" w:lineRule="auto"/>
        <w:jc w:val="both"/>
        <w:rPr>
          <w:sz w:val="24"/>
          <w:szCs w:val="24"/>
        </w:rPr>
      </w:pPr>
      <w:r>
        <w:rPr>
          <w:sz w:val="24"/>
          <w:szCs w:val="24"/>
        </w:rPr>
        <w:t xml:space="preserve"> </w:t>
      </w:r>
    </w:p>
    <w:p w14:paraId="4B55909A" w14:textId="77777777" w:rsidR="00E30577" w:rsidRDefault="00000000">
      <w:pPr>
        <w:spacing w:line="240" w:lineRule="auto"/>
        <w:jc w:val="both"/>
        <w:rPr>
          <w:sz w:val="24"/>
          <w:szCs w:val="24"/>
        </w:rPr>
      </w:pPr>
      <w:r>
        <w:rPr>
          <w:sz w:val="24"/>
          <w:szCs w:val="24"/>
        </w:rPr>
        <w:t xml:space="preserve">ZAMAN, Khalid. The waiver of certain intellectual property rights provisions of the TRIPS for the prevention, containment and treatment of COVID-19: a review of the proposal under WTO jurisprudence. </w:t>
      </w:r>
      <w:r>
        <w:rPr>
          <w:b/>
          <w:sz w:val="24"/>
          <w:szCs w:val="24"/>
        </w:rPr>
        <w:t>European Journal of Risk Regulation</w:t>
      </w:r>
      <w:r>
        <w:rPr>
          <w:sz w:val="24"/>
          <w:szCs w:val="24"/>
        </w:rPr>
        <w:t>, v. 13, n. 2, p. 295–310, 2022.</w:t>
      </w:r>
    </w:p>
    <w:p w14:paraId="2C994940" w14:textId="77777777" w:rsidR="00E30577" w:rsidRDefault="00E30577">
      <w:pPr>
        <w:spacing w:line="240" w:lineRule="auto"/>
        <w:jc w:val="both"/>
        <w:rPr>
          <w:sz w:val="24"/>
          <w:szCs w:val="24"/>
        </w:rPr>
      </w:pPr>
    </w:p>
    <w:p w14:paraId="0F9BE5E8" w14:textId="77777777" w:rsidR="00E30577" w:rsidRDefault="00E30577">
      <w:pPr>
        <w:spacing w:after="200"/>
        <w:jc w:val="both"/>
        <w:rPr>
          <w:rFonts w:ascii="Calibri" w:eastAsia="Calibri" w:hAnsi="Calibri" w:cs="Calibri"/>
          <w:sz w:val="24"/>
          <w:szCs w:val="24"/>
        </w:rPr>
      </w:pPr>
    </w:p>
    <w:sectPr w:rsidR="00E30577">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7A986" w14:textId="77777777" w:rsidR="00074E78" w:rsidRDefault="00074E78">
      <w:pPr>
        <w:spacing w:line="240" w:lineRule="auto"/>
      </w:pPr>
      <w:r>
        <w:separator/>
      </w:r>
    </w:p>
  </w:endnote>
  <w:endnote w:type="continuationSeparator" w:id="0">
    <w:p w14:paraId="33C53B05" w14:textId="77777777" w:rsidR="00074E78" w:rsidRDefault="00074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264D5" w14:textId="77777777" w:rsidR="00074E78" w:rsidRDefault="00074E78">
      <w:pPr>
        <w:spacing w:line="240" w:lineRule="auto"/>
      </w:pPr>
      <w:r>
        <w:separator/>
      </w:r>
    </w:p>
  </w:footnote>
  <w:footnote w:type="continuationSeparator" w:id="0">
    <w:p w14:paraId="4D9B1B41" w14:textId="77777777" w:rsidR="00074E78" w:rsidRDefault="00074E78">
      <w:pPr>
        <w:spacing w:line="240" w:lineRule="auto"/>
      </w:pPr>
      <w:r>
        <w:continuationSeparator/>
      </w:r>
    </w:p>
  </w:footnote>
  <w:footnote w:id="1">
    <w:p w14:paraId="661602EB" w14:textId="77777777" w:rsidR="00E30577" w:rsidRDefault="00000000">
      <w:pPr>
        <w:spacing w:line="240" w:lineRule="auto"/>
        <w:rPr>
          <w:sz w:val="20"/>
          <w:szCs w:val="20"/>
        </w:rPr>
      </w:pPr>
      <w:r>
        <w:rPr>
          <w:vertAlign w:val="superscript"/>
        </w:rPr>
        <w:footnoteRef/>
      </w:r>
      <w:r>
        <w:rPr>
          <w:sz w:val="20"/>
          <w:szCs w:val="20"/>
        </w:rPr>
        <w:t xml:space="preserve"> Graduando em Relações Internacionais pela Universidade Estadual do Maranhão (UEMA). E-mail: </w:t>
      </w:r>
      <w:hyperlink r:id="rId1">
        <w:r w:rsidR="00E30577">
          <w:rPr>
            <w:color w:val="1155CC"/>
            <w:sz w:val="20"/>
            <w:szCs w:val="20"/>
            <w:u w:val="single"/>
          </w:rPr>
          <w:t>lucaseduardoserra.ri@gmail.com</w:t>
        </w:r>
      </w:hyperlink>
      <w:r>
        <w:rPr>
          <w:sz w:val="20"/>
          <w:szCs w:val="20"/>
        </w:rPr>
        <w:t xml:space="preserve"> </w:t>
      </w:r>
    </w:p>
    <w:p w14:paraId="757ACEA7" w14:textId="77777777" w:rsidR="00E30577" w:rsidRDefault="00E30577">
      <w:pPr>
        <w:spacing w:line="240" w:lineRule="auto"/>
        <w:rPr>
          <w:sz w:val="20"/>
          <w:szCs w:val="20"/>
        </w:rPr>
      </w:pPr>
    </w:p>
  </w:footnote>
  <w:footnote w:id="2">
    <w:p w14:paraId="0356E258" w14:textId="77777777" w:rsidR="00E30577" w:rsidRDefault="00000000">
      <w:pPr>
        <w:spacing w:line="240" w:lineRule="auto"/>
        <w:jc w:val="both"/>
        <w:rPr>
          <w:sz w:val="20"/>
          <w:szCs w:val="20"/>
        </w:rPr>
      </w:pPr>
      <w:r>
        <w:rPr>
          <w:vertAlign w:val="superscript"/>
        </w:rPr>
        <w:footnoteRef/>
      </w:r>
      <w:r>
        <w:rPr>
          <w:sz w:val="20"/>
          <w:szCs w:val="20"/>
          <w:vertAlign w:val="superscript"/>
        </w:rPr>
        <w:t xml:space="preserve"> </w:t>
      </w:r>
      <w:r>
        <w:rPr>
          <w:sz w:val="20"/>
          <w:szCs w:val="20"/>
        </w:rPr>
        <w:t>A Organização Mundial da Propriedade Intelectual (OMPI), agência da ONU, foi formalmente criada em 1970, mas suas origens remontam às convenções de Paris (1883) e Berna (1886). Sua missão é promover a proteção e o uso equilibrado das criações intelectuais para o desenvolvimento econômico, cultural e social. A OMPI busca proteger os direitos dos criadores e garantir o acesso aos benefícios da criatividade. A Convenção que a institui define propriedade intelectual de forma ampla, abrangendo desde obras artísticas e científicas até marcas e invenções (Brasil, 2023).</w:t>
      </w:r>
    </w:p>
    <w:p w14:paraId="3735FF3E" w14:textId="77777777" w:rsidR="00E30577" w:rsidRDefault="00E30577">
      <w:pPr>
        <w:spacing w:line="240" w:lineRule="auto"/>
        <w:rPr>
          <w:sz w:val="20"/>
          <w:szCs w:val="20"/>
          <w:vertAlign w:val="superscri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7A3D" w14:textId="77777777" w:rsidR="00E30577" w:rsidRDefault="00000000">
    <w:r>
      <w:rPr>
        <w:noProof/>
      </w:rPr>
      <w:drawing>
        <wp:anchor distT="0" distB="0" distL="0" distR="0" simplePos="0" relativeHeight="251658240" behindDoc="1" locked="0" layoutInCell="1" hidden="0" allowOverlap="1" wp14:anchorId="380B0108" wp14:editId="193374D6">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77"/>
    <w:rsid w:val="00074E78"/>
    <w:rsid w:val="006769B7"/>
    <w:rsid w:val="00B15AA3"/>
    <w:rsid w:val="00B549F9"/>
    <w:rsid w:val="00DA4C68"/>
    <w:rsid w:val="00E30577"/>
    <w:rsid w:val="00EB1A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9C3B2"/>
  <w15:docId w15:val="{7FC9DFDC-3EFB-4CEB-A741-FC2E2132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br/mre/pt-br/delbrasomc/brasil-e-ompi/brasil-e-ompi" TargetMode="External"/><Relationship Id="rId3" Type="http://schemas.openxmlformats.org/officeDocument/2006/relationships/webSettings" Target="webSettings.xml"/><Relationship Id="rId7" Type="http://schemas.openxmlformats.org/officeDocument/2006/relationships/hyperlink" Target="https://www.gov.br/mre/pt-br/delbrasomc/brasil-e-a-omc/acordo-trip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br/mre/pt-br/delbrasomc/brasil-e-a-omc/acordo-trip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gov.br/mre/pt-br/delbrasomc/brasil-e-ompi/brasil-e-omp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ucaseduardoserra.r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3606</Words>
  <Characters>21312</Characters>
  <Application>Microsoft Office Word</Application>
  <DocSecurity>0</DocSecurity>
  <Lines>387</Lines>
  <Paragraphs>81</Paragraphs>
  <ScaleCrop>false</ScaleCrop>
  <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EDUARDO SERRA SANTOS</cp:lastModifiedBy>
  <cp:revision>3</cp:revision>
  <dcterms:created xsi:type="dcterms:W3CDTF">2025-07-06T14:56:00Z</dcterms:created>
  <dcterms:modified xsi:type="dcterms:W3CDTF">2025-07-06T15:00:00Z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c6cfa424-80bc-44d3-b459-179ad25aafda</vt:lpwstr>
  </property>
</Properties>
</file>