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4183" w14:textId="3C02B019" w:rsidR="00FA4A63" w:rsidRDefault="00FA4A63" w:rsidP="00FA4A63">
      <w:pPr>
        <w:spacing w:line="360" w:lineRule="auto"/>
        <w:jc w:val="center"/>
        <w:rPr>
          <w:sz w:val="24"/>
          <w:szCs w:val="24"/>
        </w:rPr>
      </w:pPr>
      <w:r w:rsidRPr="006F1CA8">
        <w:rPr>
          <w:b/>
          <w:sz w:val="24"/>
          <w:szCs w:val="24"/>
        </w:rPr>
        <w:t>LUTA ANTIMANICOMIAL E O PROTAGONISMO DE USUÁRIOS E FAMILIARES NO PIAUÍ:</w:t>
      </w:r>
      <w:r w:rsidRPr="006F1CA8">
        <w:rPr>
          <w:sz w:val="24"/>
          <w:szCs w:val="24"/>
        </w:rPr>
        <w:t xml:space="preserve"> retrospectiva histórica e perspectivas emancipatórias</w:t>
      </w:r>
    </w:p>
    <w:p w14:paraId="4E2A8C24" w14:textId="13607C4A" w:rsidR="004A765D" w:rsidRPr="002D5FAA" w:rsidRDefault="004A765D" w:rsidP="00652904">
      <w:pPr>
        <w:spacing w:line="360" w:lineRule="auto"/>
        <w:ind w:firstLine="4962"/>
        <w:rPr>
          <w:sz w:val="20"/>
          <w:szCs w:val="20"/>
        </w:rPr>
      </w:pPr>
      <w:r w:rsidRPr="002D5FAA">
        <w:rPr>
          <w:sz w:val="20"/>
          <w:szCs w:val="20"/>
        </w:rPr>
        <w:t>Lucia Cristina dos Santos Rosa</w:t>
      </w:r>
      <w:r w:rsidR="00A153D6" w:rsidRPr="002D5FAA">
        <w:rPr>
          <w:rStyle w:val="Refdenotaderodap"/>
          <w:sz w:val="20"/>
          <w:szCs w:val="20"/>
        </w:rPr>
        <w:footnoteReference w:id="1"/>
      </w:r>
    </w:p>
    <w:p w14:paraId="5BB5330B" w14:textId="4ACF70F5" w:rsidR="004A765D" w:rsidRPr="002D5FAA" w:rsidRDefault="004A765D" w:rsidP="00652904">
      <w:pPr>
        <w:spacing w:line="360" w:lineRule="auto"/>
        <w:ind w:firstLine="4962"/>
        <w:rPr>
          <w:sz w:val="20"/>
          <w:szCs w:val="20"/>
        </w:rPr>
      </w:pPr>
      <w:r w:rsidRPr="002D5FAA">
        <w:rPr>
          <w:sz w:val="20"/>
          <w:szCs w:val="20"/>
        </w:rPr>
        <w:t>Marta Evelin Carvalho</w:t>
      </w:r>
      <w:r w:rsidR="00A153D6" w:rsidRPr="002D5FAA">
        <w:rPr>
          <w:rStyle w:val="Refdenotaderodap"/>
          <w:sz w:val="20"/>
          <w:szCs w:val="20"/>
        </w:rPr>
        <w:footnoteReference w:id="2"/>
      </w:r>
    </w:p>
    <w:p w14:paraId="690D99C4" w14:textId="7DFC075B" w:rsidR="004A765D" w:rsidRPr="006F1CA8" w:rsidRDefault="004A765D" w:rsidP="00652904">
      <w:pPr>
        <w:spacing w:line="360" w:lineRule="auto"/>
        <w:ind w:firstLine="4962"/>
        <w:rPr>
          <w:sz w:val="24"/>
          <w:szCs w:val="24"/>
        </w:rPr>
      </w:pPr>
      <w:r w:rsidRPr="002D5FAA">
        <w:rPr>
          <w:sz w:val="20"/>
          <w:szCs w:val="20"/>
        </w:rPr>
        <w:t>Thais de Andrade Alves Guimarães</w:t>
      </w:r>
      <w:r w:rsidR="00A153D6">
        <w:rPr>
          <w:rStyle w:val="Refdenotaderodap"/>
          <w:sz w:val="24"/>
          <w:szCs w:val="24"/>
        </w:rPr>
        <w:footnoteReference w:id="3"/>
      </w:r>
    </w:p>
    <w:p w14:paraId="1D7CC76C" w14:textId="77777777" w:rsidR="00FA4A63" w:rsidRPr="006F1CA8" w:rsidRDefault="00FA4A63" w:rsidP="00FA4A63">
      <w:pPr>
        <w:spacing w:line="240" w:lineRule="auto"/>
        <w:ind w:left="2835"/>
        <w:jc w:val="both"/>
        <w:rPr>
          <w:b/>
          <w:sz w:val="20"/>
          <w:szCs w:val="20"/>
        </w:rPr>
      </w:pPr>
      <w:r w:rsidRPr="006F1CA8">
        <w:rPr>
          <w:b/>
          <w:sz w:val="20"/>
          <w:szCs w:val="20"/>
        </w:rPr>
        <w:t>Resumo</w:t>
      </w:r>
    </w:p>
    <w:p w14:paraId="56FB2DC9" w14:textId="77777777" w:rsidR="00FA4A63" w:rsidRPr="006F1CA8" w:rsidRDefault="00FA4A63" w:rsidP="00FA4A63">
      <w:pPr>
        <w:spacing w:line="240" w:lineRule="auto"/>
        <w:ind w:left="2835"/>
        <w:jc w:val="both"/>
        <w:rPr>
          <w:sz w:val="20"/>
          <w:szCs w:val="20"/>
        </w:rPr>
      </w:pPr>
      <w:r w:rsidRPr="006F1CA8">
        <w:rPr>
          <w:sz w:val="20"/>
          <w:szCs w:val="20"/>
        </w:rPr>
        <w:t xml:space="preserve">Com o processo de redemocratização da sociedade brasileira, a partir de 1978, emerge o movimento da reforma sanitária e nele o movimento da reforma psiquiátrica antimanicomial, cujos representantes, desde 1990, assumem a coordenação de saúde mental do Ministério da Saúde e passam a implementar alterações em toda arquitetura do modelo manicomial, na direção do cuidado em liberdade e no território da pessoa com transtorno mental. Há diferenciações nas reverberações de tais alterações em cada estado do País, haja vista a configuração dos diferentes atores políticos e a correção de forças em cada território. Tem-se por objetivo: processar uma retrospectiva histórica dos movimentos sociais em torno das mudanças na política de saúde mental, no contexto piauiense, no período 1980 a 2025, caracterizando seu alcance emancipatório. Baseia-se em revisão bibliográfica; pesquisa documental e no relato de experiências das autoras. Caracteriza-se 3 períodos históricos, com um deles mais evidentemente com intensificações emancipatórias.    </w:t>
      </w:r>
    </w:p>
    <w:p w14:paraId="7D1850A8" w14:textId="77777777" w:rsidR="00FA4A63" w:rsidRPr="006F1CA8" w:rsidRDefault="00FA4A63" w:rsidP="00FA4A63">
      <w:pPr>
        <w:spacing w:line="240" w:lineRule="auto"/>
        <w:ind w:left="2835"/>
        <w:jc w:val="both"/>
        <w:rPr>
          <w:sz w:val="20"/>
          <w:szCs w:val="20"/>
          <w:lang w:val="en-US"/>
        </w:rPr>
      </w:pPr>
      <w:r w:rsidRPr="006F1CA8">
        <w:rPr>
          <w:b/>
          <w:sz w:val="20"/>
          <w:szCs w:val="20"/>
        </w:rPr>
        <w:t>Palavras-chave</w:t>
      </w:r>
      <w:r w:rsidRPr="006F1CA8">
        <w:rPr>
          <w:sz w:val="20"/>
          <w:szCs w:val="20"/>
        </w:rPr>
        <w:t>: 1. Reforma Psiquiátrica. 2. Luta Antimanicomial. 3. Movimento Social. 4. Piauí. 5. Participação social.</w:t>
      </w:r>
    </w:p>
    <w:p w14:paraId="28DB38AA" w14:textId="77777777" w:rsidR="00FA4A63" w:rsidRPr="006F1CA8" w:rsidRDefault="00FA4A63" w:rsidP="00FA4A63">
      <w:pPr>
        <w:spacing w:line="240" w:lineRule="auto"/>
        <w:ind w:left="2835"/>
        <w:jc w:val="both"/>
        <w:rPr>
          <w:sz w:val="20"/>
          <w:szCs w:val="20"/>
          <w:lang w:val="en-US"/>
        </w:rPr>
      </w:pPr>
    </w:p>
    <w:p w14:paraId="5B2F7165" w14:textId="77777777" w:rsidR="00FA4A63" w:rsidRPr="006F1CA8" w:rsidRDefault="00FA4A63" w:rsidP="00FA4A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b/>
          <w:bCs/>
          <w:color w:val="1F1F1F"/>
          <w:sz w:val="20"/>
          <w:szCs w:val="20"/>
          <w:lang w:val="en"/>
        </w:rPr>
      </w:pPr>
      <w:r w:rsidRPr="006F1CA8">
        <w:rPr>
          <w:rFonts w:eastAsia="Times New Roman"/>
          <w:b/>
          <w:bCs/>
          <w:color w:val="1F1F1F"/>
          <w:sz w:val="20"/>
          <w:szCs w:val="20"/>
          <w:lang w:val="en"/>
        </w:rPr>
        <w:t>Abstract</w:t>
      </w:r>
    </w:p>
    <w:p w14:paraId="461E0556" w14:textId="77777777" w:rsidR="00FA4A63" w:rsidRPr="006F1CA8" w:rsidRDefault="00FA4A63" w:rsidP="00FA4A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rFonts w:eastAsia="Times New Roman"/>
          <w:color w:val="1F1F1F"/>
          <w:sz w:val="20"/>
          <w:szCs w:val="20"/>
        </w:rPr>
      </w:pPr>
      <w:r w:rsidRPr="006F1CA8">
        <w:rPr>
          <w:rFonts w:eastAsia="Times New Roman"/>
          <w:color w:val="1F1F1F"/>
          <w:sz w:val="20"/>
          <w:szCs w:val="20"/>
          <w:lang w:val="en"/>
        </w:rPr>
        <w:t>With the redemocratization process of Brazilian society, from 1978 onwards, the health reform movement emerged, and within it the anti-asylum psychiatric reform movement, whose representatives, since 1990, have taken over the coordination of mental health at the Ministry of Health and have begun to implement changes throughout the architecture of the asylum model, in the direction of care in freedom and in the territory of the person with mental disorder. There are differences in the reverberations of such changes in each state of the country, given the configuration of the different political actors and the correction of forces in each territory. The objective is: to process a historical retrospective of the social movements around the changes in mental health policy, in the context of Piauí, in the period 1980 to 2024, characterizing their emancipatory scope. It is based on a bibliographic review; documentary research and the authors' experience report. Three historical periods are characterized, with one of them more evidently with emancipatory intensifications.</w:t>
      </w:r>
    </w:p>
    <w:p w14:paraId="08BF7F53" w14:textId="77777777" w:rsidR="00FA4A63" w:rsidRPr="006F1CA8" w:rsidRDefault="00FA4A63" w:rsidP="00FA4A63">
      <w:pPr>
        <w:spacing w:line="240" w:lineRule="auto"/>
        <w:ind w:left="2835"/>
        <w:jc w:val="both"/>
        <w:rPr>
          <w:sz w:val="20"/>
          <w:szCs w:val="20"/>
          <w:lang w:val="en-US"/>
        </w:rPr>
      </w:pPr>
    </w:p>
    <w:p w14:paraId="358446C7" w14:textId="77777777" w:rsidR="00FA4A63" w:rsidRPr="006F1CA8" w:rsidRDefault="00FA4A63" w:rsidP="00FA4A63">
      <w:pPr>
        <w:pStyle w:val="Pr-formataoHTML"/>
        <w:shd w:val="clear" w:color="auto" w:fill="F8F9FA"/>
        <w:ind w:left="2835"/>
        <w:rPr>
          <w:rFonts w:ascii="Arial" w:hAnsi="Arial" w:cs="Arial"/>
        </w:rPr>
      </w:pPr>
      <w:r w:rsidRPr="006F1CA8">
        <w:rPr>
          <w:rFonts w:ascii="Arial" w:hAnsi="Arial" w:cs="Arial"/>
          <w:b/>
          <w:lang w:val="en-US"/>
        </w:rPr>
        <w:t>Keywords</w:t>
      </w:r>
      <w:r w:rsidRPr="006F1CA8">
        <w:rPr>
          <w:rFonts w:ascii="Arial" w:hAnsi="Arial" w:cs="Arial"/>
          <w:lang w:val="en-US"/>
        </w:rPr>
        <w:t xml:space="preserve">: 1. </w:t>
      </w:r>
      <w:r w:rsidRPr="006F1CA8">
        <w:rPr>
          <w:rFonts w:ascii="Arial" w:hAnsi="Arial" w:cs="Arial"/>
          <w:color w:val="1F1F1F"/>
          <w:lang w:val="en"/>
        </w:rPr>
        <w:t xml:space="preserve">Psychiatric Reform. 2 </w:t>
      </w:r>
      <w:r w:rsidRPr="006F1CA8">
        <w:rPr>
          <w:rStyle w:val="y2iqfc"/>
          <w:rFonts w:ascii="Arial" w:hAnsi="Arial" w:cs="Arial"/>
          <w:color w:val="1F1F1F"/>
          <w:lang w:val="en"/>
        </w:rPr>
        <w:t xml:space="preserve">Anti-asylum struggle. 3. </w:t>
      </w:r>
      <w:r w:rsidRPr="006F1CA8">
        <w:rPr>
          <w:rFonts w:ascii="Arial" w:hAnsi="Arial" w:cs="Arial"/>
        </w:rPr>
        <w:t>Social Movement; 4. Piauí. 5. Social Participation</w:t>
      </w:r>
    </w:p>
    <w:p w14:paraId="2E9C1FE7" w14:textId="77777777" w:rsidR="00FA4A63" w:rsidRPr="006F1CA8" w:rsidRDefault="00FA4A63" w:rsidP="00FA4A63">
      <w:pPr>
        <w:spacing w:line="240" w:lineRule="auto"/>
        <w:jc w:val="both"/>
        <w:rPr>
          <w:sz w:val="20"/>
          <w:szCs w:val="20"/>
        </w:rPr>
      </w:pPr>
    </w:p>
    <w:p w14:paraId="3680B211" w14:textId="77777777" w:rsidR="00FA4A63" w:rsidRPr="006F1CA8" w:rsidRDefault="00FA4A63" w:rsidP="00FA4A63">
      <w:pPr>
        <w:spacing w:line="360" w:lineRule="auto"/>
        <w:jc w:val="both"/>
        <w:rPr>
          <w:sz w:val="24"/>
          <w:szCs w:val="24"/>
        </w:rPr>
      </w:pPr>
    </w:p>
    <w:p w14:paraId="539E6DE0" w14:textId="5AA59609" w:rsidR="00FA4A63" w:rsidRPr="006F1CA8" w:rsidRDefault="00FA4A63" w:rsidP="00FA4A63">
      <w:pPr>
        <w:spacing w:line="360" w:lineRule="auto"/>
        <w:rPr>
          <w:b/>
          <w:sz w:val="24"/>
          <w:szCs w:val="24"/>
        </w:rPr>
      </w:pPr>
      <w:r w:rsidRPr="006F1CA8">
        <w:rPr>
          <w:b/>
          <w:sz w:val="24"/>
          <w:szCs w:val="24"/>
        </w:rPr>
        <w:t>1</w:t>
      </w:r>
      <w:r w:rsidRPr="006F1CA8">
        <w:rPr>
          <w:b/>
          <w:sz w:val="24"/>
          <w:szCs w:val="24"/>
        </w:rPr>
        <w:tab/>
        <w:t>INTRODUÇÃO</w:t>
      </w:r>
    </w:p>
    <w:p w14:paraId="7FEA19DE" w14:textId="77777777" w:rsidR="00FA4A63" w:rsidRPr="006F1CA8" w:rsidRDefault="00FA4A63" w:rsidP="00FA4A63">
      <w:pPr>
        <w:spacing w:line="360" w:lineRule="auto"/>
        <w:ind w:firstLine="709"/>
        <w:jc w:val="both"/>
        <w:rPr>
          <w:sz w:val="24"/>
          <w:szCs w:val="24"/>
        </w:rPr>
      </w:pPr>
      <w:r w:rsidRPr="006F1CA8">
        <w:rPr>
          <w:sz w:val="24"/>
          <w:szCs w:val="24"/>
        </w:rPr>
        <w:t xml:space="preserve">Com o processo de redemocratização brasileira, ganha destaque o ano de   1978, “quando novos personagens entraram em cena”, demarcando a importância do cotidiano nas lutas sociais e impondo a relevância das políticas de redistribuição </w:t>
      </w:r>
      <w:r>
        <w:rPr>
          <w:sz w:val="24"/>
          <w:szCs w:val="24"/>
        </w:rPr>
        <w:t xml:space="preserve">(de renda) </w:t>
      </w:r>
      <w:r w:rsidRPr="006F1CA8">
        <w:rPr>
          <w:sz w:val="24"/>
          <w:szCs w:val="24"/>
        </w:rPr>
        <w:t>conjugadas às políticas de reconhecimento.</w:t>
      </w:r>
    </w:p>
    <w:p w14:paraId="52EF5548" w14:textId="77777777" w:rsidR="00FA4A63" w:rsidRPr="006F1CA8" w:rsidRDefault="00FA4A63" w:rsidP="00FA4A63">
      <w:pPr>
        <w:spacing w:line="360" w:lineRule="auto"/>
        <w:ind w:firstLine="709"/>
        <w:jc w:val="both"/>
        <w:rPr>
          <w:sz w:val="24"/>
          <w:szCs w:val="24"/>
        </w:rPr>
      </w:pPr>
      <w:r>
        <w:rPr>
          <w:sz w:val="24"/>
          <w:szCs w:val="24"/>
        </w:rPr>
        <w:t>A</w:t>
      </w:r>
      <w:r w:rsidRPr="006F1CA8">
        <w:rPr>
          <w:sz w:val="24"/>
          <w:szCs w:val="24"/>
        </w:rPr>
        <w:t xml:space="preserve"> Constituição de 1988 coroa o processo de “consolidação” do Estado democrático de direito, reconhecendo em seu artigo 196 a saúde como direito de todos e dever do Estado. No seu artigo 198, inciso III postula a “participação da comunidade” na construção das políticas públicas, reforçada na Lei nº 8.080/1990 conhecida como Lei Orgânica da Saúde e pela Lei nº 8.142/1990, que regulamenta a participação da comunidade no ciclo da política social, ocorrendo através da representação dos diferentes atores que a compõem. No Sistema Único de Saúde-SUS, ocorre nas instâncias colegiadas, sobretudo na Conferência de Saúde, prevista para ocorrer a cada 4 anos, nos 3 níveis governamentais, tendo por objetivo avaliar a situação da saúde. E, no Conselho de Saúde, tendo por objetivo a “formulação de estratégias e no controle de execução da política de saúde da instância correspondente” (Brasil, 2007, p. 29). Cada serviço de saúde pode também contar com um conselho gestor, assim como pode dinamizar estratégia de participação de seus atores, através, por exemplo, de assembleias.</w:t>
      </w:r>
    </w:p>
    <w:p w14:paraId="42A779E8" w14:textId="77777777" w:rsidR="00FA4A63" w:rsidRPr="006F1CA8" w:rsidRDefault="00FA4A63" w:rsidP="00FA4A63">
      <w:pPr>
        <w:spacing w:line="360" w:lineRule="auto"/>
        <w:ind w:firstLine="709"/>
        <w:jc w:val="both"/>
        <w:rPr>
          <w:sz w:val="24"/>
          <w:szCs w:val="24"/>
        </w:rPr>
      </w:pPr>
      <w:r w:rsidRPr="006F1CA8">
        <w:rPr>
          <w:sz w:val="24"/>
          <w:szCs w:val="24"/>
        </w:rPr>
        <w:t>A lei nº 8.142/1990 prevê a participação dos usuários e familiares nas políticas de saúde, nos Conselhos e Conferência de saúde de forma paritária, em relação aos conjuntos dos demais segmentos que incorpora. Essa ocorre através da representação de usuários, sendo para tanto exigido o registro civil de uma associação, ou seja, a existência de um CNPJ, que se torna o aval do assento de representante de usuários e familiares nos conselhos das políticas setoriais.</w:t>
      </w:r>
    </w:p>
    <w:p w14:paraId="2DFC8F73" w14:textId="77777777" w:rsidR="00FA4A63" w:rsidRPr="006F1CA8" w:rsidRDefault="00FA4A63" w:rsidP="00FA4A63">
      <w:pPr>
        <w:spacing w:line="360" w:lineRule="auto"/>
        <w:ind w:firstLine="709"/>
        <w:jc w:val="both"/>
        <w:rPr>
          <w:sz w:val="24"/>
          <w:szCs w:val="24"/>
        </w:rPr>
      </w:pPr>
      <w:r w:rsidRPr="006F1CA8">
        <w:rPr>
          <w:sz w:val="24"/>
          <w:szCs w:val="24"/>
        </w:rPr>
        <w:lastRenderedPageBreak/>
        <w:t xml:space="preserve">Cada estado da federação brasileira conformará suas formas de representação, nas diferentes conjunturas mudancistas, relacionada à configuração dos diferentes atores políticos e correção de forças em cada território. Tem-se por objetivo: processar uma retrospectiva histórica dos movimentos sociais em torno das mudanças na política de saúde mental, no contexto piauiense, no período 1980 a 2025, caracterizando seu alcance emancipatório. Baseia-se em revisão bibliográfica; pesquisa documental e no relato de experiências das autoras. </w:t>
      </w:r>
    </w:p>
    <w:p w14:paraId="4D180445" w14:textId="77777777" w:rsidR="00FA4A63" w:rsidRPr="006F1CA8" w:rsidRDefault="00FA4A63" w:rsidP="00FA4A63">
      <w:pPr>
        <w:spacing w:line="360" w:lineRule="auto"/>
        <w:jc w:val="both"/>
        <w:rPr>
          <w:sz w:val="24"/>
          <w:szCs w:val="24"/>
        </w:rPr>
      </w:pPr>
    </w:p>
    <w:p w14:paraId="2D68AE93" w14:textId="77777777" w:rsidR="00FA4A63" w:rsidRPr="006F1CA8" w:rsidRDefault="00FA4A63" w:rsidP="00FA4A63">
      <w:pPr>
        <w:spacing w:line="360" w:lineRule="auto"/>
        <w:jc w:val="both"/>
        <w:rPr>
          <w:b/>
          <w:sz w:val="24"/>
          <w:szCs w:val="24"/>
        </w:rPr>
      </w:pPr>
      <w:r w:rsidRPr="006F1CA8">
        <w:rPr>
          <w:b/>
          <w:sz w:val="24"/>
          <w:szCs w:val="24"/>
        </w:rPr>
        <w:t>2</w:t>
      </w:r>
      <w:r w:rsidRPr="006F1CA8">
        <w:rPr>
          <w:b/>
          <w:sz w:val="24"/>
          <w:szCs w:val="24"/>
        </w:rPr>
        <w:tab/>
        <w:t>LUTA ANTIMANICOMIAL BRAS</w:t>
      </w:r>
      <w:r>
        <w:rPr>
          <w:b/>
          <w:sz w:val="24"/>
          <w:szCs w:val="24"/>
        </w:rPr>
        <w:t>I</w:t>
      </w:r>
      <w:r w:rsidRPr="006F1CA8">
        <w:rPr>
          <w:b/>
          <w:sz w:val="24"/>
          <w:szCs w:val="24"/>
        </w:rPr>
        <w:t>LEIRA E PIAUIENSE</w:t>
      </w:r>
    </w:p>
    <w:p w14:paraId="23FDF946" w14:textId="77777777" w:rsidR="00FA4A63" w:rsidRPr="006F1CA8" w:rsidRDefault="00FA4A63" w:rsidP="00FA4A63">
      <w:pPr>
        <w:spacing w:line="360" w:lineRule="auto"/>
        <w:ind w:firstLine="709"/>
        <w:jc w:val="both"/>
        <w:rPr>
          <w:sz w:val="24"/>
          <w:szCs w:val="24"/>
        </w:rPr>
      </w:pPr>
      <w:r w:rsidRPr="006F1CA8">
        <w:rPr>
          <w:sz w:val="24"/>
          <w:szCs w:val="24"/>
        </w:rPr>
        <w:t>A luta antimanicomial brasileira, conforme a reconstituição de Amarante (1995, p.57) tem seu estopim na “Crise da Dinsam” (Divisão Nacional de Saúde), órgão do Ministério da Saúde, localizad</w:t>
      </w:r>
      <w:r>
        <w:rPr>
          <w:sz w:val="24"/>
          <w:szCs w:val="24"/>
        </w:rPr>
        <w:t>a</w:t>
      </w:r>
      <w:r w:rsidRPr="006F1CA8">
        <w:rPr>
          <w:sz w:val="24"/>
          <w:szCs w:val="24"/>
        </w:rPr>
        <w:t xml:space="preserve"> no Rio de Janeiro. Os profissionais, vinculados à Dinsam, iniciam uma luta corporativa, por melhores condições de trabalho, “deflagram uma greve, em abril de 1978, seguida da demissão de 260 estagiários e profissionais”. Emerge daí o Movimento de Trabalhadores de Saúde Mental – MTSM</w:t>
      </w:r>
      <w:r>
        <w:rPr>
          <w:sz w:val="24"/>
          <w:szCs w:val="24"/>
        </w:rPr>
        <w:t>.</w:t>
      </w:r>
      <w:r w:rsidRPr="006F1CA8">
        <w:rPr>
          <w:sz w:val="24"/>
          <w:szCs w:val="24"/>
        </w:rPr>
        <w:t xml:space="preserve"> </w:t>
      </w:r>
    </w:p>
    <w:p w14:paraId="6150AAED" w14:textId="77777777" w:rsidR="00FA4A63" w:rsidRPr="006F1CA8" w:rsidRDefault="00FA4A63" w:rsidP="00FA4A63">
      <w:pPr>
        <w:spacing w:line="360" w:lineRule="auto"/>
        <w:ind w:firstLine="709"/>
        <w:jc w:val="both"/>
        <w:rPr>
          <w:sz w:val="24"/>
          <w:szCs w:val="24"/>
        </w:rPr>
      </w:pPr>
      <w:r w:rsidRPr="006F1CA8">
        <w:rPr>
          <w:sz w:val="24"/>
          <w:szCs w:val="24"/>
        </w:rPr>
        <w:t>O MTSM promove vários congressos que amplia suas bases de apoio e integrantes, incluindo familiares e usuários da saúde mental, pois ao denunciar as precarizadas condições de trabalho, evidenciam violações nos direitos humanos de usuários da saúde mental, confinados no modelo manicomial, “instituições totais” como define Goffman (1992), que tendem a levar à “mortificação do eu”</w:t>
      </w:r>
      <w:r>
        <w:rPr>
          <w:sz w:val="24"/>
          <w:szCs w:val="24"/>
        </w:rPr>
        <w:t xml:space="preserve"> dos internos.</w:t>
      </w:r>
      <w:r w:rsidRPr="006F1CA8">
        <w:rPr>
          <w:sz w:val="24"/>
          <w:szCs w:val="24"/>
        </w:rPr>
        <w:t xml:space="preserve"> </w:t>
      </w:r>
    </w:p>
    <w:p w14:paraId="6EBA1E49" w14:textId="77777777" w:rsidR="00FA4A63" w:rsidRDefault="00FA4A63" w:rsidP="00FA4A63">
      <w:pPr>
        <w:spacing w:line="360" w:lineRule="auto"/>
        <w:ind w:firstLine="709"/>
        <w:jc w:val="both"/>
        <w:rPr>
          <w:sz w:val="24"/>
          <w:szCs w:val="24"/>
        </w:rPr>
      </w:pPr>
      <w:r w:rsidRPr="006F1CA8">
        <w:rPr>
          <w:sz w:val="24"/>
          <w:szCs w:val="24"/>
        </w:rPr>
        <w:t xml:space="preserve">O MTSM tem suas bandeiras de luta sintetizadas no manifesto de Bauru, cidade paulista onde ocorre o II Congresso Nacional de Trabalhadores em Saúde Mental, documento que explicita a direção da luta para a extinção dos manicômios. O MTSM metamorfoseia-se em Movimento Nacional da Luta Antimanicomial – MNLA, passando a atuar em prol de mudanças paradigmática, legislativas e no modelo assistencial em saúde mental, rumo à produção do cuidado em liberdade e no território de vida da pessoa com transtorno mental. </w:t>
      </w:r>
    </w:p>
    <w:p w14:paraId="7528CEB4" w14:textId="77777777" w:rsidR="00FA4A63" w:rsidRPr="006F1CA8" w:rsidRDefault="00FA4A63" w:rsidP="00FA4A63">
      <w:pPr>
        <w:spacing w:line="360" w:lineRule="auto"/>
        <w:ind w:firstLine="709"/>
        <w:jc w:val="both"/>
        <w:rPr>
          <w:sz w:val="24"/>
          <w:szCs w:val="24"/>
        </w:rPr>
      </w:pPr>
      <w:r w:rsidRPr="006F1CA8">
        <w:rPr>
          <w:sz w:val="24"/>
          <w:szCs w:val="24"/>
        </w:rPr>
        <w:t xml:space="preserve">Em 1990 representantes do MNLA passam a gerir a coordenação de saúde mental do Ministério da Saúde, reorientando o modelo assistencial, promovendo </w:t>
      </w:r>
      <w:r w:rsidRPr="006F1CA8">
        <w:rPr>
          <w:sz w:val="24"/>
          <w:szCs w:val="24"/>
        </w:rPr>
        <w:lastRenderedPageBreak/>
        <w:t>mudanças paradigmáticas</w:t>
      </w:r>
      <w:r>
        <w:rPr>
          <w:sz w:val="24"/>
          <w:szCs w:val="24"/>
        </w:rPr>
        <w:t xml:space="preserve"> e legislativas</w:t>
      </w:r>
      <w:r w:rsidRPr="006F1CA8">
        <w:rPr>
          <w:sz w:val="24"/>
          <w:szCs w:val="24"/>
        </w:rPr>
        <w:t xml:space="preserve">. </w:t>
      </w:r>
      <w:r>
        <w:rPr>
          <w:sz w:val="24"/>
          <w:szCs w:val="24"/>
        </w:rPr>
        <w:t>Essas,</w:t>
      </w:r>
      <w:r w:rsidRPr="006F1CA8">
        <w:rPr>
          <w:sz w:val="24"/>
          <w:szCs w:val="24"/>
        </w:rPr>
        <w:t xml:space="preserve"> culmina na aprovação da lei 10.216, em 2001, que reconhece os direitos da pessoa com transtorno mental, sendo o estatuto do reconhecimento de sua cidadania, até então tutelada (Brasil, 2004)</w:t>
      </w:r>
    </w:p>
    <w:p w14:paraId="398EB6B8" w14:textId="77777777" w:rsidR="00FA4A63" w:rsidRPr="006F1CA8" w:rsidRDefault="00FA4A63" w:rsidP="00FA4A63">
      <w:pPr>
        <w:spacing w:line="360" w:lineRule="auto"/>
        <w:ind w:firstLine="709"/>
        <w:jc w:val="both"/>
        <w:rPr>
          <w:sz w:val="24"/>
          <w:szCs w:val="24"/>
        </w:rPr>
      </w:pPr>
      <w:r w:rsidRPr="006F1CA8">
        <w:rPr>
          <w:sz w:val="24"/>
          <w:szCs w:val="24"/>
        </w:rPr>
        <w:t xml:space="preserve">No contexto do Estado de direito, democrático, as políticas públicas tem seu caráter de arena de disputas de projetos societários bem evidenciado e configurado. </w:t>
      </w:r>
    </w:p>
    <w:p w14:paraId="330476E7" w14:textId="77777777" w:rsidR="00FA4A63" w:rsidRPr="006F1CA8" w:rsidRDefault="00FA4A63" w:rsidP="00FA4A63">
      <w:pPr>
        <w:spacing w:line="360" w:lineRule="auto"/>
        <w:ind w:firstLine="709"/>
        <w:jc w:val="both"/>
        <w:rPr>
          <w:sz w:val="24"/>
          <w:szCs w:val="24"/>
        </w:rPr>
      </w:pPr>
      <w:r w:rsidRPr="006F1CA8">
        <w:rPr>
          <w:sz w:val="24"/>
          <w:szCs w:val="24"/>
        </w:rPr>
        <w:t>Rachel Passos (2017) caracteriza 3 projetos em disputa no cerne da reforma psiquiátrica: 1) a proposta radical de reforma psiquiátrica, assentada na luta antimanicomial; 2) a perspectiva da manutenção manicomial tradicional e 3) a reforma psiquiátrica “simpática” às alterações, todavia, limitadas à esfera legislativa e assistencial.</w:t>
      </w:r>
    </w:p>
    <w:p w14:paraId="4D524F63" w14:textId="77777777" w:rsidR="00FA4A63" w:rsidRPr="006F1CA8" w:rsidRDefault="00FA4A63" w:rsidP="00FA4A63">
      <w:pPr>
        <w:spacing w:line="360" w:lineRule="auto"/>
        <w:ind w:firstLine="709"/>
        <w:jc w:val="both"/>
        <w:rPr>
          <w:sz w:val="24"/>
          <w:szCs w:val="24"/>
        </w:rPr>
      </w:pPr>
      <w:r w:rsidRPr="006F1CA8">
        <w:rPr>
          <w:sz w:val="24"/>
          <w:szCs w:val="24"/>
        </w:rPr>
        <w:t xml:space="preserve">Em meio às disputas de projetos, o paradigma da reforma psiquiátrica antimanicomial, em 1990, ao transformar-se em política pública que orienta a política de saúde mental brasileira, centra sua atenção na desconstrução dos manicômios, priorizando inicialmente as pessoas com internação de longa permanência, avaliando os “manicômios”, redirecionando sua atenção, diminuindo </w:t>
      </w:r>
      <w:r>
        <w:rPr>
          <w:sz w:val="24"/>
          <w:szCs w:val="24"/>
        </w:rPr>
        <w:t>o</w:t>
      </w:r>
      <w:r w:rsidRPr="006F1CA8">
        <w:rPr>
          <w:sz w:val="24"/>
          <w:szCs w:val="24"/>
        </w:rPr>
        <w:t xml:space="preserve"> porte</w:t>
      </w:r>
      <w:r>
        <w:rPr>
          <w:sz w:val="24"/>
          <w:szCs w:val="24"/>
        </w:rPr>
        <w:t xml:space="preserve"> do serviço</w:t>
      </w:r>
      <w:r w:rsidRPr="006F1CA8">
        <w:rPr>
          <w:sz w:val="24"/>
          <w:szCs w:val="24"/>
        </w:rPr>
        <w:t xml:space="preserve"> e reorientando o orçamento, para formas de cuidar em liberdade e no território, onde a vida da pessoa com transtorno mental acontece. Assim, os Centros de Atenção Psicossocial – Caps, ganham centralidade como principal equipamento a produzir mudanças. Têm suas configurações e atividades contornadas na Portaria 336/2002 e, seus processos de trabalho, estabelecidos via sistema de Registro de Ações Ambulatoriais de Saúde – RAAS, Portaria n. 854/2012, prevendo-se entre os procedimentos das ações coletivas de trabalho: a promoção da contratualidade no território; a matricialidade com a atenção básica e o fomento ao protagonismo de usuários e familiares da saúde mental.</w:t>
      </w:r>
    </w:p>
    <w:p w14:paraId="69BC7024" w14:textId="77777777" w:rsidR="00FA4A63" w:rsidRPr="006F1CA8" w:rsidRDefault="00FA4A63" w:rsidP="00FA4A63">
      <w:pPr>
        <w:spacing w:line="360" w:lineRule="auto"/>
        <w:ind w:firstLine="709"/>
        <w:jc w:val="both"/>
        <w:rPr>
          <w:sz w:val="24"/>
          <w:szCs w:val="24"/>
        </w:rPr>
      </w:pPr>
      <w:r w:rsidRPr="006F1CA8">
        <w:rPr>
          <w:sz w:val="24"/>
          <w:szCs w:val="24"/>
        </w:rPr>
        <w:t>Paralelamente, a Coordenação de Saúde Mental assegura a reorientação do modelo assistencial, através de orçamento que assegura incentivo para a criação de CAPS nos estados e municípios brasileiros, a partir do porte populacional.</w:t>
      </w:r>
    </w:p>
    <w:p w14:paraId="7D26F37C" w14:textId="77777777" w:rsidR="00FA4A63" w:rsidRPr="006F1CA8" w:rsidRDefault="00FA4A63" w:rsidP="00FA4A63">
      <w:pPr>
        <w:spacing w:line="360" w:lineRule="auto"/>
        <w:ind w:firstLine="709"/>
        <w:jc w:val="both"/>
        <w:rPr>
          <w:sz w:val="24"/>
          <w:szCs w:val="24"/>
        </w:rPr>
      </w:pPr>
      <w:r w:rsidRPr="006F1CA8">
        <w:rPr>
          <w:sz w:val="24"/>
          <w:szCs w:val="24"/>
        </w:rPr>
        <w:t xml:space="preserve">O ideário da reforma psiquiátrica antimanicomial, apesar de hegemônico no Ministério da Saúde, na década de 1990 até 2016, se difunde desigualmente no </w:t>
      </w:r>
      <w:r w:rsidRPr="006F1CA8">
        <w:rPr>
          <w:sz w:val="24"/>
          <w:szCs w:val="24"/>
        </w:rPr>
        <w:lastRenderedPageBreak/>
        <w:t xml:space="preserve">território nacional, conformando-se a partir da configuração das lutas sociais em cada estado e município.  </w:t>
      </w:r>
    </w:p>
    <w:p w14:paraId="5A57D727" w14:textId="77777777" w:rsidR="00FA4A63" w:rsidRPr="006F1CA8" w:rsidRDefault="00FA4A63" w:rsidP="00FA4A63">
      <w:pPr>
        <w:spacing w:line="360" w:lineRule="auto"/>
        <w:ind w:firstLine="709"/>
        <w:jc w:val="both"/>
        <w:rPr>
          <w:sz w:val="24"/>
          <w:szCs w:val="24"/>
        </w:rPr>
      </w:pPr>
      <w:r w:rsidRPr="006F1CA8">
        <w:rPr>
          <w:sz w:val="24"/>
          <w:szCs w:val="24"/>
        </w:rPr>
        <w:t>No Piauí, os gestores e a ala tradicional da psiquiatria pendem para a conjugação de duas tendências: manutenção manicomial tradicional + alterações legislativas e assistenciais, conforme caracterização de Passos (2017). Logo, ao longo de todo processo de mudanças no plano local, a coordenação de saúde mental do Ministério da Saúde e o Ministério Público, tornam-se os principais atores da política de saúde mental antimanicomial (Oliveira, 2011)</w:t>
      </w:r>
    </w:p>
    <w:p w14:paraId="76E5DDCA" w14:textId="77777777" w:rsidR="00FA4A63" w:rsidRPr="006F1CA8" w:rsidRDefault="00FA4A63" w:rsidP="00FA4A63">
      <w:pPr>
        <w:spacing w:line="360" w:lineRule="auto"/>
        <w:ind w:firstLine="709"/>
        <w:jc w:val="both"/>
        <w:rPr>
          <w:sz w:val="24"/>
          <w:szCs w:val="24"/>
        </w:rPr>
      </w:pPr>
      <w:r w:rsidRPr="006F1CA8">
        <w:rPr>
          <w:sz w:val="24"/>
          <w:szCs w:val="24"/>
        </w:rPr>
        <w:t>Os gestores locais buscam novos recursos orçamentários para seu território, mas, resistem às contrapartidas e às mudanças que a perspectiva antimanicomial requer, haja vista as novas ações em saúde exigirem a recomposição da complexidade do objeto de intervenção e ações intersetoriais. Com a redução de leitos nos dois manicômios locais; o encerramento das atividades de um deles; o descompasso na criação de Caps, o Ministério Público passa a intermediar o processo através de termos de ajustamento de conduta para os gestores locais</w:t>
      </w:r>
      <w:r>
        <w:rPr>
          <w:sz w:val="24"/>
          <w:szCs w:val="24"/>
        </w:rPr>
        <w:t>.</w:t>
      </w:r>
      <w:r w:rsidRPr="006F1CA8">
        <w:rPr>
          <w:sz w:val="24"/>
          <w:szCs w:val="24"/>
        </w:rPr>
        <w:t xml:space="preserve"> </w:t>
      </w:r>
    </w:p>
    <w:p w14:paraId="6B7A7A6D" w14:textId="77777777" w:rsidR="00FA4A63" w:rsidRDefault="00FA4A63" w:rsidP="00FA4A63">
      <w:pPr>
        <w:spacing w:line="360" w:lineRule="auto"/>
        <w:ind w:firstLine="709"/>
        <w:jc w:val="both"/>
        <w:rPr>
          <w:sz w:val="24"/>
          <w:szCs w:val="24"/>
        </w:rPr>
      </w:pPr>
      <w:r w:rsidRPr="006F1CA8">
        <w:rPr>
          <w:sz w:val="24"/>
          <w:szCs w:val="24"/>
        </w:rPr>
        <w:t>Por sua vez, apesar do asseguramento de toda legislação do Sistema Único de Saúde em prol do estimulo e até fomento à participação/protagonismo de usuários e familiares da/na saúde mental, os processos de trabalho dos Caps piauiense pouco investem nessa direção. As gestões dos serviços, no geral definidas por indicação política, raramente fomentam</w:t>
      </w:r>
      <w:r>
        <w:rPr>
          <w:sz w:val="24"/>
          <w:szCs w:val="24"/>
        </w:rPr>
        <w:t xml:space="preserve"> ações</w:t>
      </w:r>
      <w:r w:rsidRPr="006F1CA8">
        <w:rPr>
          <w:sz w:val="24"/>
          <w:szCs w:val="24"/>
        </w:rPr>
        <w:t xml:space="preserve"> compartilhadas</w:t>
      </w:r>
      <w:r>
        <w:rPr>
          <w:sz w:val="24"/>
          <w:szCs w:val="24"/>
        </w:rPr>
        <w:t>/participativas.</w:t>
      </w:r>
    </w:p>
    <w:p w14:paraId="54B7A51A" w14:textId="77777777" w:rsidR="00FA4A63" w:rsidRPr="006F1CA8" w:rsidRDefault="00FA4A63" w:rsidP="00FA4A63">
      <w:pPr>
        <w:spacing w:line="360" w:lineRule="auto"/>
        <w:ind w:firstLine="709"/>
        <w:jc w:val="both"/>
        <w:rPr>
          <w:sz w:val="24"/>
          <w:szCs w:val="24"/>
        </w:rPr>
      </w:pPr>
      <w:r w:rsidRPr="006F1CA8">
        <w:rPr>
          <w:sz w:val="24"/>
          <w:szCs w:val="24"/>
        </w:rPr>
        <w:t>Tal cenário é agravado por intensas mudanças conjunturais nas correlações de forças, nacional e local, que reforçam perspectivas de remanicomialização. No Piauí, em 1995 tem se a criação das primeiras comunidades terapêuticas, que por exemplo, passam a hegemonizar o conselho estadual sobre drogas (Guimarães, 2023). Tem-se ainda, as</w:t>
      </w:r>
      <w:r>
        <w:rPr>
          <w:sz w:val="24"/>
          <w:szCs w:val="24"/>
        </w:rPr>
        <w:t xml:space="preserve"> manifestações da questão social de</w:t>
      </w:r>
      <w:r w:rsidRPr="006F1CA8">
        <w:rPr>
          <w:sz w:val="24"/>
          <w:szCs w:val="24"/>
        </w:rPr>
        <w:t xml:space="preserve"> usuários e familiares loca</w:t>
      </w:r>
      <w:r>
        <w:rPr>
          <w:sz w:val="24"/>
          <w:szCs w:val="24"/>
        </w:rPr>
        <w:t>l</w:t>
      </w:r>
      <w:r w:rsidRPr="006F1CA8">
        <w:rPr>
          <w:sz w:val="24"/>
          <w:szCs w:val="24"/>
        </w:rPr>
        <w:t xml:space="preserve">, cujo perfil de intensa vulnerabilidade, pois a maioria é de baixa renda, não branca e acompanhada de todos os marcadores das desigualdades sociais, interseccionadas, soma-se à desinformação; dificuldades em se constituir como sujeito político, permeada por toda cultura clientelista/coronelística que, inclusive, atravessa a </w:t>
      </w:r>
      <w:r w:rsidRPr="006F1CA8">
        <w:rPr>
          <w:sz w:val="24"/>
          <w:szCs w:val="24"/>
        </w:rPr>
        <w:lastRenderedPageBreak/>
        <w:t>experiência dos conselhos de saúde, algo inovador, mas, eivado de fragilidades, como mostra Oliveira e Pinheiro (2010).</w:t>
      </w:r>
    </w:p>
    <w:p w14:paraId="2445B9E1" w14:textId="77777777" w:rsidR="00FA4A63" w:rsidRPr="006F1CA8" w:rsidRDefault="00FA4A63" w:rsidP="00FA4A63">
      <w:pPr>
        <w:spacing w:line="360" w:lineRule="auto"/>
        <w:ind w:firstLine="709"/>
        <w:jc w:val="both"/>
        <w:rPr>
          <w:sz w:val="24"/>
          <w:szCs w:val="24"/>
        </w:rPr>
      </w:pPr>
      <w:r w:rsidRPr="006F1CA8">
        <w:rPr>
          <w:sz w:val="24"/>
          <w:szCs w:val="24"/>
        </w:rPr>
        <w:t>Apesar dos desafios postos no plano local, tem-se o protagonismo de trabalhadores, usuários e familiares, destacando-se suas expressões em 3 momentos distintos.</w:t>
      </w:r>
    </w:p>
    <w:p w14:paraId="21F8A1A4" w14:textId="77777777" w:rsidR="00FA4A63" w:rsidRPr="006F1CA8" w:rsidRDefault="00FA4A63" w:rsidP="00FA4A63">
      <w:pPr>
        <w:spacing w:line="360" w:lineRule="auto"/>
        <w:ind w:firstLine="709"/>
        <w:jc w:val="both"/>
        <w:rPr>
          <w:sz w:val="24"/>
          <w:szCs w:val="24"/>
        </w:rPr>
      </w:pPr>
    </w:p>
    <w:p w14:paraId="5A5DCD32" w14:textId="77777777" w:rsidR="00FA4A63" w:rsidRPr="006F1CA8" w:rsidRDefault="00FA4A63" w:rsidP="00FA4A63">
      <w:pPr>
        <w:spacing w:line="360" w:lineRule="auto"/>
        <w:jc w:val="both"/>
        <w:rPr>
          <w:b/>
          <w:sz w:val="24"/>
          <w:szCs w:val="24"/>
        </w:rPr>
      </w:pPr>
      <w:r w:rsidRPr="006F1CA8">
        <w:rPr>
          <w:b/>
          <w:sz w:val="24"/>
          <w:szCs w:val="24"/>
        </w:rPr>
        <w:t>2.1</w:t>
      </w:r>
      <w:r w:rsidRPr="006F1CA8">
        <w:rPr>
          <w:b/>
          <w:sz w:val="24"/>
          <w:szCs w:val="24"/>
        </w:rPr>
        <w:tab/>
        <w:t xml:space="preserve">Lutas sociais na saúde mental piauiense, manicomializadas e simpáticas às mudanças legislativas e assistencial. Primeira fase – 1980 a 2000. </w:t>
      </w:r>
    </w:p>
    <w:p w14:paraId="5B95CEFB" w14:textId="77777777" w:rsidR="00FA4A63" w:rsidRPr="006F1CA8" w:rsidRDefault="00FA4A63" w:rsidP="00FA4A63">
      <w:pPr>
        <w:spacing w:line="360" w:lineRule="auto"/>
        <w:ind w:firstLine="851"/>
        <w:jc w:val="both"/>
        <w:rPr>
          <w:sz w:val="24"/>
          <w:szCs w:val="24"/>
        </w:rPr>
      </w:pPr>
      <w:r w:rsidRPr="006F1CA8">
        <w:rPr>
          <w:sz w:val="24"/>
          <w:szCs w:val="24"/>
        </w:rPr>
        <w:t>As primeiras associações comunitárias de saúde mental no contexto piauiense foram fomentadas por representantes da psiquiatria tradicional, tendo atuação intensa no período de 1980 até os anos 2000.</w:t>
      </w:r>
    </w:p>
    <w:p w14:paraId="1D324888" w14:textId="77777777" w:rsidR="00FA4A63" w:rsidRPr="006F1CA8" w:rsidRDefault="00FA4A63" w:rsidP="00FA4A63">
      <w:pPr>
        <w:spacing w:line="360" w:lineRule="auto"/>
        <w:ind w:firstLine="851"/>
        <w:jc w:val="both"/>
        <w:rPr>
          <w:sz w:val="24"/>
          <w:szCs w:val="24"/>
        </w:rPr>
      </w:pPr>
      <w:r w:rsidRPr="006F1CA8">
        <w:rPr>
          <w:sz w:val="24"/>
          <w:szCs w:val="24"/>
        </w:rPr>
        <w:t xml:space="preserve">O cerne do projeto político do grupo postulava: a humanização dos manicômios (sua metamorfose de asilo para hospital); ampliar os espaços para a intervenção de psiquiatras em hospitais gerais e interiorizar a atenção a partir da ambulatorização, ou seja, da consulta médica, sobretudo nos municípios, polos/sedes do desenvolvimento regional estadual. Para tanto, em 09 de setembro de 1980 é criada a Associação Comunitária de Saúde Mental do Piauí – ACSM, criada e gerida sobretudo por médicos psiquiatras, outros profissionais/trabalhadores da saúde mental e pessoas da comunidade. </w:t>
      </w:r>
    </w:p>
    <w:p w14:paraId="2D15389D" w14:textId="77777777" w:rsidR="00FA4A63" w:rsidRPr="006F1CA8" w:rsidRDefault="00FA4A63" w:rsidP="00FA4A63">
      <w:pPr>
        <w:spacing w:line="360" w:lineRule="auto"/>
        <w:ind w:firstLine="851"/>
        <w:jc w:val="both"/>
        <w:rPr>
          <w:sz w:val="24"/>
          <w:szCs w:val="24"/>
        </w:rPr>
      </w:pPr>
      <w:r w:rsidRPr="006F1CA8">
        <w:rPr>
          <w:sz w:val="24"/>
          <w:szCs w:val="24"/>
        </w:rPr>
        <w:t>Suas ações principais e conquistas circunscrevem</w:t>
      </w:r>
      <w:r>
        <w:rPr>
          <w:sz w:val="24"/>
          <w:szCs w:val="24"/>
        </w:rPr>
        <w:t>,</w:t>
      </w:r>
      <w:r w:rsidRPr="006F1CA8">
        <w:rPr>
          <w:sz w:val="24"/>
          <w:szCs w:val="24"/>
        </w:rPr>
        <w:t xml:space="preserve"> inicialmente, a luta pela criação do Programa de Saúde Mental Comunitária – PSMC-PI, instalado em 14 de abril de 1983, que teve por objetivos atingir dois eixos: a regionalização (descentralização) da assistência psiquiátrica no estado e a reformulação administrativa, assistencial e a reforma física do Hospital Areolino de Abreu (Rosa, 2003), atingidos a contento, mas, com tempo limitado de vigência.</w:t>
      </w:r>
    </w:p>
    <w:p w14:paraId="2229A326" w14:textId="77777777" w:rsidR="00FA4A63" w:rsidRPr="006F1CA8" w:rsidRDefault="00FA4A63" w:rsidP="00FA4A63">
      <w:pPr>
        <w:spacing w:line="360" w:lineRule="auto"/>
        <w:ind w:firstLine="851"/>
        <w:jc w:val="both"/>
        <w:rPr>
          <w:sz w:val="24"/>
          <w:szCs w:val="24"/>
        </w:rPr>
      </w:pPr>
      <w:r w:rsidRPr="006F1CA8">
        <w:rPr>
          <w:sz w:val="24"/>
          <w:szCs w:val="24"/>
        </w:rPr>
        <w:t xml:space="preserve">Integrantes da ACSM também hegemonizam a Associação Psiquiátrica do Piauí – APP, e, conjugadamente, entre os anos 1980 e 2000 realizam cursos, jornadas, fóruns e seminários, periodicamente, denominados Jornadas de saúde mental comunitária, Jornadas Nordestina de Psiquiatria em que difundem seu projeto </w:t>
      </w:r>
      <w:r w:rsidRPr="006F1CA8">
        <w:rPr>
          <w:sz w:val="24"/>
          <w:szCs w:val="24"/>
        </w:rPr>
        <w:lastRenderedPageBreak/>
        <w:t xml:space="preserve">político e fazem gestões junto aos gestores municipais e estadual para alcançar seus objetivos. </w:t>
      </w:r>
    </w:p>
    <w:p w14:paraId="3264A08D" w14:textId="77777777" w:rsidR="00FA4A63" w:rsidRPr="006F1CA8" w:rsidRDefault="00FA4A63" w:rsidP="00FA4A63">
      <w:pPr>
        <w:spacing w:line="360" w:lineRule="auto"/>
        <w:ind w:firstLine="851"/>
        <w:jc w:val="both"/>
        <w:rPr>
          <w:sz w:val="24"/>
          <w:szCs w:val="24"/>
        </w:rPr>
      </w:pPr>
    </w:p>
    <w:p w14:paraId="59702075" w14:textId="77777777" w:rsidR="00FA4A63" w:rsidRPr="006F1CA8" w:rsidRDefault="00FA4A63" w:rsidP="00FA4A63">
      <w:pPr>
        <w:spacing w:line="360" w:lineRule="auto"/>
        <w:jc w:val="both"/>
        <w:rPr>
          <w:b/>
          <w:bCs/>
          <w:sz w:val="24"/>
          <w:szCs w:val="24"/>
        </w:rPr>
      </w:pPr>
      <w:r w:rsidRPr="006F1CA8">
        <w:rPr>
          <w:b/>
          <w:bCs/>
          <w:sz w:val="24"/>
          <w:szCs w:val="24"/>
        </w:rPr>
        <w:t>2.2 Âncora – associação de usuários e familiares da saúde mental como principal representante da luta antimanicomial piauiense – 2001-2020</w:t>
      </w:r>
    </w:p>
    <w:p w14:paraId="3D99FD2C" w14:textId="77777777" w:rsidR="00FA4A63" w:rsidRPr="006F1CA8" w:rsidRDefault="00FA4A63" w:rsidP="00FA4A63">
      <w:pPr>
        <w:spacing w:line="360" w:lineRule="auto"/>
        <w:ind w:firstLine="709"/>
        <w:jc w:val="both"/>
        <w:rPr>
          <w:sz w:val="24"/>
          <w:szCs w:val="24"/>
        </w:rPr>
      </w:pPr>
      <w:r w:rsidRPr="006F1CA8">
        <w:rPr>
          <w:sz w:val="24"/>
          <w:szCs w:val="24"/>
        </w:rPr>
        <w:t xml:space="preserve">Em 2001 a partir de demanda </w:t>
      </w:r>
      <w:r>
        <w:rPr>
          <w:sz w:val="24"/>
          <w:szCs w:val="24"/>
        </w:rPr>
        <w:t xml:space="preserve">inicial </w:t>
      </w:r>
      <w:r w:rsidRPr="006F1CA8">
        <w:rPr>
          <w:sz w:val="24"/>
          <w:szCs w:val="24"/>
        </w:rPr>
        <w:t xml:space="preserve">de familiares, é criada a Âncora – associação de usuários, familiares e pessoas interessadas na causa da saúde mental no Piauí.  Inicialmente, </w:t>
      </w:r>
      <w:r>
        <w:rPr>
          <w:sz w:val="24"/>
          <w:szCs w:val="24"/>
        </w:rPr>
        <w:t xml:space="preserve">suas </w:t>
      </w:r>
      <w:r w:rsidRPr="006F1CA8">
        <w:rPr>
          <w:sz w:val="24"/>
          <w:szCs w:val="24"/>
        </w:rPr>
        <w:t>ações</w:t>
      </w:r>
      <w:r>
        <w:rPr>
          <w:sz w:val="24"/>
          <w:szCs w:val="24"/>
        </w:rPr>
        <w:t xml:space="preserve"> eram</w:t>
      </w:r>
      <w:r w:rsidRPr="006F1CA8">
        <w:rPr>
          <w:sz w:val="24"/>
          <w:szCs w:val="24"/>
        </w:rPr>
        <w:t xml:space="preserve"> centra</w:t>
      </w:r>
      <w:r>
        <w:rPr>
          <w:sz w:val="24"/>
          <w:szCs w:val="24"/>
        </w:rPr>
        <w:t>das</w:t>
      </w:r>
      <w:r w:rsidRPr="006F1CA8">
        <w:rPr>
          <w:sz w:val="24"/>
          <w:szCs w:val="24"/>
        </w:rPr>
        <w:t xml:space="preserve"> na dimensão de ajuda e suporte mutuo</w:t>
      </w:r>
      <w:r>
        <w:rPr>
          <w:sz w:val="24"/>
          <w:szCs w:val="24"/>
        </w:rPr>
        <w:t>, sem a</w:t>
      </w:r>
      <w:r w:rsidRPr="006F1CA8">
        <w:rPr>
          <w:sz w:val="24"/>
          <w:szCs w:val="24"/>
        </w:rPr>
        <w:t xml:space="preserve"> perspectiva antimanicomial como horizonte</w:t>
      </w:r>
      <w:r>
        <w:rPr>
          <w:sz w:val="24"/>
          <w:szCs w:val="24"/>
        </w:rPr>
        <w:t>.</w:t>
      </w:r>
      <w:r w:rsidRPr="006F1CA8">
        <w:rPr>
          <w:sz w:val="24"/>
          <w:szCs w:val="24"/>
        </w:rPr>
        <w:t xml:space="preserve"> </w:t>
      </w:r>
    </w:p>
    <w:p w14:paraId="57926490" w14:textId="77777777" w:rsidR="00FA4A63" w:rsidRPr="006F1CA8" w:rsidRDefault="00FA4A63" w:rsidP="00FA4A63">
      <w:pPr>
        <w:spacing w:line="360" w:lineRule="auto"/>
        <w:ind w:firstLine="709"/>
        <w:jc w:val="both"/>
        <w:rPr>
          <w:sz w:val="24"/>
          <w:szCs w:val="24"/>
        </w:rPr>
      </w:pPr>
      <w:r w:rsidRPr="006F1CA8">
        <w:rPr>
          <w:sz w:val="24"/>
          <w:szCs w:val="24"/>
        </w:rPr>
        <w:t>Com o predomínio inicial da direção política nas mãos dos familiares, observa-se um retraimento dos usuários diretos da saúde mental</w:t>
      </w:r>
      <w:r>
        <w:rPr>
          <w:sz w:val="24"/>
          <w:szCs w:val="24"/>
        </w:rPr>
        <w:t>. E,</w:t>
      </w:r>
      <w:r w:rsidRPr="006F1CA8">
        <w:rPr>
          <w:sz w:val="24"/>
          <w:szCs w:val="24"/>
        </w:rPr>
        <w:t xml:space="preserve"> aproximadamente 2 anos depois da criação, os usuários ganham prevalência na direção política da entidade.  </w:t>
      </w:r>
    </w:p>
    <w:p w14:paraId="2628D184" w14:textId="77777777" w:rsidR="00FA4A63" w:rsidRPr="006F1CA8" w:rsidRDefault="00FA4A63" w:rsidP="00FA4A63">
      <w:pPr>
        <w:spacing w:line="360" w:lineRule="auto"/>
        <w:ind w:firstLine="709"/>
        <w:jc w:val="both"/>
        <w:rPr>
          <w:sz w:val="24"/>
          <w:szCs w:val="24"/>
        </w:rPr>
      </w:pPr>
      <w:r w:rsidRPr="006F1CA8">
        <w:rPr>
          <w:sz w:val="24"/>
          <w:szCs w:val="24"/>
        </w:rPr>
        <w:t>Em agosto de 2002, na VI Jornada Nordestina de Psiquiatria e Saúde Mental, IV Jornada de Psiquiatria do Piauí e III Jornada de Saúde Mental Comunitária do Piauí, com o tema Saúde mental no hospital geral, organizada pela Associação Comunitária de Saúde Mental do Piauí, representantes da Ancora a partir de estímulos de Nilo Neto, um representante do movimento de usuários de Santa Catarina, tem início a incorporação da Âncora ao movimento antimanicomial, com “uma nota de repúdio, à Comissão Organizadora, por não ter convidado nenhum usuário para compor as mesas temáticas do evento” (Rosa; Carvalho, 2008, p. 223)</w:t>
      </w:r>
      <w:r>
        <w:rPr>
          <w:sz w:val="24"/>
          <w:szCs w:val="24"/>
        </w:rPr>
        <w:t>.</w:t>
      </w:r>
      <w:r w:rsidRPr="006F1CA8">
        <w:rPr>
          <w:sz w:val="24"/>
          <w:szCs w:val="24"/>
        </w:rPr>
        <w:t xml:space="preserve"> </w:t>
      </w:r>
    </w:p>
    <w:p w14:paraId="06FA6955" w14:textId="77777777" w:rsidR="00FA4A63" w:rsidRPr="006F1CA8" w:rsidRDefault="00FA4A63" w:rsidP="00FA4A63">
      <w:pPr>
        <w:spacing w:line="360" w:lineRule="auto"/>
        <w:ind w:firstLine="709"/>
        <w:jc w:val="both"/>
        <w:rPr>
          <w:sz w:val="24"/>
          <w:szCs w:val="24"/>
        </w:rPr>
      </w:pPr>
      <w:r w:rsidRPr="006F1CA8">
        <w:rPr>
          <w:sz w:val="24"/>
          <w:szCs w:val="24"/>
        </w:rPr>
        <w:t xml:space="preserve"> A Âncora passa a ganhar visibilidade a partir dos eventos alusivos à luta antimanicomial, manifestos pela abertura de Caps, de inclusão da pessoa com transtorno mental no mercado de trabalho</w:t>
      </w:r>
      <w:r>
        <w:rPr>
          <w:sz w:val="24"/>
          <w:szCs w:val="24"/>
        </w:rPr>
        <w:t xml:space="preserve"> e</w:t>
      </w:r>
      <w:r w:rsidRPr="006F1CA8">
        <w:rPr>
          <w:sz w:val="24"/>
          <w:szCs w:val="24"/>
        </w:rPr>
        <w:t xml:space="preserve"> promoção de encontros de formação política. </w:t>
      </w:r>
    </w:p>
    <w:p w14:paraId="4FA79415" w14:textId="77777777" w:rsidR="00FA4A63" w:rsidRPr="006F1CA8" w:rsidRDefault="00FA4A63" w:rsidP="00FA4A63">
      <w:pPr>
        <w:spacing w:line="360" w:lineRule="auto"/>
        <w:ind w:firstLine="709"/>
        <w:jc w:val="both"/>
        <w:rPr>
          <w:sz w:val="24"/>
          <w:szCs w:val="24"/>
        </w:rPr>
      </w:pPr>
      <w:r w:rsidRPr="006F1CA8">
        <w:rPr>
          <w:sz w:val="24"/>
          <w:szCs w:val="24"/>
        </w:rPr>
        <w:t xml:space="preserve">Também pelo fortalecimento do protagonismo dos usuários através da escrita, sobretudo narrativas de vida e poesias, o que foi reunido e publicado no Livro (Con)textos em saúde mental: saberes, práticas e histórias de vida, </w:t>
      </w:r>
      <w:r>
        <w:rPr>
          <w:sz w:val="24"/>
          <w:szCs w:val="24"/>
        </w:rPr>
        <w:t xml:space="preserve">de </w:t>
      </w:r>
      <w:r w:rsidRPr="006F1CA8">
        <w:rPr>
          <w:bCs/>
          <w:sz w:val="24"/>
          <w:szCs w:val="24"/>
        </w:rPr>
        <w:t>2008</w:t>
      </w:r>
      <w:r>
        <w:rPr>
          <w:bCs/>
          <w:sz w:val="24"/>
          <w:szCs w:val="24"/>
        </w:rPr>
        <w:t xml:space="preserve"> e</w:t>
      </w:r>
      <w:r w:rsidRPr="006F1CA8">
        <w:rPr>
          <w:sz w:val="24"/>
          <w:szCs w:val="24"/>
        </w:rPr>
        <w:t xml:space="preserve"> que ganhou prêmio nacional da Fiocruz - Loucos pela diversidade (2009)</w:t>
      </w:r>
      <w:r>
        <w:rPr>
          <w:sz w:val="24"/>
          <w:szCs w:val="24"/>
        </w:rPr>
        <w:t>,</w:t>
      </w:r>
      <w:r w:rsidRPr="006F1CA8">
        <w:rPr>
          <w:sz w:val="24"/>
          <w:szCs w:val="24"/>
        </w:rPr>
        <w:t xml:space="preserve"> uma iniciativa e realização entre o Ministério da Cultura, Fiocruz e Laboratório de Estudos e Pesquisas </w:t>
      </w:r>
      <w:r w:rsidRPr="006F1CA8">
        <w:rPr>
          <w:sz w:val="24"/>
          <w:szCs w:val="24"/>
        </w:rPr>
        <w:lastRenderedPageBreak/>
        <w:t>em Saúde Mental (LAPS). Tem também nesse período a realização da I e II Mostra de Arte D’obra da loucura</w:t>
      </w:r>
      <w:r>
        <w:rPr>
          <w:sz w:val="24"/>
          <w:szCs w:val="24"/>
        </w:rPr>
        <w:t>.</w:t>
      </w:r>
    </w:p>
    <w:p w14:paraId="6AE8B7ED" w14:textId="77777777" w:rsidR="00FA4A63" w:rsidRPr="006F1CA8" w:rsidRDefault="00FA4A63" w:rsidP="00FA4A63">
      <w:pPr>
        <w:spacing w:line="360" w:lineRule="auto"/>
        <w:ind w:firstLine="709"/>
        <w:jc w:val="both"/>
        <w:rPr>
          <w:sz w:val="24"/>
          <w:szCs w:val="24"/>
        </w:rPr>
      </w:pPr>
      <w:r w:rsidRPr="006F1CA8">
        <w:rPr>
          <w:sz w:val="24"/>
          <w:szCs w:val="24"/>
        </w:rPr>
        <w:t xml:space="preserve">No final dessa fase também se destaca a aprovação do projeto de Ponto de Cultura na Saúde Mental, denominado Ancorarte: território de criação e </w:t>
      </w:r>
      <w:r w:rsidRPr="001B1EB1">
        <w:rPr>
          <w:sz w:val="24"/>
          <w:szCs w:val="24"/>
        </w:rPr>
        <w:t>transformação (2009),</w:t>
      </w:r>
      <w:r w:rsidRPr="006F1CA8">
        <w:rPr>
          <w:sz w:val="24"/>
          <w:szCs w:val="24"/>
        </w:rPr>
        <w:t xml:space="preserve"> pelo Ministério da Cultura.</w:t>
      </w:r>
    </w:p>
    <w:p w14:paraId="7CE4F82E" w14:textId="77777777" w:rsidR="00FA4A63" w:rsidRPr="006F1CA8" w:rsidRDefault="00FA4A63" w:rsidP="00FA4A63">
      <w:pPr>
        <w:spacing w:line="360" w:lineRule="auto"/>
        <w:ind w:firstLine="709"/>
        <w:jc w:val="both"/>
        <w:rPr>
          <w:sz w:val="24"/>
          <w:szCs w:val="24"/>
        </w:rPr>
      </w:pPr>
      <w:r w:rsidRPr="006F1CA8">
        <w:rPr>
          <w:sz w:val="24"/>
          <w:szCs w:val="24"/>
        </w:rPr>
        <w:t>No período de 2010 a 2017 a Âncora promoveu 6 encontros de formação política destinados a usuários e familiares da saúde mental, haja vista a desvantagem dos mesmos em serem eleitos como delegado para a conferencia nacional de saúde mental, em 2010.</w:t>
      </w:r>
    </w:p>
    <w:p w14:paraId="7711EAED" w14:textId="77777777" w:rsidR="00FA4A63" w:rsidRPr="006F1CA8" w:rsidRDefault="00FA4A63" w:rsidP="00FA4A63">
      <w:pPr>
        <w:spacing w:line="360" w:lineRule="auto"/>
        <w:ind w:firstLine="709"/>
        <w:jc w:val="both"/>
        <w:rPr>
          <w:sz w:val="24"/>
          <w:szCs w:val="24"/>
        </w:rPr>
      </w:pPr>
      <w:r w:rsidRPr="006F1CA8">
        <w:rPr>
          <w:sz w:val="24"/>
          <w:szCs w:val="24"/>
        </w:rPr>
        <w:t>A partir do encontro de formação política de 2010, desenvolveu-se o projeto Loucomotiva: nos trilhos do empoderamento e da participação social. Nessa experiência 10 usuários foram capacitados para serem agentes multiplicadores de saúde mental em 9 municípios, a partir das discussões de redução de danos e do fomento ao uso do guia de gestão autônoma da medicação e</w:t>
      </w:r>
      <w:r>
        <w:rPr>
          <w:sz w:val="24"/>
          <w:szCs w:val="24"/>
        </w:rPr>
        <w:t>,</w:t>
      </w:r>
      <w:r w:rsidRPr="006F1CA8">
        <w:rPr>
          <w:sz w:val="24"/>
          <w:szCs w:val="24"/>
        </w:rPr>
        <w:t xml:space="preserve"> fomento ao protagonismo de usuários nos Caps.</w:t>
      </w:r>
    </w:p>
    <w:p w14:paraId="056E8DCC" w14:textId="77777777" w:rsidR="00FA4A63" w:rsidRPr="006F1CA8" w:rsidRDefault="00FA4A63" w:rsidP="00FA4A63">
      <w:pPr>
        <w:spacing w:line="360" w:lineRule="auto"/>
        <w:ind w:firstLine="709"/>
        <w:jc w:val="both"/>
        <w:rPr>
          <w:sz w:val="24"/>
          <w:szCs w:val="24"/>
        </w:rPr>
      </w:pPr>
      <w:r w:rsidRPr="006F1CA8">
        <w:rPr>
          <w:sz w:val="24"/>
          <w:szCs w:val="24"/>
        </w:rPr>
        <w:t>Os encontros de formação política contribuíram também para a criação de novas associações, na capital e fora dela, com destaque para: Amigo no Ninho (2007), a Liberdade (2010) em União; a Numa Alegria Vive o Inconsciente - NAVI (2012) em Água Branca; Fenix (2014) em Parnaíba e Homolobus em Teresina, em 2018, criada pelos usuários do CAPSad.</w:t>
      </w:r>
    </w:p>
    <w:p w14:paraId="7D427CC9" w14:textId="77777777" w:rsidR="00FA4A63" w:rsidRPr="006F1CA8" w:rsidRDefault="00FA4A63" w:rsidP="00FA4A63">
      <w:pPr>
        <w:spacing w:line="360" w:lineRule="auto"/>
        <w:ind w:firstLine="709"/>
        <w:jc w:val="both"/>
        <w:rPr>
          <w:sz w:val="24"/>
          <w:szCs w:val="24"/>
        </w:rPr>
      </w:pPr>
      <w:r w:rsidRPr="006F1CA8">
        <w:rPr>
          <w:sz w:val="24"/>
          <w:szCs w:val="24"/>
        </w:rPr>
        <w:t>Logo, a Âncora, orientada por ações emancipatórias, que estimulavam a autonomia e a participação direta, sem tutela, intensificou ações de protagonismo de usuários, retirando-os da condição de meros consumidores de serviço e da condição da identidade associada a diagnósticos psiquiátricos, para alterar identidades estigmatizadas, as multiplicando positivamente, na direção de se tornarem escritores, agentes multiplicadores da saúde mental, apesar de parcos recursos financeiros.</w:t>
      </w:r>
    </w:p>
    <w:p w14:paraId="7ABA1544" w14:textId="77777777" w:rsidR="00FA4A63" w:rsidRPr="006F1CA8" w:rsidRDefault="00FA4A63" w:rsidP="00FA4A63">
      <w:pPr>
        <w:spacing w:line="360" w:lineRule="auto"/>
        <w:ind w:firstLine="709"/>
        <w:jc w:val="both"/>
        <w:rPr>
          <w:sz w:val="24"/>
          <w:szCs w:val="24"/>
        </w:rPr>
      </w:pPr>
    </w:p>
    <w:p w14:paraId="4FCEC16C" w14:textId="77777777" w:rsidR="00FA4A63" w:rsidRPr="006F1CA8" w:rsidRDefault="00FA4A63" w:rsidP="00FA4A63">
      <w:pPr>
        <w:spacing w:line="360" w:lineRule="auto"/>
        <w:ind w:firstLine="709"/>
        <w:jc w:val="both"/>
        <w:rPr>
          <w:b/>
          <w:bCs/>
          <w:sz w:val="24"/>
          <w:szCs w:val="24"/>
        </w:rPr>
      </w:pPr>
      <w:r w:rsidRPr="006F1CA8">
        <w:rPr>
          <w:b/>
          <w:bCs/>
          <w:sz w:val="24"/>
          <w:szCs w:val="24"/>
        </w:rPr>
        <w:t>2.3 – Lutas sociais pela saúde mental piauiense no contexto pandêmico – 2020 a 2024 – entre os desmontes, encerramentos e busca de reencantamentos</w:t>
      </w:r>
    </w:p>
    <w:p w14:paraId="49DF1F7B" w14:textId="77777777" w:rsidR="00FA4A63" w:rsidRPr="006F1CA8" w:rsidRDefault="00FA4A63" w:rsidP="00FA4A63">
      <w:pPr>
        <w:spacing w:line="360" w:lineRule="auto"/>
        <w:ind w:firstLine="709"/>
        <w:jc w:val="both"/>
        <w:rPr>
          <w:sz w:val="24"/>
          <w:szCs w:val="24"/>
        </w:rPr>
      </w:pPr>
      <w:r w:rsidRPr="006F1CA8">
        <w:rPr>
          <w:sz w:val="24"/>
          <w:szCs w:val="24"/>
        </w:rPr>
        <w:lastRenderedPageBreak/>
        <w:t xml:space="preserve">O contexto imposto pela crise sanitária mundial da pandemia da COVID-19 esteve associada com os desmontes nacionais na política de saúde mental, iniciada em 2016, que levou à revogação de todo edifício construído em torno da reforma psiquiátrica antimanicomial, apesar de todas as resistências. No plano local, sobretudo na capital, a conjuntura de mudanças de gestor municipal, que reforçou a perspectiva dos profissionais </w:t>
      </w:r>
      <w:r w:rsidRPr="00925570">
        <w:rPr>
          <w:i/>
          <w:iCs/>
          <w:sz w:val="24"/>
          <w:szCs w:val="24"/>
        </w:rPr>
        <w:t>psi</w:t>
      </w:r>
      <w:r w:rsidRPr="006F1CA8">
        <w:rPr>
          <w:sz w:val="24"/>
          <w:szCs w:val="24"/>
        </w:rPr>
        <w:t xml:space="preserve"> na gestão dos serviços, precarizou as condições de trabalho, inclusive pela falta de medicações psicotrópicas, intensific</w:t>
      </w:r>
      <w:r>
        <w:rPr>
          <w:sz w:val="24"/>
          <w:szCs w:val="24"/>
        </w:rPr>
        <w:t>ando</w:t>
      </w:r>
      <w:r w:rsidRPr="006F1CA8">
        <w:rPr>
          <w:sz w:val="24"/>
          <w:szCs w:val="24"/>
        </w:rPr>
        <w:t xml:space="preserve"> a tendência posta de ambulatorização dos Caps e desmotivação de profissionais, que historicamente pouco se engajaram no território piauiense na luta antimanicomial</w:t>
      </w:r>
      <w:r>
        <w:rPr>
          <w:sz w:val="24"/>
          <w:szCs w:val="24"/>
        </w:rPr>
        <w:t>.</w:t>
      </w:r>
      <w:r w:rsidRPr="006F1CA8">
        <w:rPr>
          <w:sz w:val="24"/>
          <w:szCs w:val="24"/>
        </w:rPr>
        <w:t xml:space="preserve"> </w:t>
      </w:r>
    </w:p>
    <w:p w14:paraId="0FC783F5" w14:textId="77777777" w:rsidR="00FA4A63" w:rsidRPr="006F1CA8" w:rsidRDefault="00FA4A63" w:rsidP="00FA4A63">
      <w:pPr>
        <w:spacing w:line="360" w:lineRule="auto"/>
        <w:ind w:firstLine="709"/>
        <w:jc w:val="both"/>
        <w:rPr>
          <w:sz w:val="24"/>
          <w:szCs w:val="24"/>
        </w:rPr>
      </w:pPr>
      <w:r w:rsidRPr="006F1CA8">
        <w:rPr>
          <w:sz w:val="24"/>
          <w:szCs w:val="24"/>
        </w:rPr>
        <w:t xml:space="preserve">Neste contexto, a Âncora teve suas atividades encerradas em 2022, pelas dificuldades na sua manutenção (cartório, contador, eleição de nova diretoria), e não ter se conseguido multiplicar atores para sua revitalização. </w:t>
      </w:r>
    </w:p>
    <w:p w14:paraId="741E1269" w14:textId="77777777" w:rsidR="00FA4A63" w:rsidRPr="006F1CA8" w:rsidRDefault="00FA4A63" w:rsidP="00FA4A63">
      <w:pPr>
        <w:spacing w:line="360" w:lineRule="auto"/>
        <w:ind w:firstLine="709"/>
        <w:jc w:val="both"/>
        <w:rPr>
          <w:sz w:val="24"/>
          <w:szCs w:val="24"/>
        </w:rPr>
      </w:pPr>
      <w:r w:rsidRPr="006F1CA8">
        <w:rPr>
          <w:sz w:val="24"/>
          <w:szCs w:val="24"/>
        </w:rPr>
        <w:t xml:space="preserve">Mas, a Associação Homolobus durante o período pandêmico realizou uma </w:t>
      </w:r>
      <w:r>
        <w:rPr>
          <w:sz w:val="24"/>
          <w:szCs w:val="24"/>
        </w:rPr>
        <w:t>“</w:t>
      </w:r>
      <w:r w:rsidRPr="006F1CA8">
        <w:rPr>
          <w:sz w:val="24"/>
          <w:szCs w:val="24"/>
        </w:rPr>
        <w:t>Escutatória</w:t>
      </w:r>
      <w:r>
        <w:rPr>
          <w:sz w:val="24"/>
          <w:szCs w:val="24"/>
        </w:rPr>
        <w:t>”</w:t>
      </w:r>
      <w:r w:rsidRPr="006F1CA8">
        <w:rPr>
          <w:sz w:val="24"/>
          <w:szCs w:val="24"/>
        </w:rPr>
        <w:t xml:space="preserve"> da população em situação de rua, capacitando um grupo de seus usuários para realizar o levantamento; mobilizando profissionais para contribuir no planejamento e sistematização; e realizando audiência </w:t>
      </w:r>
      <w:r w:rsidRPr="006F1CA8">
        <w:rPr>
          <w:i/>
          <w:iCs/>
          <w:sz w:val="24"/>
          <w:szCs w:val="24"/>
        </w:rPr>
        <w:t>online</w:t>
      </w:r>
      <w:r w:rsidRPr="006F1CA8">
        <w:rPr>
          <w:sz w:val="24"/>
          <w:szCs w:val="24"/>
        </w:rPr>
        <w:t xml:space="preserve"> com defensores públicos estaduais. </w:t>
      </w:r>
    </w:p>
    <w:p w14:paraId="40B54021" w14:textId="77777777" w:rsidR="00FA4A63" w:rsidRPr="006F1CA8" w:rsidRDefault="00FA4A63" w:rsidP="00FA4A63">
      <w:pPr>
        <w:spacing w:line="360" w:lineRule="auto"/>
        <w:ind w:firstLine="709"/>
        <w:jc w:val="both"/>
        <w:rPr>
          <w:sz w:val="24"/>
          <w:szCs w:val="24"/>
        </w:rPr>
      </w:pPr>
      <w:r w:rsidRPr="006F1CA8">
        <w:rPr>
          <w:sz w:val="24"/>
          <w:szCs w:val="24"/>
        </w:rPr>
        <w:t>Em 2023 é criada a Associação Pensar que, conseguiu reunir um grupo significativo de profissionais e usuários de vários equipamentos, sobretudo de Teresina, em prol da sua fundação. Mas, a predominância de direcionamentos manicomiais de usuários com vínculos com comunidades terapêuticas, desestimularam a continuidade da participação em 2024/5.</w:t>
      </w:r>
    </w:p>
    <w:p w14:paraId="046A00BE" w14:textId="77777777" w:rsidR="00FA4A63" w:rsidRPr="006F1CA8" w:rsidRDefault="00FA4A63" w:rsidP="00FA4A63">
      <w:pPr>
        <w:spacing w:line="360" w:lineRule="auto"/>
        <w:ind w:firstLine="709"/>
        <w:jc w:val="both"/>
        <w:rPr>
          <w:sz w:val="24"/>
          <w:szCs w:val="24"/>
        </w:rPr>
      </w:pPr>
      <w:r w:rsidRPr="006F1CA8">
        <w:rPr>
          <w:sz w:val="24"/>
          <w:szCs w:val="24"/>
        </w:rPr>
        <w:t xml:space="preserve">Com a criação da I Residência Multiprofissional em Saúde Mental, por docente do curso de psicologia da Universidade Estadual do Piauí, e fomento de outros docentes da Universidade Federal do Piauí, alguns profissionais de Caps e gestores, em maio de 2025 foi realizado evento alusivo ao dia da luta antimanicomial, depois de 16 anos sem esse acontecimento no plano local, com tema: re encontrar e encantar se com a luta antimanicomial (Carvalho, 2025), com a perspectiva de retomada do ânimo em torno da perspectiva antimanicomial dos equipamentos da saúde mental e, </w:t>
      </w:r>
      <w:r w:rsidRPr="006F1CA8">
        <w:rPr>
          <w:sz w:val="24"/>
          <w:szCs w:val="24"/>
        </w:rPr>
        <w:lastRenderedPageBreak/>
        <w:t>sobretudo da participação de usuários, familiares e trabalhadores da saúde mental, o que mobilizou um número significativo de pessoas, com representação de segmentos de 7 municípios ( Teresina, União, Altos, Coivaras, Batalha, Oeiras e Teresina), destacando-se universitários, ou seja, com alcance de influenciar na formação da nova geração de profissionais da saúde mental.</w:t>
      </w:r>
    </w:p>
    <w:p w14:paraId="71AB28D3" w14:textId="77777777" w:rsidR="00FA4A63" w:rsidRPr="006F1CA8" w:rsidRDefault="00FA4A63" w:rsidP="00FA4A63">
      <w:pPr>
        <w:spacing w:line="360" w:lineRule="auto"/>
        <w:ind w:firstLine="709"/>
        <w:jc w:val="both"/>
        <w:rPr>
          <w:sz w:val="24"/>
          <w:szCs w:val="24"/>
        </w:rPr>
      </w:pPr>
      <w:r w:rsidRPr="006F1CA8">
        <w:rPr>
          <w:sz w:val="24"/>
          <w:szCs w:val="24"/>
        </w:rPr>
        <w:t xml:space="preserve"> </w:t>
      </w:r>
    </w:p>
    <w:p w14:paraId="4E4A2282" w14:textId="77777777" w:rsidR="00FA4A63" w:rsidRPr="006F1CA8" w:rsidRDefault="00FA4A63" w:rsidP="00FA4A63">
      <w:pPr>
        <w:spacing w:line="360" w:lineRule="auto"/>
        <w:jc w:val="both"/>
        <w:rPr>
          <w:b/>
          <w:sz w:val="24"/>
          <w:szCs w:val="24"/>
        </w:rPr>
      </w:pPr>
      <w:r w:rsidRPr="006F1CA8">
        <w:rPr>
          <w:b/>
          <w:sz w:val="24"/>
          <w:szCs w:val="24"/>
        </w:rPr>
        <w:t>3</w:t>
      </w:r>
      <w:r w:rsidRPr="006F1CA8">
        <w:rPr>
          <w:b/>
          <w:sz w:val="24"/>
          <w:szCs w:val="24"/>
        </w:rPr>
        <w:tab/>
        <w:t>CONCLUSÃO</w:t>
      </w:r>
    </w:p>
    <w:p w14:paraId="0D1AB8CF" w14:textId="77777777" w:rsidR="00FA4A63" w:rsidRPr="006F1CA8" w:rsidRDefault="00FA4A63" w:rsidP="00FA4A63">
      <w:pPr>
        <w:spacing w:line="360" w:lineRule="auto"/>
        <w:ind w:firstLine="709"/>
        <w:jc w:val="both"/>
        <w:rPr>
          <w:sz w:val="24"/>
          <w:szCs w:val="24"/>
        </w:rPr>
      </w:pPr>
      <w:r w:rsidRPr="006F1CA8">
        <w:rPr>
          <w:sz w:val="24"/>
          <w:szCs w:val="24"/>
        </w:rPr>
        <w:t xml:space="preserve"> Como visto, a trajetória histórica das lutas sociais em prol da política de saúde mental piauiense, no período 1980-2025, pode ser dividida em 3 marcos mais expressivos. O primeiro de 1980 a 2000 – tem se a hegemônica absoluta do poder médico influenciando não apenas a participação social, como a gestão, a direção política do processo reformista, em uma perspectiva corporativa e remanicomializadora. No segundo período, 2001 a 2020, há o destaque para a Âncora, entidade com maior incorporação do ideário antimanicomial no contexto local. Efetivamente, fomentou a emancipação dos usuários, os retirando do lugar tradicional de “pacientes”, para sujeitos ativos, quer através da escrita de poesia, estatuto poético; quer através de formação política, com atuação como agente multiplicador</w:t>
      </w:r>
      <w:r>
        <w:rPr>
          <w:sz w:val="24"/>
          <w:szCs w:val="24"/>
        </w:rPr>
        <w:t xml:space="preserve">, </w:t>
      </w:r>
      <w:r w:rsidRPr="006F1CA8">
        <w:rPr>
          <w:sz w:val="24"/>
          <w:szCs w:val="24"/>
        </w:rPr>
        <w:t xml:space="preserve"> de criação de assembleias</w:t>
      </w:r>
      <w:r>
        <w:rPr>
          <w:sz w:val="24"/>
          <w:szCs w:val="24"/>
        </w:rPr>
        <w:t xml:space="preserve"> e</w:t>
      </w:r>
      <w:r w:rsidRPr="006F1CA8">
        <w:rPr>
          <w:sz w:val="24"/>
          <w:szCs w:val="24"/>
        </w:rPr>
        <w:t xml:space="preserve"> conselhos gestores. No terceiro período, 2020 a 2025, tem-se o encerramento cartorial da Âncora, a criação da Pensar que, apesar de reunir um n</w:t>
      </w:r>
      <w:r>
        <w:rPr>
          <w:sz w:val="24"/>
          <w:szCs w:val="24"/>
        </w:rPr>
        <w:t>ú</w:t>
      </w:r>
      <w:r w:rsidRPr="006F1CA8">
        <w:rPr>
          <w:sz w:val="24"/>
          <w:szCs w:val="24"/>
        </w:rPr>
        <w:t>mero significativo de profissionais e usuários, teve um direcionamento manicomializador. Em 2025, depois de 16 anos, houve retomada dos eventos da luta antimanicomial, em torno do 18 de maio, data nacional, na perspectiva de retomar os princípios antimanicomiais, emancipadores que subjaz toda luta social progressistas e que sinaliza para outra relação entre a loucura e a sociedade.</w:t>
      </w:r>
    </w:p>
    <w:p w14:paraId="5530A009" w14:textId="77777777" w:rsidR="00FA4A63" w:rsidRPr="006F1CA8" w:rsidRDefault="00FA4A63" w:rsidP="00FA4A63">
      <w:pPr>
        <w:spacing w:line="360" w:lineRule="auto"/>
        <w:ind w:firstLine="709"/>
        <w:jc w:val="both"/>
        <w:rPr>
          <w:sz w:val="24"/>
          <w:szCs w:val="24"/>
        </w:rPr>
      </w:pPr>
      <w:r w:rsidRPr="006F1CA8">
        <w:rPr>
          <w:sz w:val="24"/>
          <w:szCs w:val="24"/>
        </w:rPr>
        <w:t>A reconstituição da visão panorâmica da trajetória histórica da luta antimanicomial no contexto piauiense, permite concluir que:</w:t>
      </w:r>
    </w:p>
    <w:p w14:paraId="45785402" w14:textId="77777777" w:rsidR="00FA4A63" w:rsidRPr="006F1CA8" w:rsidRDefault="00FA4A63" w:rsidP="00FA4A63">
      <w:pPr>
        <w:numPr>
          <w:ilvl w:val="0"/>
          <w:numId w:val="2"/>
        </w:numPr>
        <w:spacing w:line="360" w:lineRule="auto"/>
        <w:jc w:val="both"/>
        <w:rPr>
          <w:sz w:val="24"/>
          <w:szCs w:val="24"/>
        </w:rPr>
      </w:pPr>
      <w:r w:rsidRPr="006F1CA8">
        <w:rPr>
          <w:sz w:val="24"/>
          <w:szCs w:val="24"/>
        </w:rPr>
        <w:t>A luta social na saúde mental</w:t>
      </w:r>
      <w:r>
        <w:rPr>
          <w:sz w:val="24"/>
          <w:szCs w:val="24"/>
        </w:rPr>
        <w:t>, no Piauí,</w:t>
      </w:r>
      <w:r w:rsidRPr="006F1CA8">
        <w:rPr>
          <w:sz w:val="24"/>
          <w:szCs w:val="24"/>
        </w:rPr>
        <w:t xml:space="preserve"> </w:t>
      </w:r>
      <w:r>
        <w:rPr>
          <w:sz w:val="24"/>
          <w:szCs w:val="24"/>
        </w:rPr>
        <w:t>teve</w:t>
      </w:r>
      <w:r w:rsidRPr="006F1CA8">
        <w:rPr>
          <w:sz w:val="24"/>
          <w:szCs w:val="24"/>
        </w:rPr>
        <w:t xml:space="preserve"> uma direção inicial médi</w:t>
      </w:r>
      <w:r>
        <w:rPr>
          <w:sz w:val="24"/>
          <w:szCs w:val="24"/>
        </w:rPr>
        <w:t>ca-corporativa. Mas,</w:t>
      </w:r>
      <w:r w:rsidRPr="006F1CA8">
        <w:rPr>
          <w:sz w:val="24"/>
          <w:szCs w:val="24"/>
        </w:rPr>
        <w:t xml:space="preserve"> </w:t>
      </w:r>
      <w:r>
        <w:rPr>
          <w:sz w:val="24"/>
          <w:szCs w:val="24"/>
        </w:rPr>
        <w:t>foi</w:t>
      </w:r>
      <w:r w:rsidRPr="006F1CA8">
        <w:rPr>
          <w:sz w:val="24"/>
          <w:szCs w:val="24"/>
        </w:rPr>
        <w:t xml:space="preserve"> apropriada e ganh</w:t>
      </w:r>
      <w:r>
        <w:rPr>
          <w:sz w:val="24"/>
          <w:szCs w:val="24"/>
        </w:rPr>
        <w:t>ou</w:t>
      </w:r>
      <w:r w:rsidRPr="006F1CA8">
        <w:rPr>
          <w:sz w:val="24"/>
          <w:szCs w:val="24"/>
        </w:rPr>
        <w:t xml:space="preserve"> outros </w:t>
      </w:r>
      <w:r>
        <w:rPr>
          <w:sz w:val="24"/>
          <w:szCs w:val="24"/>
        </w:rPr>
        <w:t>contornos</w:t>
      </w:r>
      <w:r w:rsidRPr="006F1CA8">
        <w:rPr>
          <w:sz w:val="24"/>
          <w:szCs w:val="24"/>
        </w:rPr>
        <w:t xml:space="preserve">, em prol da visibilidade dos direitos de usuários e familiares; </w:t>
      </w:r>
    </w:p>
    <w:p w14:paraId="343BA94B" w14:textId="77777777" w:rsidR="00FA4A63" w:rsidRPr="006F1CA8" w:rsidRDefault="00FA4A63" w:rsidP="00FA4A63">
      <w:pPr>
        <w:numPr>
          <w:ilvl w:val="0"/>
          <w:numId w:val="2"/>
        </w:numPr>
        <w:spacing w:line="360" w:lineRule="auto"/>
        <w:jc w:val="both"/>
        <w:rPr>
          <w:sz w:val="24"/>
          <w:szCs w:val="24"/>
        </w:rPr>
      </w:pPr>
      <w:r w:rsidRPr="006F1CA8">
        <w:rPr>
          <w:sz w:val="24"/>
          <w:szCs w:val="24"/>
        </w:rPr>
        <w:lastRenderedPageBreak/>
        <w:t>A luta antimanicomial pode iniciar com poucos atores, mas, tem capacidade multiplicadora, sobretudo em conjunturas favoráveis aos direitos de usuários e familiares, mas, contraditoriamente, pode também, ser apropriada e ser redirecionamento para outros fins;</w:t>
      </w:r>
    </w:p>
    <w:p w14:paraId="6FDA708B" w14:textId="77777777" w:rsidR="00FA4A63" w:rsidRDefault="00FA4A63" w:rsidP="00FA4A63">
      <w:pPr>
        <w:numPr>
          <w:ilvl w:val="0"/>
          <w:numId w:val="2"/>
        </w:numPr>
        <w:spacing w:line="360" w:lineRule="auto"/>
        <w:jc w:val="both"/>
        <w:rPr>
          <w:sz w:val="24"/>
          <w:szCs w:val="24"/>
        </w:rPr>
      </w:pPr>
      <w:r w:rsidRPr="006F1CA8">
        <w:rPr>
          <w:sz w:val="24"/>
          <w:szCs w:val="24"/>
        </w:rPr>
        <w:t>Projetos/proposta emancipatórias configuram-se</w:t>
      </w:r>
      <w:r>
        <w:rPr>
          <w:sz w:val="24"/>
          <w:szCs w:val="24"/>
        </w:rPr>
        <w:t>, no solo piauiense,</w:t>
      </w:r>
      <w:r w:rsidRPr="006F1CA8">
        <w:rPr>
          <w:sz w:val="24"/>
          <w:szCs w:val="24"/>
        </w:rPr>
        <w:t xml:space="preserve"> como minoritárias e pouco apropriadas por gestores e profissionais da saúde mental, apesar de ter toda uma legislação favorável ao protagonismo de usuários e de trabalhadores;</w:t>
      </w:r>
    </w:p>
    <w:p w14:paraId="2A1C7D95" w14:textId="77777777" w:rsidR="00FA4A63" w:rsidRDefault="00FA4A63" w:rsidP="00FA4A63">
      <w:pPr>
        <w:numPr>
          <w:ilvl w:val="0"/>
          <w:numId w:val="2"/>
        </w:numPr>
        <w:spacing w:line="360" w:lineRule="auto"/>
        <w:jc w:val="both"/>
        <w:rPr>
          <w:sz w:val="24"/>
          <w:szCs w:val="24"/>
        </w:rPr>
      </w:pPr>
      <w:r>
        <w:rPr>
          <w:sz w:val="24"/>
          <w:szCs w:val="24"/>
        </w:rPr>
        <w:t>O espaço do controle social/participativo, apesar de priorizar o protagonismo de usuários, também é arena de disputas de projetos políticos, podendo ser apropriado por representantes de perspectivas remanicomializadoras;</w:t>
      </w:r>
    </w:p>
    <w:p w14:paraId="220A84FD" w14:textId="77777777" w:rsidR="00FA4A63" w:rsidRPr="006F1CA8" w:rsidRDefault="00FA4A63" w:rsidP="00FA4A63">
      <w:pPr>
        <w:numPr>
          <w:ilvl w:val="0"/>
          <w:numId w:val="2"/>
        </w:numPr>
        <w:spacing w:line="360" w:lineRule="auto"/>
        <w:jc w:val="both"/>
        <w:rPr>
          <w:sz w:val="24"/>
          <w:szCs w:val="24"/>
        </w:rPr>
      </w:pPr>
      <w:r>
        <w:rPr>
          <w:sz w:val="24"/>
          <w:szCs w:val="24"/>
        </w:rPr>
        <w:t>A resistência e a luta política pela direção inicial do projeto de reforma psiquiátrica antimanicomial tem que revitalizado e retomado, mantendo-se a vigilância e o engajamento</w:t>
      </w:r>
    </w:p>
    <w:p w14:paraId="089C98CF" w14:textId="77777777" w:rsidR="00FA4A63" w:rsidRPr="006F1CA8" w:rsidRDefault="00FA4A63" w:rsidP="00FA4A63">
      <w:pPr>
        <w:spacing w:line="360" w:lineRule="auto"/>
        <w:ind w:firstLine="709"/>
        <w:jc w:val="both"/>
        <w:rPr>
          <w:sz w:val="24"/>
          <w:szCs w:val="24"/>
        </w:rPr>
      </w:pPr>
    </w:p>
    <w:p w14:paraId="7A9EE7D5" w14:textId="77777777" w:rsidR="00FA4A63" w:rsidRDefault="00FA4A63" w:rsidP="00FA4A63">
      <w:pPr>
        <w:spacing w:line="360" w:lineRule="auto"/>
        <w:jc w:val="both"/>
        <w:rPr>
          <w:sz w:val="24"/>
          <w:szCs w:val="24"/>
        </w:rPr>
      </w:pPr>
    </w:p>
    <w:p w14:paraId="3D30BDC8" w14:textId="77777777" w:rsidR="00FA4A63" w:rsidRDefault="00FA4A63" w:rsidP="00FA4A63">
      <w:pPr>
        <w:spacing w:line="360" w:lineRule="auto"/>
        <w:jc w:val="both"/>
        <w:rPr>
          <w:sz w:val="24"/>
          <w:szCs w:val="24"/>
        </w:rPr>
      </w:pPr>
    </w:p>
    <w:p w14:paraId="11ED6E9C" w14:textId="77777777" w:rsidR="00FA4A63" w:rsidRDefault="00FA4A63" w:rsidP="00FA4A63">
      <w:pPr>
        <w:spacing w:line="360" w:lineRule="auto"/>
        <w:jc w:val="both"/>
        <w:rPr>
          <w:sz w:val="24"/>
          <w:szCs w:val="24"/>
        </w:rPr>
      </w:pPr>
    </w:p>
    <w:p w14:paraId="5CB91F0D" w14:textId="77777777" w:rsidR="00FA4A63" w:rsidRDefault="00FA4A63" w:rsidP="00FA4A63">
      <w:pPr>
        <w:spacing w:line="360" w:lineRule="auto"/>
        <w:jc w:val="both"/>
        <w:rPr>
          <w:sz w:val="24"/>
          <w:szCs w:val="24"/>
        </w:rPr>
      </w:pPr>
    </w:p>
    <w:p w14:paraId="44E92165" w14:textId="77777777" w:rsidR="00FA4A63" w:rsidRDefault="00FA4A63" w:rsidP="00FA4A63">
      <w:pPr>
        <w:spacing w:line="360" w:lineRule="auto"/>
        <w:jc w:val="both"/>
        <w:rPr>
          <w:sz w:val="24"/>
          <w:szCs w:val="24"/>
        </w:rPr>
      </w:pPr>
    </w:p>
    <w:p w14:paraId="3EB2FA35" w14:textId="77777777" w:rsidR="00FA4A63" w:rsidRDefault="00FA4A63" w:rsidP="00FA4A63">
      <w:pPr>
        <w:spacing w:line="360" w:lineRule="auto"/>
        <w:jc w:val="both"/>
        <w:rPr>
          <w:sz w:val="24"/>
          <w:szCs w:val="24"/>
        </w:rPr>
      </w:pPr>
    </w:p>
    <w:p w14:paraId="733586E9" w14:textId="77777777" w:rsidR="00FA4A63" w:rsidRDefault="00FA4A63" w:rsidP="00FA4A63">
      <w:pPr>
        <w:spacing w:line="360" w:lineRule="auto"/>
        <w:jc w:val="both"/>
        <w:rPr>
          <w:sz w:val="24"/>
          <w:szCs w:val="24"/>
        </w:rPr>
      </w:pPr>
    </w:p>
    <w:p w14:paraId="678599AB" w14:textId="77777777" w:rsidR="00FA4A63" w:rsidRDefault="00FA4A63" w:rsidP="00FA4A63">
      <w:pPr>
        <w:spacing w:line="360" w:lineRule="auto"/>
        <w:jc w:val="both"/>
        <w:rPr>
          <w:sz w:val="24"/>
          <w:szCs w:val="24"/>
        </w:rPr>
      </w:pPr>
    </w:p>
    <w:p w14:paraId="0B652D3C" w14:textId="77777777" w:rsidR="00FA4A63" w:rsidRDefault="00FA4A63" w:rsidP="00FA4A63">
      <w:pPr>
        <w:spacing w:line="360" w:lineRule="auto"/>
        <w:jc w:val="both"/>
        <w:rPr>
          <w:sz w:val="24"/>
          <w:szCs w:val="24"/>
        </w:rPr>
      </w:pPr>
    </w:p>
    <w:p w14:paraId="438510CB" w14:textId="77777777" w:rsidR="00FA4A63" w:rsidRPr="006F1CA8" w:rsidRDefault="00FA4A63" w:rsidP="00FA4A63">
      <w:pPr>
        <w:spacing w:line="360" w:lineRule="auto"/>
        <w:jc w:val="both"/>
        <w:rPr>
          <w:bCs/>
          <w:sz w:val="24"/>
          <w:szCs w:val="24"/>
        </w:rPr>
      </w:pPr>
      <w:r w:rsidRPr="006F1CA8">
        <w:rPr>
          <w:b/>
          <w:sz w:val="24"/>
          <w:szCs w:val="24"/>
        </w:rPr>
        <w:t xml:space="preserve">REFERÊNCIAS </w:t>
      </w:r>
    </w:p>
    <w:p w14:paraId="62E205D9" w14:textId="77777777" w:rsidR="00FA4A63" w:rsidRPr="006F1CA8" w:rsidRDefault="00FA4A63" w:rsidP="00FA4A63">
      <w:pPr>
        <w:spacing w:line="240" w:lineRule="auto"/>
        <w:jc w:val="both"/>
        <w:rPr>
          <w:sz w:val="24"/>
          <w:szCs w:val="24"/>
        </w:rPr>
      </w:pPr>
    </w:p>
    <w:p w14:paraId="14074853" w14:textId="77777777" w:rsidR="00FA4A63" w:rsidRDefault="00FA4A63" w:rsidP="00FA4A63">
      <w:pPr>
        <w:spacing w:line="240" w:lineRule="auto"/>
        <w:jc w:val="both"/>
        <w:rPr>
          <w:sz w:val="24"/>
          <w:szCs w:val="24"/>
        </w:rPr>
      </w:pPr>
      <w:r w:rsidRPr="006F1CA8">
        <w:rPr>
          <w:sz w:val="24"/>
          <w:szCs w:val="24"/>
        </w:rPr>
        <w:t xml:space="preserve">AMARANTE, Paulo. (org.). </w:t>
      </w:r>
      <w:r w:rsidRPr="006F1CA8">
        <w:rPr>
          <w:b/>
          <w:bCs/>
          <w:sz w:val="24"/>
          <w:szCs w:val="24"/>
        </w:rPr>
        <w:t>Loucos pela vida</w:t>
      </w:r>
      <w:r w:rsidRPr="006F1CA8">
        <w:rPr>
          <w:sz w:val="24"/>
          <w:szCs w:val="24"/>
        </w:rPr>
        <w:t xml:space="preserve"> – A trajetória da reforma psiquiátrica no Brasil. Rio de Janeiro: Panorama/ENSP, 1995.</w:t>
      </w:r>
    </w:p>
    <w:p w14:paraId="766E609B" w14:textId="77777777" w:rsidR="00FA4A63" w:rsidRPr="006F1CA8" w:rsidRDefault="00FA4A63" w:rsidP="00FA4A63">
      <w:pPr>
        <w:spacing w:line="240" w:lineRule="auto"/>
        <w:jc w:val="both"/>
        <w:rPr>
          <w:sz w:val="24"/>
          <w:szCs w:val="24"/>
        </w:rPr>
      </w:pPr>
    </w:p>
    <w:p w14:paraId="037D0CF4" w14:textId="77777777" w:rsidR="00FA4A63" w:rsidRDefault="00FA4A63" w:rsidP="00FA4A63">
      <w:pPr>
        <w:spacing w:line="240" w:lineRule="auto"/>
        <w:jc w:val="both"/>
        <w:rPr>
          <w:sz w:val="24"/>
          <w:szCs w:val="24"/>
        </w:rPr>
      </w:pPr>
      <w:r w:rsidRPr="006F1CA8">
        <w:rPr>
          <w:sz w:val="24"/>
          <w:szCs w:val="24"/>
        </w:rPr>
        <w:lastRenderedPageBreak/>
        <w:t xml:space="preserve">BRASIL. Ministério da Saúde. </w:t>
      </w:r>
      <w:r w:rsidRPr="006F1CA8">
        <w:rPr>
          <w:b/>
          <w:bCs/>
          <w:sz w:val="24"/>
          <w:szCs w:val="24"/>
        </w:rPr>
        <w:t>Legislação em saúde mental</w:t>
      </w:r>
      <w:r w:rsidRPr="006F1CA8">
        <w:rPr>
          <w:sz w:val="24"/>
          <w:szCs w:val="24"/>
        </w:rPr>
        <w:t>. 1990-2004. 5ª ed. Brasília-DF: MS, 2004.</w:t>
      </w:r>
    </w:p>
    <w:p w14:paraId="6F669CD1" w14:textId="77777777" w:rsidR="00FA4A63" w:rsidRPr="006F1CA8" w:rsidRDefault="00FA4A63" w:rsidP="00FA4A63">
      <w:pPr>
        <w:spacing w:line="240" w:lineRule="auto"/>
        <w:jc w:val="both"/>
        <w:rPr>
          <w:sz w:val="24"/>
          <w:szCs w:val="24"/>
        </w:rPr>
      </w:pPr>
    </w:p>
    <w:p w14:paraId="4E9AF643" w14:textId="77777777" w:rsidR="00FA4A63" w:rsidRDefault="00FA4A63" w:rsidP="00FA4A63">
      <w:pPr>
        <w:spacing w:line="240" w:lineRule="auto"/>
        <w:jc w:val="both"/>
        <w:rPr>
          <w:sz w:val="24"/>
          <w:szCs w:val="24"/>
        </w:rPr>
      </w:pPr>
      <w:r w:rsidRPr="006F1CA8">
        <w:rPr>
          <w:sz w:val="24"/>
          <w:szCs w:val="24"/>
        </w:rPr>
        <w:t xml:space="preserve">CARVALHO, Marta Evelin. </w:t>
      </w:r>
      <w:r w:rsidRPr="006F1CA8">
        <w:rPr>
          <w:b/>
          <w:bCs/>
          <w:sz w:val="24"/>
          <w:szCs w:val="24"/>
        </w:rPr>
        <w:t>Relatório do VI Encontro Piauiense da Luta Antimanicomial</w:t>
      </w:r>
      <w:r w:rsidRPr="006F1CA8">
        <w:rPr>
          <w:sz w:val="24"/>
          <w:szCs w:val="24"/>
        </w:rPr>
        <w:t>. Teresina, 2025.</w:t>
      </w:r>
    </w:p>
    <w:p w14:paraId="29E63764" w14:textId="77777777" w:rsidR="00FA4A63" w:rsidRPr="006F1CA8" w:rsidRDefault="00FA4A63" w:rsidP="00FA4A63">
      <w:pPr>
        <w:spacing w:line="240" w:lineRule="auto"/>
        <w:jc w:val="both"/>
        <w:rPr>
          <w:sz w:val="24"/>
          <w:szCs w:val="24"/>
        </w:rPr>
      </w:pPr>
    </w:p>
    <w:p w14:paraId="7FE7C301" w14:textId="77777777" w:rsidR="00FA4A63" w:rsidRDefault="00FA4A63" w:rsidP="00FA4A63">
      <w:pPr>
        <w:spacing w:line="240" w:lineRule="auto"/>
        <w:jc w:val="both"/>
        <w:rPr>
          <w:sz w:val="24"/>
          <w:szCs w:val="24"/>
        </w:rPr>
      </w:pPr>
      <w:r w:rsidRPr="006F1CA8">
        <w:rPr>
          <w:sz w:val="24"/>
          <w:szCs w:val="24"/>
        </w:rPr>
        <w:t xml:space="preserve">GOFFMAN, Erving. </w:t>
      </w:r>
      <w:r w:rsidRPr="006F1CA8">
        <w:rPr>
          <w:b/>
          <w:bCs/>
          <w:sz w:val="24"/>
          <w:szCs w:val="24"/>
        </w:rPr>
        <w:t>Manicômios, prisões e conventos</w:t>
      </w:r>
      <w:r w:rsidRPr="006F1CA8">
        <w:rPr>
          <w:sz w:val="24"/>
          <w:szCs w:val="24"/>
        </w:rPr>
        <w:t>.  São Paulo: Perspectiva, 1992.</w:t>
      </w:r>
    </w:p>
    <w:p w14:paraId="7930E8BB" w14:textId="77777777" w:rsidR="00FA4A63" w:rsidRPr="006F1CA8" w:rsidRDefault="00FA4A63" w:rsidP="00FA4A63">
      <w:pPr>
        <w:spacing w:line="240" w:lineRule="auto"/>
        <w:jc w:val="both"/>
        <w:rPr>
          <w:sz w:val="24"/>
          <w:szCs w:val="24"/>
        </w:rPr>
      </w:pPr>
    </w:p>
    <w:p w14:paraId="645D5960" w14:textId="77777777" w:rsidR="00FA4A63" w:rsidRDefault="00FA4A63" w:rsidP="00FA4A63">
      <w:pPr>
        <w:spacing w:line="240" w:lineRule="auto"/>
        <w:jc w:val="both"/>
        <w:rPr>
          <w:sz w:val="24"/>
          <w:szCs w:val="24"/>
        </w:rPr>
      </w:pPr>
      <w:r w:rsidRPr="006F1CA8">
        <w:rPr>
          <w:sz w:val="24"/>
          <w:szCs w:val="24"/>
        </w:rPr>
        <w:t xml:space="preserve">OLIVEIRA, Lucia Conde; PINHEIRO, Roseny. A participação nos conselhos de saúde e suas interfaces com a cultura política. </w:t>
      </w:r>
      <w:r w:rsidRPr="006F1CA8">
        <w:rPr>
          <w:b/>
          <w:bCs/>
          <w:sz w:val="24"/>
          <w:szCs w:val="24"/>
        </w:rPr>
        <w:t>Ciência &amp; Saúde Coletiva</w:t>
      </w:r>
      <w:r w:rsidRPr="006F1CA8">
        <w:rPr>
          <w:sz w:val="24"/>
          <w:szCs w:val="24"/>
        </w:rPr>
        <w:t>. 15(5)2455-2464, 2010.</w:t>
      </w:r>
    </w:p>
    <w:p w14:paraId="6C3A930F" w14:textId="77777777" w:rsidR="00FA4A63" w:rsidRPr="006F1CA8" w:rsidRDefault="00FA4A63" w:rsidP="00FA4A63">
      <w:pPr>
        <w:spacing w:line="240" w:lineRule="auto"/>
        <w:jc w:val="both"/>
        <w:rPr>
          <w:sz w:val="24"/>
          <w:szCs w:val="24"/>
        </w:rPr>
      </w:pPr>
    </w:p>
    <w:p w14:paraId="1E28A8D4" w14:textId="77777777" w:rsidR="00FA4A63" w:rsidRPr="006F1CA8" w:rsidRDefault="00FA4A63" w:rsidP="00FA4A63">
      <w:pPr>
        <w:spacing w:line="240" w:lineRule="auto"/>
        <w:jc w:val="both"/>
        <w:rPr>
          <w:sz w:val="24"/>
          <w:szCs w:val="24"/>
        </w:rPr>
      </w:pPr>
      <w:r w:rsidRPr="006F1CA8">
        <w:rPr>
          <w:sz w:val="24"/>
          <w:szCs w:val="24"/>
        </w:rPr>
        <w:t xml:space="preserve">GUIMARÃES, Thais de Andrade Alves. </w:t>
      </w:r>
      <w:r w:rsidRPr="006F1CA8">
        <w:rPr>
          <w:b/>
          <w:bCs/>
          <w:sz w:val="24"/>
          <w:szCs w:val="24"/>
        </w:rPr>
        <w:t>Participação social na Política de Álcool e outras drogas</w:t>
      </w:r>
      <w:r w:rsidRPr="006F1CA8">
        <w:rPr>
          <w:sz w:val="24"/>
          <w:szCs w:val="24"/>
        </w:rPr>
        <w:t>: contexto piauiense. Teresina: EDUFPI, 2023.</w:t>
      </w:r>
    </w:p>
    <w:p w14:paraId="18E18298" w14:textId="77777777" w:rsidR="00FA4A63" w:rsidRPr="006F1CA8" w:rsidRDefault="00FA4A63" w:rsidP="00FA4A63">
      <w:pPr>
        <w:spacing w:line="240" w:lineRule="auto"/>
        <w:jc w:val="both"/>
        <w:rPr>
          <w:sz w:val="24"/>
          <w:szCs w:val="24"/>
        </w:rPr>
      </w:pPr>
    </w:p>
    <w:p w14:paraId="1E5BAFD4" w14:textId="77777777" w:rsidR="00FA4A63" w:rsidRDefault="00FA4A63" w:rsidP="00FA4A63">
      <w:pPr>
        <w:spacing w:line="240" w:lineRule="auto"/>
        <w:jc w:val="both"/>
        <w:rPr>
          <w:sz w:val="24"/>
          <w:szCs w:val="24"/>
        </w:rPr>
      </w:pPr>
      <w:r w:rsidRPr="006F1CA8">
        <w:rPr>
          <w:sz w:val="24"/>
          <w:szCs w:val="24"/>
        </w:rPr>
        <w:t xml:space="preserve">OLIVEIRA, Edmar. </w:t>
      </w:r>
      <w:r w:rsidRPr="006F1CA8">
        <w:rPr>
          <w:b/>
          <w:bCs/>
          <w:sz w:val="24"/>
          <w:szCs w:val="24"/>
        </w:rPr>
        <w:t>A incrível história de von Meduna e a filha do sol do Equador</w:t>
      </w:r>
      <w:r w:rsidRPr="006F1CA8">
        <w:rPr>
          <w:sz w:val="24"/>
          <w:szCs w:val="24"/>
        </w:rPr>
        <w:t>. Teresina: Oficina da Palavra, 2011.</w:t>
      </w:r>
    </w:p>
    <w:p w14:paraId="3E750ABE" w14:textId="77777777" w:rsidR="00FA4A63" w:rsidRPr="006F1CA8" w:rsidRDefault="00FA4A63" w:rsidP="00FA4A63">
      <w:pPr>
        <w:spacing w:line="240" w:lineRule="auto"/>
        <w:jc w:val="both"/>
        <w:rPr>
          <w:sz w:val="24"/>
          <w:szCs w:val="24"/>
        </w:rPr>
      </w:pPr>
    </w:p>
    <w:p w14:paraId="2B29F3BD" w14:textId="77777777" w:rsidR="00FA4A63" w:rsidRDefault="00FA4A63" w:rsidP="00FA4A63">
      <w:pPr>
        <w:spacing w:line="240" w:lineRule="auto"/>
        <w:jc w:val="both"/>
        <w:rPr>
          <w:sz w:val="24"/>
          <w:szCs w:val="24"/>
        </w:rPr>
      </w:pPr>
      <w:r w:rsidRPr="006F1CA8">
        <w:rPr>
          <w:sz w:val="24"/>
          <w:szCs w:val="24"/>
        </w:rPr>
        <w:t>PASSOS, Rachel Gouve</w:t>
      </w:r>
      <w:r>
        <w:rPr>
          <w:sz w:val="24"/>
          <w:szCs w:val="24"/>
        </w:rPr>
        <w:t xml:space="preserve">ia. Luta antimanicomial no cenário contemporâneo: desafios atuais frente a reação conservadora. </w:t>
      </w:r>
      <w:r w:rsidRPr="008F5C5F">
        <w:rPr>
          <w:b/>
          <w:bCs/>
          <w:sz w:val="24"/>
          <w:szCs w:val="24"/>
        </w:rPr>
        <w:t>Socied. em Deb.</w:t>
      </w:r>
      <w:r>
        <w:rPr>
          <w:sz w:val="24"/>
          <w:szCs w:val="24"/>
        </w:rPr>
        <w:t xml:space="preserve"> (Pelotas), v. 23, n.2, p.55-75, jul/dez. 2017.</w:t>
      </w:r>
    </w:p>
    <w:p w14:paraId="037875E7" w14:textId="77777777" w:rsidR="00FA4A63" w:rsidRPr="006F1CA8" w:rsidRDefault="00FA4A63" w:rsidP="00FA4A63">
      <w:pPr>
        <w:spacing w:line="240" w:lineRule="auto"/>
        <w:jc w:val="both"/>
        <w:rPr>
          <w:sz w:val="24"/>
          <w:szCs w:val="24"/>
        </w:rPr>
      </w:pPr>
    </w:p>
    <w:p w14:paraId="3F4FC309" w14:textId="77777777" w:rsidR="00FA4A63" w:rsidRDefault="00FA4A63" w:rsidP="00FA4A63">
      <w:pPr>
        <w:spacing w:line="360" w:lineRule="auto"/>
        <w:jc w:val="both"/>
        <w:rPr>
          <w:sz w:val="24"/>
          <w:szCs w:val="24"/>
        </w:rPr>
      </w:pPr>
      <w:r w:rsidRPr="006F1CA8">
        <w:rPr>
          <w:sz w:val="24"/>
          <w:szCs w:val="24"/>
        </w:rPr>
        <w:t xml:space="preserve">ROSA, Lucia Cristina dos Santos; CARVALHO, Marta Evelin. A reforma psiquiátrica do Piauí na primeira década do século XXI. In: ROSA, Lucia Cristina dos Santos </w:t>
      </w:r>
      <w:r w:rsidRPr="006F1CA8">
        <w:rPr>
          <w:b/>
          <w:bCs/>
          <w:sz w:val="24"/>
          <w:szCs w:val="24"/>
        </w:rPr>
        <w:t>(Con)textos em saúde mental</w:t>
      </w:r>
      <w:r w:rsidRPr="006F1CA8">
        <w:rPr>
          <w:sz w:val="24"/>
          <w:szCs w:val="24"/>
        </w:rPr>
        <w:t xml:space="preserve">: saberes, práticas e histórias de vida. Teresina: Edufpi, p. 223-230, 2008. </w:t>
      </w:r>
    </w:p>
    <w:p w14:paraId="71F9F8DF" w14:textId="77777777" w:rsidR="00FA4A63" w:rsidRPr="006F1CA8" w:rsidRDefault="00FA4A63" w:rsidP="00FA4A63">
      <w:pPr>
        <w:spacing w:line="360" w:lineRule="auto"/>
        <w:jc w:val="both"/>
        <w:rPr>
          <w:sz w:val="24"/>
          <w:szCs w:val="24"/>
        </w:rPr>
      </w:pPr>
    </w:p>
    <w:p w14:paraId="1DCD8397" w14:textId="77777777" w:rsidR="00FA4A63" w:rsidRDefault="00FA4A63" w:rsidP="00FA4A63">
      <w:pPr>
        <w:spacing w:line="240" w:lineRule="auto"/>
        <w:jc w:val="both"/>
        <w:rPr>
          <w:sz w:val="24"/>
          <w:szCs w:val="24"/>
        </w:rPr>
      </w:pPr>
      <w:r w:rsidRPr="006F1CA8">
        <w:rPr>
          <w:sz w:val="24"/>
          <w:szCs w:val="24"/>
        </w:rPr>
        <w:t xml:space="preserve">ROSA, Lucia Cristina dos Santos. </w:t>
      </w:r>
      <w:r w:rsidRPr="006F1CA8">
        <w:rPr>
          <w:b/>
          <w:bCs/>
          <w:sz w:val="24"/>
          <w:szCs w:val="24"/>
        </w:rPr>
        <w:t>Transtorno mental e o cuidado na família.</w:t>
      </w:r>
      <w:r w:rsidRPr="006F1CA8">
        <w:rPr>
          <w:sz w:val="24"/>
          <w:szCs w:val="24"/>
        </w:rPr>
        <w:t xml:space="preserve"> São Paulo: Cortez, 2003.</w:t>
      </w:r>
    </w:p>
    <w:p w14:paraId="703E0601" w14:textId="77777777" w:rsidR="00FA4A63" w:rsidRDefault="00FA4A63" w:rsidP="00FA4A63">
      <w:pPr>
        <w:spacing w:line="240" w:lineRule="auto"/>
        <w:jc w:val="both"/>
        <w:rPr>
          <w:sz w:val="24"/>
          <w:szCs w:val="24"/>
        </w:rPr>
      </w:pPr>
    </w:p>
    <w:p w14:paraId="16793F83" w14:textId="77777777" w:rsidR="00FA4A63" w:rsidRDefault="00FA4A63" w:rsidP="00FA4A63">
      <w:pPr>
        <w:spacing w:line="240" w:lineRule="auto"/>
        <w:jc w:val="both"/>
        <w:rPr>
          <w:sz w:val="24"/>
          <w:szCs w:val="24"/>
        </w:rPr>
      </w:pPr>
    </w:p>
    <w:p w14:paraId="448654D7" w14:textId="77777777" w:rsidR="00FA4A63" w:rsidRDefault="00FA4A63" w:rsidP="00FA4A63">
      <w:pPr>
        <w:spacing w:line="240" w:lineRule="auto"/>
        <w:jc w:val="both"/>
        <w:rPr>
          <w:sz w:val="24"/>
          <w:szCs w:val="24"/>
        </w:rPr>
      </w:pPr>
    </w:p>
    <w:p w14:paraId="7071842F" w14:textId="77777777" w:rsidR="00FA4A63" w:rsidRDefault="00FA4A63" w:rsidP="00FA4A63">
      <w:pPr>
        <w:spacing w:line="240" w:lineRule="auto"/>
        <w:jc w:val="both"/>
        <w:rPr>
          <w:sz w:val="24"/>
          <w:szCs w:val="24"/>
        </w:rPr>
      </w:pPr>
    </w:p>
    <w:p w14:paraId="6BD1272D" w14:textId="77777777" w:rsidR="009E532D" w:rsidRDefault="009E532D"/>
    <w:sectPr w:rsidR="009E532D"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F28A8" w14:textId="77777777" w:rsidR="00487447" w:rsidRDefault="00487447">
      <w:pPr>
        <w:spacing w:line="240" w:lineRule="auto"/>
      </w:pPr>
      <w:r>
        <w:separator/>
      </w:r>
    </w:p>
  </w:endnote>
  <w:endnote w:type="continuationSeparator" w:id="0">
    <w:p w14:paraId="1068BE2F" w14:textId="77777777" w:rsidR="00487447" w:rsidRDefault="00487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22C71" w14:textId="77777777" w:rsidR="00487447" w:rsidRDefault="00487447">
      <w:pPr>
        <w:spacing w:line="240" w:lineRule="auto"/>
      </w:pPr>
      <w:r>
        <w:separator/>
      </w:r>
    </w:p>
  </w:footnote>
  <w:footnote w:type="continuationSeparator" w:id="0">
    <w:p w14:paraId="65FA0C2C" w14:textId="77777777" w:rsidR="00487447" w:rsidRDefault="00487447">
      <w:pPr>
        <w:spacing w:line="240" w:lineRule="auto"/>
      </w:pPr>
      <w:r>
        <w:continuationSeparator/>
      </w:r>
    </w:p>
  </w:footnote>
  <w:footnote w:id="1">
    <w:p w14:paraId="778CE8F0" w14:textId="664B9E12" w:rsidR="00A153D6" w:rsidRDefault="00A153D6">
      <w:pPr>
        <w:pStyle w:val="Textodenotaderodap"/>
      </w:pPr>
      <w:r>
        <w:rPr>
          <w:rStyle w:val="Refdenotaderodap"/>
        </w:rPr>
        <w:footnoteRef/>
      </w:r>
      <w:r>
        <w:t xml:space="preserve"> Universidade Federal do Piauí, Doutora em Serviço Social UFRJ. Email: </w:t>
      </w:r>
      <w:hyperlink r:id="rId1" w:history="1">
        <w:r w:rsidRPr="002F00D2">
          <w:rPr>
            <w:rStyle w:val="Hyperlink"/>
          </w:rPr>
          <w:t>luciacsrosa@gmail.com</w:t>
        </w:r>
      </w:hyperlink>
      <w:r>
        <w:t xml:space="preserve"> </w:t>
      </w:r>
    </w:p>
  </w:footnote>
  <w:footnote w:id="2">
    <w:p w14:paraId="132D4E72" w14:textId="78BB54B9" w:rsidR="00A153D6" w:rsidRDefault="00A153D6">
      <w:pPr>
        <w:pStyle w:val="Textodenotaderodap"/>
      </w:pPr>
      <w:r>
        <w:rPr>
          <w:rStyle w:val="Refdenotaderodap"/>
        </w:rPr>
        <w:footnoteRef/>
      </w:r>
      <w:r>
        <w:t xml:space="preserve"> Fundação Municipal de Saúde/Capsad, Meste em saúde da família FIOCRUZ. E.mail: </w:t>
      </w:r>
      <w:hyperlink r:id="rId2" w:history="1">
        <w:r w:rsidRPr="002F00D2">
          <w:rPr>
            <w:rStyle w:val="Hyperlink"/>
          </w:rPr>
          <w:t>martaevelin.pi@hotmail.com</w:t>
        </w:r>
      </w:hyperlink>
      <w:r>
        <w:t xml:space="preserve"> </w:t>
      </w:r>
    </w:p>
  </w:footnote>
  <w:footnote w:id="3">
    <w:p w14:paraId="48B320B3" w14:textId="5485DED7" w:rsidR="00A153D6" w:rsidRDefault="00A153D6">
      <w:pPr>
        <w:pStyle w:val="Textodenotaderodap"/>
      </w:pPr>
      <w:r>
        <w:rPr>
          <w:rStyle w:val="Refdenotaderodap"/>
        </w:rPr>
        <w:footnoteRef/>
      </w:r>
      <w:r>
        <w:t xml:space="preserve"> Universidade Federal do Piauí. Doutora em Politicas Publicas UFPI. E.mail: </w:t>
      </w:r>
      <w:hyperlink r:id="rId3" w:history="1">
        <w:r w:rsidRPr="002F00D2">
          <w:rPr>
            <w:rStyle w:val="Hyperlink"/>
          </w:rPr>
          <w:t>thais.guimaraes@ufpi.edu.br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E9DE" w14:textId="583443B0" w:rsidR="00FF4348" w:rsidRDefault="00FA4A63">
    <w:r>
      <w:rPr>
        <w:noProof/>
      </w:rPr>
      <w:drawing>
        <wp:anchor distT="114300" distB="114300" distL="114300" distR="114300" simplePos="0" relativeHeight="251659264" behindDoc="1" locked="0" layoutInCell="1" allowOverlap="1" wp14:anchorId="4DE8F53C" wp14:editId="266A5464">
          <wp:simplePos x="0" y="0"/>
          <wp:positionH relativeFrom="page">
            <wp:posOffset>0</wp:posOffset>
          </wp:positionH>
          <wp:positionV relativeFrom="page">
            <wp:posOffset>6985</wp:posOffset>
          </wp:positionV>
          <wp:extent cx="5761990" cy="81724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990" cy="817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41508"/>
    <w:multiLevelType w:val="hybridMultilevel"/>
    <w:tmpl w:val="247AE9CC"/>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525E399A"/>
    <w:multiLevelType w:val="hybridMultilevel"/>
    <w:tmpl w:val="1DB61B0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63"/>
    <w:rsid w:val="002D5FAA"/>
    <w:rsid w:val="00487447"/>
    <w:rsid w:val="004A765D"/>
    <w:rsid w:val="00652904"/>
    <w:rsid w:val="009E532D"/>
    <w:rsid w:val="00A153D6"/>
    <w:rsid w:val="00D95422"/>
    <w:rsid w:val="00FA4A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A56C"/>
  <w15:chartTrackingRefBased/>
  <w15:docId w15:val="{982137B2-EF97-42D4-8961-A7883FE7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63"/>
    <w:pPr>
      <w:spacing w:after="0" w:line="276" w:lineRule="auto"/>
    </w:pPr>
    <w:rPr>
      <w:rFonts w:ascii="Arial" w:eastAsia="Arial" w:hAnsi="Arial" w:cs="Arial"/>
      <w:lang w:eastAsia="pt-BR"/>
    </w:rPr>
  </w:style>
  <w:style w:type="paragraph" w:styleId="Ttulo1">
    <w:name w:val="heading 1"/>
    <w:basedOn w:val="Normal"/>
    <w:next w:val="Normal"/>
    <w:link w:val="Ttulo1Char"/>
    <w:uiPriority w:val="9"/>
    <w:qFormat/>
    <w:rsid w:val="00FA4A63"/>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rsid w:val="00FA4A63"/>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rsid w:val="00FA4A63"/>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rsid w:val="00FA4A63"/>
    <w:pPr>
      <w:keepNext/>
      <w:keepLines/>
      <w:spacing w:before="280" w:after="80"/>
      <w:outlineLvl w:val="3"/>
    </w:pPr>
    <w:rPr>
      <w:color w:val="666666"/>
      <w:sz w:val="24"/>
      <w:szCs w:val="24"/>
    </w:rPr>
  </w:style>
  <w:style w:type="paragraph" w:styleId="Ttulo5">
    <w:name w:val="heading 5"/>
    <w:basedOn w:val="Normal"/>
    <w:next w:val="Normal"/>
    <w:link w:val="Ttulo5Char"/>
    <w:uiPriority w:val="9"/>
    <w:semiHidden/>
    <w:unhideWhenUsed/>
    <w:qFormat/>
    <w:rsid w:val="00FA4A63"/>
    <w:pPr>
      <w:keepNext/>
      <w:keepLines/>
      <w:spacing w:before="240" w:after="80"/>
      <w:outlineLvl w:val="4"/>
    </w:pPr>
    <w:rPr>
      <w:color w:val="666666"/>
    </w:rPr>
  </w:style>
  <w:style w:type="paragraph" w:styleId="Ttulo6">
    <w:name w:val="heading 6"/>
    <w:basedOn w:val="Normal"/>
    <w:next w:val="Normal"/>
    <w:link w:val="Ttulo6Char"/>
    <w:uiPriority w:val="9"/>
    <w:semiHidden/>
    <w:unhideWhenUsed/>
    <w:qFormat/>
    <w:rsid w:val="00FA4A63"/>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A4A63"/>
    <w:rPr>
      <w:rFonts w:ascii="Arial" w:eastAsia="Arial" w:hAnsi="Arial" w:cs="Arial"/>
      <w:sz w:val="40"/>
      <w:szCs w:val="40"/>
      <w:lang w:eastAsia="pt-BR"/>
    </w:rPr>
  </w:style>
  <w:style w:type="character" w:customStyle="1" w:styleId="Ttulo2Char">
    <w:name w:val="Título 2 Char"/>
    <w:basedOn w:val="Fontepargpadro"/>
    <w:link w:val="Ttulo2"/>
    <w:uiPriority w:val="9"/>
    <w:semiHidden/>
    <w:rsid w:val="00FA4A63"/>
    <w:rPr>
      <w:rFonts w:ascii="Arial" w:eastAsia="Arial" w:hAnsi="Arial" w:cs="Arial"/>
      <w:sz w:val="32"/>
      <w:szCs w:val="32"/>
      <w:lang w:eastAsia="pt-BR"/>
    </w:rPr>
  </w:style>
  <w:style w:type="character" w:customStyle="1" w:styleId="Ttulo3Char">
    <w:name w:val="Título 3 Char"/>
    <w:basedOn w:val="Fontepargpadro"/>
    <w:link w:val="Ttulo3"/>
    <w:uiPriority w:val="9"/>
    <w:semiHidden/>
    <w:rsid w:val="00FA4A63"/>
    <w:rPr>
      <w:rFonts w:ascii="Arial" w:eastAsia="Arial" w:hAnsi="Arial" w:cs="Arial"/>
      <w:color w:val="434343"/>
      <w:sz w:val="28"/>
      <w:szCs w:val="28"/>
      <w:lang w:eastAsia="pt-BR"/>
    </w:rPr>
  </w:style>
  <w:style w:type="character" w:customStyle="1" w:styleId="Ttulo4Char">
    <w:name w:val="Título 4 Char"/>
    <w:basedOn w:val="Fontepargpadro"/>
    <w:link w:val="Ttulo4"/>
    <w:uiPriority w:val="9"/>
    <w:semiHidden/>
    <w:rsid w:val="00FA4A63"/>
    <w:rPr>
      <w:rFonts w:ascii="Arial" w:eastAsia="Arial" w:hAnsi="Arial" w:cs="Arial"/>
      <w:color w:val="666666"/>
      <w:sz w:val="24"/>
      <w:szCs w:val="24"/>
      <w:lang w:eastAsia="pt-BR"/>
    </w:rPr>
  </w:style>
  <w:style w:type="character" w:customStyle="1" w:styleId="Ttulo5Char">
    <w:name w:val="Título 5 Char"/>
    <w:basedOn w:val="Fontepargpadro"/>
    <w:link w:val="Ttulo5"/>
    <w:uiPriority w:val="9"/>
    <w:semiHidden/>
    <w:rsid w:val="00FA4A63"/>
    <w:rPr>
      <w:rFonts w:ascii="Arial" w:eastAsia="Arial" w:hAnsi="Arial" w:cs="Arial"/>
      <w:color w:val="666666"/>
      <w:lang w:eastAsia="pt-BR"/>
    </w:rPr>
  </w:style>
  <w:style w:type="character" w:customStyle="1" w:styleId="Ttulo6Char">
    <w:name w:val="Título 6 Char"/>
    <w:basedOn w:val="Fontepargpadro"/>
    <w:link w:val="Ttulo6"/>
    <w:uiPriority w:val="9"/>
    <w:semiHidden/>
    <w:rsid w:val="00FA4A63"/>
    <w:rPr>
      <w:rFonts w:ascii="Arial" w:eastAsia="Arial" w:hAnsi="Arial" w:cs="Arial"/>
      <w:i/>
      <w:color w:val="666666"/>
      <w:lang w:eastAsia="pt-BR"/>
    </w:rPr>
  </w:style>
  <w:style w:type="table" w:customStyle="1" w:styleId="TableNormal">
    <w:name w:val="Table Normal"/>
    <w:rsid w:val="00FA4A63"/>
    <w:pPr>
      <w:spacing w:after="0" w:line="276" w:lineRule="auto"/>
    </w:pPr>
    <w:rPr>
      <w:rFonts w:ascii="Arial" w:eastAsia="Arial" w:hAnsi="Arial" w:cs="Arial"/>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FA4A63"/>
    <w:pPr>
      <w:keepNext/>
      <w:keepLines/>
      <w:spacing w:after="60"/>
    </w:pPr>
    <w:rPr>
      <w:sz w:val="52"/>
      <w:szCs w:val="52"/>
    </w:rPr>
  </w:style>
  <w:style w:type="character" w:customStyle="1" w:styleId="TtuloChar">
    <w:name w:val="Título Char"/>
    <w:basedOn w:val="Fontepargpadro"/>
    <w:link w:val="Ttulo"/>
    <w:uiPriority w:val="10"/>
    <w:rsid w:val="00FA4A63"/>
    <w:rPr>
      <w:rFonts w:ascii="Arial" w:eastAsia="Arial" w:hAnsi="Arial" w:cs="Arial"/>
      <w:sz w:val="52"/>
      <w:szCs w:val="52"/>
      <w:lang w:eastAsia="pt-BR"/>
    </w:rPr>
  </w:style>
  <w:style w:type="paragraph" w:styleId="Subttulo">
    <w:name w:val="Subtitle"/>
    <w:basedOn w:val="Normal"/>
    <w:next w:val="Normal"/>
    <w:link w:val="SubttuloChar"/>
    <w:uiPriority w:val="11"/>
    <w:qFormat/>
    <w:rsid w:val="00FA4A63"/>
    <w:pPr>
      <w:keepNext/>
      <w:keepLines/>
      <w:spacing w:after="320"/>
    </w:pPr>
    <w:rPr>
      <w:color w:val="666666"/>
      <w:sz w:val="30"/>
      <w:szCs w:val="30"/>
    </w:rPr>
  </w:style>
  <w:style w:type="character" w:customStyle="1" w:styleId="SubttuloChar">
    <w:name w:val="Subtítulo Char"/>
    <w:basedOn w:val="Fontepargpadro"/>
    <w:link w:val="Subttulo"/>
    <w:uiPriority w:val="11"/>
    <w:rsid w:val="00FA4A63"/>
    <w:rPr>
      <w:rFonts w:ascii="Arial" w:eastAsia="Arial" w:hAnsi="Arial" w:cs="Arial"/>
      <w:color w:val="666666"/>
      <w:sz w:val="30"/>
      <w:szCs w:val="30"/>
      <w:lang w:eastAsia="pt-BR"/>
    </w:rPr>
  </w:style>
  <w:style w:type="paragraph" w:styleId="Cabealho">
    <w:name w:val="header"/>
    <w:basedOn w:val="Normal"/>
    <w:link w:val="CabealhoChar"/>
    <w:uiPriority w:val="99"/>
    <w:unhideWhenUsed/>
    <w:rsid w:val="00FA4A63"/>
    <w:pPr>
      <w:tabs>
        <w:tab w:val="center" w:pos="4252"/>
        <w:tab w:val="right" w:pos="8504"/>
      </w:tabs>
      <w:spacing w:line="240" w:lineRule="auto"/>
    </w:pPr>
  </w:style>
  <w:style w:type="character" w:customStyle="1" w:styleId="CabealhoChar">
    <w:name w:val="Cabeçalho Char"/>
    <w:basedOn w:val="Fontepargpadro"/>
    <w:link w:val="Cabealho"/>
    <w:uiPriority w:val="99"/>
    <w:rsid w:val="00FA4A63"/>
    <w:rPr>
      <w:rFonts w:ascii="Arial" w:eastAsia="Arial" w:hAnsi="Arial" w:cs="Arial"/>
      <w:lang w:eastAsia="pt-BR"/>
    </w:rPr>
  </w:style>
  <w:style w:type="paragraph" w:styleId="Rodap">
    <w:name w:val="footer"/>
    <w:basedOn w:val="Normal"/>
    <w:link w:val="RodapChar"/>
    <w:uiPriority w:val="99"/>
    <w:unhideWhenUsed/>
    <w:rsid w:val="00FA4A63"/>
    <w:pPr>
      <w:tabs>
        <w:tab w:val="center" w:pos="4252"/>
        <w:tab w:val="right" w:pos="8504"/>
      </w:tabs>
      <w:spacing w:line="240" w:lineRule="auto"/>
    </w:pPr>
  </w:style>
  <w:style w:type="character" w:customStyle="1" w:styleId="RodapChar">
    <w:name w:val="Rodapé Char"/>
    <w:basedOn w:val="Fontepargpadro"/>
    <w:link w:val="Rodap"/>
    <w:uiPriority w:val="99"/>
    <w:rsid w:val="00FA4A63"/>
    <w:rPr>
      <w:rFonts w:ascii="Arial" w:eastAsia="Arial" w:hAnsi="Arial" w:cs="Arial"/>
      <w:lang w:eastAsia="pt-BR"/>
    </w:rPr>
  </w:style>
  <w:style w:type="paragraph" w:styleId="Pr-formataoHTML">
    <w:name w:val="HTML Preformatted"/>
    <w:basedOn w:val="Normal"/>
    <w:link w:val="Pr-formataoHTMLChar"/>
    <w:uiPriority w:val="99"/>
    <w:unhideWhenUsed/>
    <w:rsid w:val="00FA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FA4A63"/>
    <w:rPr>
      <w:rFonts w:ascii="Courier New" w:eastAsia="Times New Roman" w:hAnsi="Courier New" w:cs="Courier New"/>
      <w:sz w:val="20"/>
      <w:szCs w:val="20"/>
      <w:lang w:eastAsia="pt-BR"/>
    </w:rPr>
  </w:style>
  <w:style w:type="character" w:customStyle="1" w:styleId="y2iqfc">
    <w:name w:val="y2iqfc"/>
    <w:basedOn w:val="Fontepargpadro"/>
    <w:rsid w:val="00FA4A63"/>
  </w:style>
  <w:style w:type="paragraph" w:styleId="PargrafodaLista">
    <w:name w:val="List Paragraph"/>
    <w:basedOn w:val="Normal"/>
    <w:uiPriority w:val="34"/>
    <w:qFormat/>
    <w:rsid w:val="00FA4A63"/>
    <w:pPr>
      <w:spacing w:after="160" w:line="259" w:lineRule="auto"/>
      <w:ind w:left="720"/>
      <w:contextualSpacing/>
    </w:pPr>
    <w:rPr>
      <w:rFonts w:ascii="Calibri" w:eastAsia="Calibri" w:hAnsi="Calibri" w:cs="Times New Roman"/>
      <w:lang w:eastAsia="en-US"/>
    </w:rPr>
  </w:style>
  <w:style w:type="character" w:styleId="Refdecomentrio">
    <w:name w:val="annotation reference"/>
    <w:uiPriority w:val="99"/>
    <w:semiHidden/>
    <w:unhideWhenUsed/>
    <w:rsid w:val="00FA4A63"/>
    <w:rPr>
      <w:sz w:val="16"/>
      <w:szCs w:val="16"/>
    </w:rPr>
  </w:style>
  <w:style w:type="paragraph" w:styleId="Textodecomentrio">
    <w:name w:val="annotation text"/>
    <w:basedOn w:val="Normal"/>
    <w:link w:val="TextodecomentrioChar"/>
    <w:uiPriority w:val="99"/>
    <w:semiHidden/>
    <w:unhideWhenUsed/>
    <w:rsid w:val="00FA4A63"/>
    <w:rPr>
      <w:sz w:val="20"/>
      <w:szCs w:val="20"/>
    </w:rPr>
  </w:style>
  <w:style w:type="character" w:customStyle="1" w:styleId="TextodecomentrioChar">
    <w:name w:val="Texto de comentário Char"/>
    <w:basedOn w:val="Fontepargpadro"/>
    <w:link w:val="Textodecomentrio"/>
    <w:uiPriority w:val="99"/>
    <w:semiHidden/>
    <w:rsid w:val="00FA4A63"/>
    <w:rPr>
      <w:rFonts w:ascii="Arial" w:eastAsia="Arial"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A4A63"/>
    <w:rPr>
      <w:b/>
      <w:bCs/>
    </w:rPr>
  </w:style>
  <w:style w:type="character" w:customStyle="1" w:styleId="AssuntodocomentrioChar">
    <w:name w:val="Assunto do comentário Char"/>
    <w:basedOn w:val="TextodecomentrioChar"/>
    <w:link w:val="Assuntodocomentrio"/>
    <w:uiPriority w:val="99"/>
    <w:semiHidden/>
    <w:rsid w:val="00FA4A63"/>
    <w:rPr>
      <w:rFonts w:ascii="Arial" w:eastAsia="Arial" w:hAnsi="Arial" w:cs="Arial"/>
      <w:b/>
      <w:bCs/>
      <w:sz w:val="20"/>
      <w:szCs w:val="20"/>
      <w:lang w:eastAsia="pt-BR"/>
    </w:rPr>
  </w:style>
  <w:style w:type="paragraph" w:styleId="Textodenotaderodap">
    <w:name w:val="footnote text"/>
    <w:basedOn w:val="Normal"/>
    <w:link w:val="TextodenotaderodapChar"/>
    <w:uiPriority w:val="99"/>
    <w:semiHidden/>
    <w:unhideWhenUsed/>
    <w:rsid w:val="00A153D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153D6"/>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A153D6"/>
    <w:rPr>
      <w:vertAlign w:val="superscript"/>
    </w:rPr>
  </w:style>
  <w:style w:type="character" w:styleId="Hyperlink">
    <w:name w:val="Hyperlink"/>
    <w:basedOn w:val="Fontepargpadro"/>
    <w:uiPriority w:val="99"/>
    <w:unhideWhenUsed/>
    <w:rsid w:val="00A153D6"/>
    <w:rPr>
      <w:color w:val="0563C1" w:themeColor="hyperlink"/>
      <w:u w:val="single"/>
    </w:rPr>
  </w:style>
  <w:style w:type="character" w:styleId="MenoPendente">
    <w:name w:val="Unresolved Mention"/>
    <w:basedOn w:val="Fontepargpadro"/>
    <w:uiPriority w:val="99"/>
    <w:semiHidden/>
    <w:unhideWhenUsed/>
    <w:rsid w:val="00A15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thais.guimaraes@ufpi.edu.br" TargetMode="External"/><Relationship Id="rId2" Type="http://schemas.openxmlformats.org/officeDocument/2006/relationships/hyperlink" Target="mailto:martaevelin.pi@hotmail.com" TargetMode="External"/><Relationship Id="rId1" Type="http://schemas.openxmlformats.org/officeDocument/2006/relationships/hyperlink" Target="mailto:luciacsros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BF8CC-5616-45A8-9A48-884A8DF4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3662</Words>
  <Characters>19779</Characters>
  <Application>Microsoft Office Word</Application>
  <DocSecurity>0</DocSecurity>
  <Lines>164</Lines>
  <Paragraphs>46</Paragraphs>
  <ScaleCrop>false</ScaleCrop>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dc:creator>
  <cp:keywords/>
  <dc:description/>
  <cp:lastModifiedBy>lucia</cp:lastModifiedBy>
  <cp:revision>7</cp:revision>
  <dcterms:created xsi:type="dcterms:W3CDTF">2025-06-04T03:28:00Z</dcterms:created>
  <dcterms:modified xsi:type="dcterms:W3CDTF">2025-06-04T03:38:00Z</dcterms:modified>
</cp:coreProperties>
</file>