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99DF7" w14:textId="3A6076B6" w:rsidR="00B927F0" w:rsidRDefault="00B927F0" w:rsidP="00B927F0">
      <w:pPr>
        <w:spacing w:line="240" w:lineRule="auto"/>
        <w:jc w:val="center"/>
        <w:rPr>
          <w:b/>
          <w:sz w:val="24"/>
          <w:szCs w:val="24"/>
        </w:rPr>
      </w:pPr>
      <w:bookmarkStart w:id="0" w:name="_Hlk202195993"/>
      <w:r w:rsidRPr="006E043C">
        <w:rPr>
          <w:b/>
          <w:sz w:val="24"/>
          <w:szCs w:val="24"/>
        </w:rPr>
        <w:t>A CENTRALIDADE DAS INDÚSTRIAS ESTRATÉGICAS NA GUERRA COMERCIAL SINO-AMERICANA: O CASO DOS VEÍCULOS ELÉTRICOS</w:t>
      </w:r>
    </w:p>
    <w:p w14:paraId="40E6D506" w14:textId="77777777" w:rsidR="003D5CA4" w:rsidRDefault="003D5CA4" w:rsidP="00B927F0">
      <w:pPr>
        <w:spacing w:line="240" w:lineRule="auto"/>
        <w:jc w:val="center"/>
        <w:rPr>
          <w:b/>
          <w:sz w:val="24"/>
          <w:szCs w:val="24"/>
        </w:rPr>
      </w:pPr>
    </w:p>
    <w:p w14:paraId="57B376C8" w14:textId="7D6F1896" w:rsidR="003D5CA4" w:rsidRDefault="00FE7F52" w:rsidP="00F320EC">
      <w:pPr>
        <w:spacing w:line="240" w:lineRule="auto"/>
        <w:jc w:val="right"/>
        <w:rPr>
          <w:bCs/>
          <w:sz w:val="24"/>
          <w:szCs w:val="24"/>
        </w:rPr>
      </w:pPr>
      <w:r w:rsidRPr="00FE7F52">
        <w:rPr>
          <w:bCs/>
          <w:sz w:val="24"/>
          <w:szCs w:val="24"/>
        </w:rPr>
        <w:t>Fernanda Alves Rodrigues da Silva</w:t>
      </w:r>
      <w:r w:rsidR="003D5CA4">
        <w:rPr>
          <w:rStyle w:val="Refdenotaderodap"/>
          <w:bCs/>
          <w:sz w:val="24"/>
          <w:szCs w:val="24"/>
        </w:rPr>
        <w:footnoteReference w:id="1"/>
      </w:r>
    </w:p>
    <w:p w14:paraId="7745ADA6" w14:textId="69A95EC7" w:rsidR="003D5CA4" w:rsidRDefault="00FE7F52" w:rsidP="00F320EC">
      <w:pPr>
        <w:spacing w:line="240" w:lineRule="auto"/>
        <w:jc w:val="right"/>
        <w:rPr>
          <w:bCs/>
          <w:sz w:val="24"/>
          <w:szCs w:val="24"/>
        </w:rPr>
      </w:pPr>
      <w:r w:rsidRPr="00FE7F52">
        <w:rPr>
          <w:bCs/>
          <w:sz w:val="24"/>
          <w:szCs w:val="24"/>
        </w:rPr>
        <w:t>Joyce</w:t>
      </w:r>
      <w:r w:rsidR="003D5CA4">
        <w:rPr>
          <w:bCs/>
          <w:sz w:val="24"/>
          <w:szCs w:val="24"/>
        </w:rPr>
        <w:t xml:space="preserve"> Helena Ferreira da Silva</w:t>
      </w:r>
      <w:r w:rsidR="003D5CA4">
        <w:rPr>
          <w:rStyle w:val="Refdenotaderodap"/>
          <w:bCs/>
          <w:sz w:val="24"/>
          <w:szCs w:val="24"/>
        </w:rPr>
        <w:footnoteReference w:id="2"/>
      </w:r>
    </w:p>
    <w:p w14:paraId="4255CDA8" w14:textId="2A0F218A" w:rsidR="003D5CA4" w:rsidRDefault="003D5CA4" w:rsidP="00F320EC">
      <w:pPr>
        <w:spacing w:line="240" w:lineRule="auto"/>
        <w:jc w:val="right"/>
        <w:rPr>
          <w:bCs/>
          <w:sz w:val="24"/>
          <w:szCs w:val="24"/>
        </w:rPr>
      </w:pPr>
      <w:r>
        <w:rPr>
          <w:bCs/>
          <w:sz w:val="24"/>
          <w:szCs w:val="24"/>
        </w:rPr>
        <w:t>Juliana Carvalho Miranda Teixeira</w:t>
      </w:r>
      <w:r>
        <w:rPr>
          <w:rStyle w:val="Refdenotaderodap"/>
          <w:bCs/>
          <w:sz w:val="24"/>
          <w:szCs w:val="24"/>
        </w:rPr>
        <w:footnoteReference w:id="3"/>
      </w:r>
    </w:p>
    <w:p w14:paraId="4877E5A8" w14:textId="02D317D3" w:rsidR="007D20AD" w:rsidRPr="00FE7F52" w:rsidRDefault="00FE7F52" w:rsidP="00F320EC">
      <w:pPr>
        <w:spacing w:line="240" w:lineRule="auto"/>
        <w:jc w:val="right"/>
        <w:rPr>
          <w:bCs/>
          <w:sz w:val="24"/>
          <w:szCs w:val="24"/>
        </w:rPr>
      </w:pPr>
      <w:r w:rsidRPr="00FE7F52">
        <w:rPr>
          <w:bCs/>
          <w:sz w:val="24"/>
          <w:szCs w:val="24"/>
        </w:rPr>
        <w:t xml:space="preserve"> </w:t>
      </w:r>
    </w:p>
    <w:bookmarkEnd w:id="0"/>
    <w:p w14:paraId="6B934BBA" w14:textId="77777777" w:rsidR="00B927F0" w:rsidRDefault="00B927F0" w:rsidP="00574CF8">
      <w:pPr>
        <w:spacing w:line="240" w:lineRule="auto"/>
        <w:jc w:val="center"/>
        <w:rPr>
          <w:b/>
          <w:sz w:val="20"/>
          <w:szCs w:val="20"/>
        </w:rPr>
      </w:pPr>
    </w:p>
    <w:p w14:paraId="1FE9ADE5" w14:textId="77777777" w:rsidR="005C4655" w:rsidRDefault="005C4655" w:rsidP="004F776F">
      <w:pPr>
        <w:spacing w:line="240" w:lineRule="auto"/>
        <w:ind w:left="2835"/>
        <w:jc w:val="both"/>
        <w:rPr>
          <w:b/>
          <w:sz w:val="20"/>
          <w:szCs w:val="20"/>
        </w:rPr>
      </w:pPr>
    </w:p>
    <w:p w14:paraId="36615205" w14:textId="4852C00A" w:rsidR="004F776F" w:rsidRDefault="004F776F" w:rsidP="004F776F">
      <w:pPr>
        <w:spacing w:line="240" w:lineRule="auto"/>
        <w:ind w:left="2835"/>
        <w:jc w:val="both"/>
        <w:rPr>
          <w:b/>
          <w:sz w:val="20"/>
          <w:szCs w:val="20"/>
        </w:rPr>
      </w:pPr>
      <w:r>
        <w:rPr>
          <w:b/>
          <w:sz w:val="20"/>
          <w:szCs w:val="20"/>
        </w:rPr>
        <w:t>Resumo</w:t>
      </w:r>
    </w:p>
    <w:p w14:paraId="014B84E7" w14:textId="4AE52DEA" w:rsidR="004F776F" w:rsidRDefault="7BDD1919" w:rsidP="6FFB0EAB">
      <w:pPr>
        <w:spacing w:line="240" w:lineRule="auto"/>
        <w:ind w:left="2835"/>
        <w:jc w:val="both"/>
        <w:rPr>
          <w:sz w:val="20"/>
          <w:szCs w:val="20"/>
        </w:rPr>
      </w:pPr>
      <w:r w:rsidRPr="2FBC29E1">
        <w:rPr>
          <w:sz w:val="20"/>
          <w:szCs w:val="20"/>
        </w:rPr>
        <w:t xml:space="preserve">O artigo aborda a crise do sistema internacional contemporâneo, destacando a decadência da hegemonia dos Estados Unidos e o crescimento das rivalidades econômicas e militares. A análise foca na desaceleração do crescimento econômico global, nas incertezas políticas e nas pressões inflacionárias, ressaltando a fragmentação da economia global e os desafios do imperialismo. O texto também explora o impacto das políticas industriais chinesas, especialmente no setor de veículos elétricos, e como essas políticas têm gerado tensões comerciais com os Estados Unidos e a União Europeia. A conclusão sugere a necessidade de </w:t>
      </w:r>
      <w:r w:rsidR="00BC7315">
        <w:rPr>
          <w:sz w:val="20"/>
          <w:szCs w:val="20"/>
        </w:rPr>
        <w:t xml:space="preserve">se aprofundar o debate da atual conjuntura </w:t>
      </w:r>
      <w:r w:rsidRPr="2FBC29E1">
        <w:rPr>
          <w:sz w:val="20"/>
          <w:szCs w:val="20"/>
        </w:rPr>
        <w:t xml:space="preserve">para </w:t>
      </w:r>
      <w:r w:rsidR="003203C3">
        <w:rPr>
          <w:sz w:val="20"/>
          <w:szCs w:val="20"/>
        </w:rPr>
        <w:t xml:space="preserve">compreender e explicar essa nova </w:t>
      </w:r>
      <w:r w:rsidRPr="2FBC29E1">
        <w:rPr>
          <w:sz w:val="20"/>
          <w:szCs w:val="20"/>
        </w:rPr>
        <w:t xml:space="preserve">crise </w:t>
      </w:r>
      <w:r w:rsidR="003203C3">
        <w:rPr>
          <w:sz w:val="20"/>
          <w:szCs w:val="20"/>
        </w:rPr>
        <w:t>no intuito de uma ação consciente nos vários níveis espaciais</w:t>
      </w:r>
      <w:r w:rsidR="00E5656E">
        <w:rPr>
          <w:sz w:val="20"/>
          <w:szCs w:val="20"/>
        </w:rPr>
        <w:t>, com a promoção do</w:t>
      </w:r>
      <w:r w:rsidRPr="2FBC29E1">
        <w:rPr>
          <w:sz w:val="20"/>
          <w:szCs w:val="20"/>
        </w:rPr>
        <w:t xml:space="preserve"> desenvolvimento </w:t>
      </w:r>
      <w:r w:rsidR="00E5656E">
        <w:rPr>
          <w:sz w:val="20"/>
          <w:szCs w:val="20"/>
        </w:rPr>
        <w:t xml:space="preserve">humano e </w:t>
      </w:r>
      <w:r w:rsidRPr="2FBC29E1">
        <w:rPr>
          <w:sz w:val="20"/>
          <w:szCs w:val="20"/>
        </w:rPr>
        <w:t>sustentável</w:t>
      </w:r>
      <w:r w:rsidR="00E5656E">
        <w:rPr>
          <w:sz w:val="20"/>
          <w:szCs w:val="20"/>
        </w:rPr>
        <w:t>.</w:t>
      </w:r>
    </w:p>
    <w:p w14:paraId="76D3AC8C" w14:textId="5B451F27" w:rsidR="004F776F" w:rsidRPr="00D13F17" w:rsidRDefault="004F776F" w:rsidP="3E75B563">
      <w:pPr>
        <w:spacing w:line="240" w:lineRule="auto"/>
        <w:ind w:left="2835"/>
        <w:jc w:val="both"/>
        <w:rPr>
          <w:sz w:val="20"/>
          <w:szCs w:val="20"/>
        </w:rPr>
      </w:pPr>
      <w:r>
        <w:rPr>
          <w:b/>
          <w:sz w:val="20"/>
          <w:szCs w:val="20"/>
        </w:rPr>
        <w:t>Palavras-chave</w:t>
      </w:r>
      <w:r>
        <w:rPr>
          <w:sz w:val="20"/>
          <w:szCs w:val="20"/>
        </w:rPr>
        <w:t>:</w:t>
      </w:r>
      <w:r w:rsidR="3C45B99E" w:rsidRPr="5F962922">
        <w:rPr>
          <w:sz w:val="20"/>
          <w:szCs w:val="20"/>
        </w:rPr>
        <w:t xml:space="preserve"> China</w:t>
      </w:r>
      <w:r w:rsidR="3C45B99E" w:rsidRPr="0CB5E36B">
        <w:rPr>
          <w:sz w:val="20"/>
          <w:szCs w:val="20"/>
        </w:rPr>
        <w:t xml:space="preserve">; Estados </w:t>
      </w:r>
      <w:r w:rsidR="3C45B99E" w:rsidRPr="7F1BD786">
        <w:rPr>
          <w:sz w:val="20"/>
          <w:szCs w:val="20"/>
        </w:rPr>
        <w:t xml:space="preserve">Unidos; </w:t>
      </w:r>
      <w:r w:rsidR="00F650F2">
        <w:rPr>
          <w:sz w:val="20"/>
          <w:szCs w:val="20"/>
        </w:rPr>
        <w:t>P</w:t>
      </w:r>
      <w:r w:rsidR="3C45B99E" w:rsidRPr="470FE86A">
        <w:rPr>
          <w:sz w:val="20"/>
          <w:szCs w:val="20"/>
        </w:rPr>
        <w:t xml:space="preserve">olítica </w:t>
      </w:r>
      <w:r w:rsidR="00F650F2">
        <w:rPr>
          <w:sz w:val="20"/>
          <w:szCs w:val="20"/>
        </w:rPr>
        <w:t>I</w:t>
      </w:r>
      <w:r w:rsidR="3C45B99E" w:rsidRPr="470FE86A">
        <w:rPr>
          <w:sz w:val="20"/>
          <w:szCs w:val="20"/>
        </w:rPr>
        <w:t>ndustria</w:t>
      </w:r>
      <w:r w:rsidR="00B11E2A">
        <w:rPr>
          <w:sz w:val="20"/>
          <w:szCs w:val="20"/>
        </w:rPr>
        <w:t>l.</w:t>
      </w:r>
    </w:p>
    <w:p w14:paraId="33B19AA3" w14:textId="78F1EADD" w:rsidR="004F776F" w:rsidRPr="0027594F" w:rsidRDefault="004F776F" w:rsidP="002A64D1">
      <w:pPr>
        <w:spacing w:line="240" w:lineRule="auto"/>
        <w:rPr>
          <w:sz w:val="20"/>
          <w:szCs w:val="20"/>
          <w:lang w:val="en-US"/>
        </w:rPr>
      </w:pPr>
      <w:r w:rsidRPr="6DC20FBB">
        <w:rPr>
          <w:sz w:val="20"/>
          <w:szCs w:val="20"/>
          <w:lang w:val="en-US"/>
        </w:rPr>
        <w:t>.</w:t>
      </w:r>
    </w:p>
    <w:p w14:paraId="3F862174" w14:textId="77777777" w:rsidR="004F776F" w:rsidRPr="00324ED8" w:rsidRDefault="004F776F" w:rsidP="004F776F">
      <w:pPr>
        <w:spacing w:line="240" w:lineRule="auto"/>
        <w:ind w:left="2835"/>
        <w:jc w:val="both"/>
        <w:rPr>
          <w:sz w:val="20"/>
          <w:szCs w:val="20"/>
          <w:lang w:val="en-US"/>
        </w:rPr>
      </w:pPr>
    </w:p>
    <w:p w14:paraId="17BE2880"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117BC628" w14:textId="0BBA48BF" w:rsidR="00CB7DD4" w:rsidRDefault="00CB7DD4" w:rsidP="004F776F">
      <w:pPr>
        <w:spacing w:line="240" w:lineRule="auto"/>
        <w:ind w:left="2835"/>
        <w:jc w:val="both"/>
        <w:rPr>
          <w:sz w:val="20"/>
          <w:szCs w:val="20"/>
          <w:lang w:val="en-US"/>
        </w:rPr>
      </w:pPr>
      <w:r w:rsidRPr="00CB7DD4">
        <w:rPr>
          <w:sz w:val="20"/>
          <w:szCs w:val="20"/>
          <w:lang w:val="en-US"/>
        </w:rPr>
        <w:t>The article addresses the crisis of the contemporary international system, highlighting the decline of US hegemony and the growth of economic and military rivalries. The analysis focuses on the slowdown in global economic growth, political uncertainties, and inflationary pressures, highlighting the fragmentation of the global economy and the challenges of imperialism. The text also explores the impact of Chinese industrial policies, especially in the electric vehicle sector, and how these policies have generated trade tensions with the United States and the European Union. The conclusion suggests the need to deepen the debate on the current situation to understand and explain this new crisis with the aim of taking conscious action at various spatial levels, with the promotion of human and sustainable development.</w:t>
      </w:r>
    </w:p>
    <w:p w14:paraId="4EB483F8" w14:textId="1B59C1A7" w:rsidR="004F776F" w:rsidRDefault="004F776F" w:rsidP="00D62D9E">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D62D9E" w:rsidRPr="00D62D9E">
        <w:rPr>
          <w:sz w:val="20"/>
          <w:szCs w:val="20"/>
          <w:lang w:val="en-US"/>
        </w:rPr>
        <w:t>China; United States; Industrial Policy</w:t>
      </w:r>
      <w:r w:rsidR="00D62D9E">
        <w:rPr>
          <w:sz w:val="20"/>
          <w:szCs w:val="20"/>
          <w:lang w:val="en-US"/>
        </w:rPr>
        <w:t>.</w:t>
      </w:r>
    </w:p>
    <w:p w14:paraId="23F4609E" w14:textId="77777777" w:rsidR="00D62D9E" w:rsidRDefault="00D62D9E" w:rsidP="00D62D9E">
      <w:pPr>
        <w:spacing w:line="240" w:lineRule="auto"/>
        <w:ind w:left="2835"/>
        <w:jc w:val="both"/>
        <w:rPr>
          <w:sz w:val="24"/>
          <w:szCs w:val="24"/>
          <w:lang w:val="en-US"/>
        </w:rPr>
      </w:pPr>
    </w:p>
    <w:p w14:paraId="256A0BC5" w14:textId="77777777" w:rsidR="00D62D9E" w:rsidRDefault="00D62D9E" w:rsidP="00D62D9E">
      <w:pPr>
        <w:spacing w:line="240" w:lineRule="auto"/>
        <w:ind w:left="2835"/>
        <w:jc w:val="both"/>
        <w:rPr>
          <w:sz w:val="24"/>
          <w:szCs w:val="24"/>
          <w:lang w:val="en-US"/>
        </w:rPr>
      </w:pPr>
    </w:p>
    <w:p w14:paraId="2102A437" w14:textId="77777777" w:rsidR="00D62D9E" w:rsidRDefault="00D62D9E" w:rsidP="00D62D9E">
      <w:pPr>
        <w:spacing w:line="240" w:lineRule="auto"/>
        <w:ind w:left="2835"/>
        <w:jc w:val="both"/>
        <w:rPr>
          <w:sz w:val="24"/>
          <w:szCs w:val="24"/>
          <w:lang w:val="en-US"/>
        </w:rPr>
      </w:pPr>
    </w:p>
    <w:p w14:paraId="4CD0EFAF" w14:textId="77777777" w:rsidR="00D62D9E" w:rsidRDefault="00D62D9E" w:rsidP="00D62D9E">
      <w:pPr>
        <w:spacing w:line="240" w:lineRule="auto"/>
        <w:ind w:left="2835"/>
        <w:jc w:val="both"/>
        <w:rPr>
          <w:sz w:val="24"/>
          <w:szCs w:val="24"/>
          <w:lang w:val="en-US"/>
        </w:rPr>
      </w:pPr>
    </w:p>
    <w:p w14:paraId="35CB6B27" w14:textId="55400B0A" w:rsidR="004F776F" w:rsidRPr="00094E0E" w:rsidRDefault="004F776F" w:rsidP="00094E0E">
      <w:pPr>
        <w:spacing w:line="360" w:lineRule="auto"/>
        <w:rPr>
          <w:b/>
          <w:sz w:val="24"/>
          <w:szCs w:val="24"/>
        </w:rPr>
      </w:pPr>
      <w:r>
        <w:rPr>
          <w:b/>
          <w:sz w:val="24"/>
          <w:szCs w:val="24"/>
        </w:rPr>
        <w:lastRenderedPageBreak/>
        <w:t>1</w:t>
      </w:r>
      <w:r w:rsidR="00AC00C1">
        <w:rPr>
          <w:b/>
          <w:sz w:val="24"/>
          <w:szCs w:val="24"/>
        </w:rPr>
        <w:t xml:space="preserve"> </w:t>
      </w:r>
      <w:r>
        <w:rPr>
          <w:b/>
          <w:sz w:val="24"/>
          <w:szCs w:val="24"/>
        </w:rPr>
        <w:t>INTRODUÇÃ</w:t>
      </w:r>
      <w:r w:rsidR="00AC00C1">
        <w:rPr>
          <w:b/>
          <w:sz w:val="24"/>
          <w:szCs w:val="24"/>
        </w:rPr>
        <w:t>O</w:t>
      </w:r>
    </w:p>
    <w:p w14:paraId="57DA938E" w14:textId="3ABA2743" w:rsidR="00D93443" w:rsidRPr="00DA7A0B" w:rsidRDefault="00D93443" w:rsidP="00D46528">
      <w:pPr>
        <w:spacing w:line="360" w:lineRule="auto"/>
        <w:ind w:firstLine="709"/>
        <w:jc w:val="both"/>
        <w:rPr>
          <w:rFonts w:eastAsia="Times New Roman"/>
          <w:sz w:val="24"/>
          <w:szCs w:val="24"/>
        </w:rPr>
      </w:pPr>
      <w:r w:rsidRPr="00DA7A0B">
        <w:rPr>
          <w:rFonts w:eastAsia="Times New Roman"/>
          <w:sz w:val="24"/>
          <w:szCs w:val="24"/>
        </w:rPr>
        <w:t>Em meio ao declínio acelerado da hegemonia dos Estados Unidos desde o fim dos anos 2000</w:t>
      </w:r>
      <w:r w:rsidR="00906039">
        <w:rPr>
          <w:rFonts w:eastAsia="Times New Roman"/>
          <w:sz w:val="24"/>
          <w:szCs w:val="24"/>
        </w:rPr>
        <w:t>,</w:t>
      </w:r>
      <w:r w:rsidR="0043233C">
        <w:rPr>
          <w:rFonts w:eastAsia="Times New Roman"/>
          <w:sz w:val="24"/>
          <w:szCs w:val="24"/>
        </w:rPr>
        <w:t xml:space="preserve"> expressão</w:t>
      </w:r>
      <w:r w:rsidRPr="00DA7A0B">
        <w:rPr>
          <w:rFonts w:eastAsia="Times New Roman"/>
          <w:sz w:val="24"/>
          <w:szCs w:val="24"/>
        </w:rPr>
        <w:t xml:space="preserve"> </w:t>
      </w:r>
      <w:r w:rsidR="0043233C">
        <w:rPr>
          <w:rFonts w:eastAsia="Times New Roman"/>
          <w:sz w:val="24"/>
          <w:szCs w:val="24"/>
        </w:rPr>
        <w:t>d</w:t>
      </w:r>
      <w:r w:rsidRPr="00DA7A0B">
        <w:rPr>
          <w:rFonts w:eastAsia="Times New Roman"/>
          <w:sz w:val="24"/>
          <w:szCs w:val="24"/>
        </w:rPr>
        <w:t>os efeitos da crise financeira que se transformou em ‘longa depressão’, a exacerbação das rivalidades militar-econômicas e a intensa degradação ambiental, apesar do crescimento da economia global de 3,2% no segundo semestre de 2024</w:t>
      </w:r>
      <w:r w:rsidRPr="00DA7A0B">
        <w:rPr>
          <w:sz w:val="24"/>
          <w:szCs w:val="24"/>
        </w:rPr>
        <w:t>,</w:t>
      </w:r>
      <w:r w:rsidRPr="00DA7A0B">
        <w:rPr>
          <w:rFonts w:eastAsia="Times New Roman"/>
          <w:sz w:val="24"/>
          <w:szCs w:val="24"/>
        </w:rPr>
        <w:t xml:space="preserve"> indicadores macroeconômicos recentes apontam como tendência a desaceleração do crescimento em 2025 e 2026 (ODCE, 2025).</w:t>
      </w:r>
    </w:p>
    <w:p w14:paraId="775B8700" w14:textId="04FB6CBA" w:rsidR="00D93443" w:rsidRDefault="006D4650" w:rsidP="00D46528">
      <w:pPr>
        <w:spacing w:line="360" w:lineRule="auto"/>
        <w:ind w:firstLine="709"/>
        <w:jc w:val="both"/>
      </w:pPr>
      <w:r w:rsidRPr="006D4650">
        <w:rPr>
          <w:rFonts w:eastAsia="Times New Roman"/>
          <w:sz w:val="24"/>
          <w:szCs w:val="24"/>
        </w:rPr>
        <w:t xml:space="preserve">A confiança tanto de capitalistas quanto de proletários consumidores </w:t>
      </w:r>
      <w:r w:rsidRPr="006D4650">
        <w:rPr>
          <w:sz w:val="24"/>
        </w:rPr>
        <w:t>está</w:t>
      </w:r>
      <w:r w:rsidRPr="006D4650">
        <w:rPr>
          <w:rFonts w:eastAsia="Times New Roman"/>
          <w:sz w:val="24"/>
          <w:szCs w:val="24"/>
        </w:rPr>
        <w:t xml:space="preserve"> em </w:t>
      </w:r>
      <w:r w:rsidRPr="006D4650">
        <w:rPr>
          <w:sz w:val="24"/>
        </w:rPr>
        <w:t>declínio em muitos</w:t>
      </w:r>
      <w:r w:rsidRPr="006D4650">
        <w:rPr>
          <w:rFonts w:eastAsia="Times New Roman"/>
          <w:sz w:val="24"/>
          <w:szCs w:val="24"/>
        </w:rPr>
        <w:t xml:space="preserve"> países. </w:t>
      </w:r>
      <w:r w:rsidRPr="006D4650">
        <w:rPr>
          <w:sz w:val="24"/>
        </w:rPr>
        <w:t>A inflação persiste</w:t>
      </w:r>
      <w:r w:rsidRPr="006D4650">
        <w:rPr>
          <w:rFonts w:eastAsia="Times New Roman"/>
          <w:sz w:val="24"/>
          <w:szCs w:val="24"/>
        </w:rPr>
        <w:t xml:space="preserve"> em várias economias, apesar da globalização. </w:t>
      </w:r>
      <w:r w:rsidRPr="006D4650">
        <w:rPr>
          <w:sz w:val="24"/>
        </w:rPr>
        <w:t>As incertezas políticas e propostas ultranacionalistas trazem riscos ao imperialismo global. A</w:t>
      </w:r>
      <w:r w:rsidRPr="006D4650">
        <w:rPr>
          <w:rFonts w:eastAsia="Times New Roman"/>
          <w:sz w:val="24"/>
          <w:szCs w:val="24"/>
        </w:rPr>
        <w:t xml:space="preserve"> fragmentação da economia global </w:t>
      </w:r>
      <w:r w:rsidRPr="006D4650">
        <w:rPr>
          <w:sz w:val="24"/>
        </w:rPr>
        <w:t>preocupa os defensores</w:t>
      </w:r>
      <w:r w:rsidRPr="006D4650">
        <w:rPr>
          <w:rFonts w:eastAsia="Times New Roman"/>
          <w:sz w:val="24"/>
          <w:szCs w:val="24"/>
        </w:rPr>
        <w:t xml:space="preserve"> da globalização neoliberal. A inflação acima do esperado deve </w:t>
      </w:r>
      <w:r w:rsidRPr="006D4650">
        <w:rPr>
          <w:sz w:val="24"/>
        </w:rPr>
        <w:t xml:space="preserve">limitar o </w:t>
      </w:r>
      <w:r w:rsidRPr="006D4650">
        <w:rPr>
          <w:rFonts w:eastAsia="Times New Roman"/>
          <w:sz w:val="24"/>
          <w:szCs w:val="24"/>
        </w:rPr>
        <w:t xml:space="preserve">consumo do proletariado e </w:t>
      </w:r>
      <w:r w:rsidRPr="006D4650">
        <w:rPr>
          <w:sz w:val="24"/>
        </w:rPr>
        <w:t>afetar os</w:t>
      </w:r>
      <w:r w:rsidRPr="006D4650">
        <w:rPr>
          <w:rFonts w:eastAsia="Times New Roman"/>
          <w:sz w:val="24"/>
          <w:szCs w:val="24"/>
        </w:rPr>
        <w:t xml:space="preserve"> mercados financeiros</w:t>
      </w:r>
      <w:r w:rsidRPr="006D4650">
        <w:rPr>
          <w:sz w:val="24"/>
        </w:rPr>
        <w:t>, segundo a OCDE (2025). Por outro lado, a redução de tarifas pode estimular o crescimento se o consumo interno dos países for restaurado.</w:t>
      </w:r>
    </w:p>
    <w:p w14:paraId="0D56F1BB" w14:textId="77777777" w:rsidR="00D93443" w:rsidRPr="00DA7A0B" w:rsidRDefault="00D93443" w:rsidP="00D46528">
      <w:pPr>
        <w:spacing w:line="360" w:lineRule="auto"/>
        <w:ind w:firstLine="709"/>
        <w:jc w:val="both"/>
        <w:rPr>
          <w:rFonts w:eastAsia="Times New Roman"/>
          <w:sz w:val="24"/>
          <w:szCs w:val="24"/>
        </w:rPr>
      </w:pPr>
      <w:r w:rsidRPr="00DA7A0B">
        <w:rPr>
          <w:rFonts w:eastAsia="Times New Roman"/>
          <w:sz w:val="24"/>
          <w:szCs w:val="24"/>
        </w:rPr>
        <w:t>A OCDE (2025) destaca que certos fatores como a inflação, “a inflação dos preços que sempre acompanha a superprodução e a especulação excessiva” (Marx, [1894] 2017, p. 469), o aumento das barreiras comerciais em várias economias do G20 e a incerteza política podem enfraquecer as economias de muitos países. A previsão é que o crescimento do PIB global desacelere de 3,2% em 2024 para 3,1% em 2025 e 3,0% em 2026. No entanto, estima-se que alguns países serão mais impactados do que outros – enquanto alguns podem não ser afetados, o que reflete o caráter desigual do desenvolvimento, tendência natural do sistema capitalista.</w:t>
      </w:r>
    </w:p>
    <w:p w14:paraId="5B84479B" w14:textId="32BDAF50" w:rsidR="00D93443" w:rsidRDefault="00D93443" w:rsidP="00D46528">
      <w:pPr>
        <w:spacing w:line="360" w:lineRule="auto"/>
        <w:ind w:firstLine="709"/>
        <w:jc w:val="both"/>
        <w:rPr>
          <w:rFonts w:eastAsia="Times New Roman"/>
          <w:color w:val="1A1A1A"/>
          <w:sz w:val="24"/>
          <w:szCs w:val="24"/>
        </w:rPr>
      </w:pPr>
      <w:r w:rsidRPr="00DA7A0B">
        <w:rPr>
          <w:rFonts w:eastAsia="Times New Roman"/>
          <w:sz w:val="24"/>
          <w:szCs w:val="24"/>
        </w:rPr>
        <w:t>Em meio às incertezas em termos de perspectivas econômicas, dada a diferenciação regional do sistema globalizado neoliberal, na ponta ocidental, especificamente nos Estados Unidos, é esperado que o crescimento real anual do PIB desacelere de 2,2% em 2025 para 1,6% em 2026. Mas</w:t>
      </w:r>
      <w:r w:rsidR="002D5795">
        <w:rPr>
          <w:rFonts w:eastAsia="Times New Roman"/>
          <w:sz w:val="24"/>
          <w:szCs w:val="24"/>
        </w:rPr>
        <w:t>,</w:t>
      </w:r>
      <w:r w:rsidRPr="00DA7A0B">
        <w:rPr>
          <w:rFonts w:eastAsia="Times New Roman"/>
          <w:sz w:val="24"/>
          <w:szCs w:val="24"/>
        </w:rPr>
        <w:t xml:space="preserve"> como a Rússia que emergiu da antiga URSS, também a China passa a representar um desafio ao “[...] poder, a </w:t>
      </w:r>
      <w:r w:rsidRPr="00DA7A0B">
        <w:rPr>
          <w:rFonts w:eastAsia="Times New Roman"/>
          <w:sz w:val="24"/>
          <w:szCs w:val="24"/>
        </w:rPr>
        <w:lastRenderedPageBreak/>
        <w:t xml:space="preserve">influência e os interesses americanos, [por tentar] minar a segurança e a prosperidade dos Estados Unidos” (USA, 2017, p. 12). Na zona do euro, o crescimento real do PIB deve se manter moderado, mas expressivo, atingindo 1,0% em 2025 e 1,2% em 2026, com perspectivas positivas quanto a economia da Itália, com crescimento projetado de 0,7% em 2025 e 0,9% em 2026, apesar da concorrência da China citada pela Comissão Europeia </w:t>
      </w:r>
      <w:r w:rsidR="00C35944">
        <w:rPr>
          <w:rFonts w:eastAsia="Times New Roman"/>
          <w:sz w:val="24"/>
          <w:szCs w:val="24"/>
        </w:rPr>
        <w:t xml:space="preserve">(2019, p. 4) </w:t>
      </w:r>
      <w:r w:rsidRPr="00DA7A0B">
        <w:rPr>
          <w:rFonts w:eastAsia="Times New Roman"/>
          <w:sz w:val="24"/>
          <w:szCs w:val="24"/>
        </w:rPr>
        <w:t>como um “c</w:t>
      </w:r>
      <w:r w:rsidRPr="00DA7A0B">
        <w:rPr>
          <w:rFonts w:eastAsia="Times New Roman"/>
          <w:color w:val="1A1A1A"/>
          <w:sz w:val="24"/>
          <w:szCs w:val="24"/>
        </w:rPr>
        <w:t>oncorrente econômico na busca pela liderança tecnológica e um rival sistêmico [que segue] promovendo modelos alternativos de governança”.</w:t>
      </w:r>
    </w:p>
    <w:p w14:paraId="77846DD6" w14:textId="77777777" w:rsidR="00FC0455" w:rsidRPr="00AD622A" w:rsidRDefault="00FC0455" w:rsidP="00D46528">
      <w:pPr>
        <w:spacing w:line="360" w:lineRule="auto"/>
        <w:ind w:firstLine="709"/>
        <w:jc w:val="both"/>
        <w:rPr>
          <w:rFonts w:eastAsia="Times New Roman"/>
          <w:sz w:val="24"/>
          <w:szCs w:val="24"/>
        </w:rPr>
      </w:pPr>
      <w:r>
        <w:rPr>
          <w:rFonts w:eastAsia="Times New Roman"/>
          <w:sz w:val="24"/>
          <w:szCs w:val="24"/>
        </w:rPr>
        <w:t>Por outro lado, a</w:t>
      </w:r>
      <w:r w:rsidRPr="00AD622A">
        <w:rPr>
          <w:rFonts w:eastAsia="Times New Roman"/>
          <w:sz w:val="24"/>
          <w:szCs w:val="24"/>
        </w:rPr>
        <w:t xml:space="preserve"> teoria econômica clássica já apontava que países detentores de capacidades produtivas em setores estratégicos como aço, máquinas-ferramenta e semicondutores exercem influência desproporcional sobre o comércio internacional. No século XXI, essa lógica se mantém, mas com novos atores e tecnologias. A China, ao consolidar sua liderança em baterias (85% da produção global em 2024) e em componentes para </w:t>
      </w:r>
      <w:r>
        <w:rPr>
          <w:rFonts w:eastAsia="Times New Roman"/>
          <w:sz w:val="24"/>
          <w:szCs w:val="24"/>
        </w:rPr>
        <w:t>veículos elétricos (</w:t>
      </w:r>
      <w:proofErr w:type="spellStart"/>
      <w:r w:rsidRPr="00AD622A">
        <w:rPr>
          <w:rFonts w:eastAsia="Times New Roman"/>
          <w:sz w:val="24"/>
          <w:szCs w:val="24"/>
        </w:rPr>
        <w:t>VEs</w:t>
      </w:r>
      <w:proofErr w:type="spellEnd"/>
      <w:r>
        <w:rPr>
          <w:rFonts w:eastAsia="Times New Roman"/>
          <w:sz w:val="24"/>
          <w:szCs w:val="24"/>
        </w:rPr>
        <w:t>)</w:t>
      </w:r>
      <w:r w:rsidRPr="00AD622A">
        <w:rPr>
          <w:rFonts w:eastAsia="Times New Roman"/>
          <w:sz w:val="24"/>
          <w:szCs w:val="24"/>
        </w:rPr>
        <w:t>, não apenas garante vantagens comerciais, também redefine as cadeias de suprimentos globais, tornando economias avançadas dependentes de sua capacidade industrial.</w:t>
      </w:r>
    </w:p>
    <w:p w14:paraId="2869A24F" w14:textId="52AA9B69" w:rsidR="00FC0455" w:rsidRPr="00FC0455" w:rsidRDefault="00FC0455" w:rsidP="00D46528">
      <w:pPr>
        <w:spacing w:line="360" w:lineRule="auto"/>
        <w:ind w:firstLine="709"/>
        <w:jc w:val="both"/>
        <w:rPr>
          <w:rFonts w:eastAsia="Times New Roman"/>
          <w:sz w:val="24"/>
          <w:szCs w:val="24"/>
        </w:rPr>
      </w:pPr>
      <w:r w:rsidRPr="00AD622A">
        <w:rPr>
          <w:rFonts w:eastAsia="Times New Roman"/>
          <w:sz w:val="24"/>
          <w:szCs w:val="24"/>
        </w:rPr>
        <w:t>Os EUA, por sua vez, reagem com políticas de </w:t>
      </w:r>
      <w:proofErr w:type="spellStart"/>
      <w:r w:rsidRPr="00AD622A">
        <w:rPr>
          <w:rFonts w:eastAsia="Times New Roman"/>
          <w:i/>
          <w:iCs/>
          <w:sz w:val="24"/>
          <w:szCs w:val="24"/>
        </w:rPr>
        <w:t>reshoring</w:t>
      </w:r>
      <w:proofErr w:type="spellEnd"/>
      <w:r w:rsidRPr="00AD622A">
        <w:rPr>
          <w:rFonts w:eastAsia="Times New Roman"/>
          <w:sz w:val="24"/>
          <w:szCs w:val="24"/>
        </w:rPr>
        <w:t> e subsídios agressivos (como o </w:t>
      </w:r>
      <w:proofErr w:type="spellStart"/>
      <w:r w:rsidRPr="00AD622A">
        <w:rPr>
          <w:rFonts w:eastAsia="Times New Roman"/>
          <w:i/>
          <w:iCs/>
          <w:sz w:val="24"/>
          <w:szCs w:val="24"/>
        </w:rPr>
        <w:t>Inflation</w:t>
      </w:r>
      <w:proofErr w:type="spellEnd"/>
      <w:r w:rsidRPr="00AD622A">
        <w:rPr>
          <w:rFonts w:eastAsia="Times New Roman"/>
          <w:i/>
          <w:iCs/>
          <w:sz w:val="24"/>
          <w:szCs w:val="24"/>
        </w:rPr>
        <w:t xml:space="preserve"> </w:t>
      </w:r>
      <w:proofErr w:type="spellStart"/>
      <w:r w:rsidRPr="00AD622A">
        <w:rPr>
          <w:rFonts w:eastAsia="Times New Roman"/>
          <w:i/>
          <w:iCs/>
          <w:sz w:val="24"/>
          <w:szCs w:val="24"/>
        </w:rPr>
        <w:t>Reduction</w:t>
      </w:r>
      <w:proofErr w:type="spellEnd"/>
      <w:r w:rsidRPr="00AD622A">
        <w:rPr>
          <w:rFonts w:eastAsia="Times New Roman"/>
          <w:i/>
          <w:iCs/>
          <w:sz w:val="24"/>
          <w:szCs w:val="24"/>
        </w:rPr>
        <w:t xml:space="preserve"> </w:t>
      </w:r>
      <w:proofErr w:type="spellStart"/>
      <w:r w:rsidRPr="00AD622A">
        <w:rPr>
          <w:rFonts w:eastAsia="Times New Roman"/>
          <w:i/>
          <w:iCs/>
          <w:sz w:val="24"/>
          <w:szCs w:val="24"/>
        </w:rPr>
        <w:t>Act</w:t>
      </w:r>
      <w:proofErr w:type="spellEnd"/>
      <w:r w:rsidRPr="00AD622A">
        <w:rPr>
          <w:rFonts w:eastAsia="Times New Roman"/>
          <w:sz w:val="24"/>
          <w:szCs w:val="24"/>
        </w:rPr>
        <w:t xml:space="preserve">), buscando reconquistar a soberania em setores considerados críticos para a segurança nacional. Essa disputa evidencia que os </w:t>
      </w:r>
      <w:proofErr w:type="spellStart"/>
      <w:r w:rsidRPr="00AD622A">
        <w:rPr>
          <w:rFonts w:eastAsia="Times New Roman"/>
          <w:sz w:val="24"/>
          <w:szCs w:val="24"/>
        </w:rPr>
        <w:t>VEs</w:t>
      </w:r>
      <w:proofErr w:type="spellEnd"/>
      <w:r w:rsidRPr="00AD622A">
        <w:rPr>
          <w:rFonts w:eastAsia="Times New Roman"/>
          <w:sz w:val="24"/>
          <w:szCs w:val="24"/>
        </w:rPr>
        <w:t xml:space="preserve"> não são meramente produtos de consumo, mas </w:t>
      </w:r>
      <w:r>
        <w:rPr>
          <w:rFonts w:eastAsia="Times New Roman"/>
          <w:sz w:val="24"/>
          <w:szCs w:val="24"/>
        </w:rPr>
        <w:t>pressupostos</w:t>
      </w:r>
      <w:r w:rsidRPr="00AD622A">
        <w:rPr>
          <w:rFonts w:eastAsia="Times New Roman"/>
          <w:sz w:val="24"/>
          <w:szCs w:val="24"/>
        </w:rPr>
        <w:t xml:space="preserve"> de acumulação de capital tecnológico e político, inseridos em um jogo mais amplo pelo controle de indústrias que </w:t>
      </w:r>
      <w:r>
        <w:rPr>
          <w:rFonts w:eastAsia="Times New Roman"/>
          <w:sz w:val="24"/>
          <w:szCs w:val="24"/>
        </w:rPr>
        <w:t>robustecem</w:t>
      </w:r>
      <w:r w:rsidRPr="00AD622A">
        <w:rPr>
          <w:rFonts w:eastAsia="Times New Roman"/>
          <w:sz w:val="24"/>
          <w:szCs w:val="24"/>
        </w:rPr>
        <w:t xml:space="preserve"> a autonomia econômica.</w:t>
      </w:r>
    </w:p>
    <w:p w14:paraId="0A295331" w14:textId="49668858" w:rsidR="00F86200" w:rsidRDefault="00F86200" w:rsidP="00D46528">
      <w:pPr>
        <w:spacing w:line="360" w:lineRule="auto"/>
        <w:ind w:firstLine="709"/>
        <w:jc w:val="both"/>
        <w:rPr>
          <w:rFonts w:eastAsia="Times New Roman"/>
          <w:sz w:val="24"/>
          <w:szCs w:val="24"/>
        </w:rPr>
      </w:pPr>
      <w:r w:rsidRPr="00F86200">
        <w:rPr>
          <w:rFonts w:eastAsia="Times New Roman"/>
          <w:sz w:val="24"/>
          <w:szCs w:val="24"/>
        </w:rPr>
        <w:t>A escalada das tensões comerciais entre China e Estados Unidos n</w:t>
      </w:r>
      <w:r>
        <w:rPr>
          <w:rFonts w:eastAsia="Times New Roman"/>
          <w:sz w:val="24"/>
          <w:szCs w:val="24"/>
        </w:rPr>
        <w:t>essa</w:t>
      </w:r>
      <w:r w:rsidRPr="00F86200">
        <w:rPr>
          <w:rFonts w:eastAsia="Times New Roman"/>
          <w:sz w:val="24"/>
          <w:szCs w:val="24"/>
        </w:rPr>
        <w:t xml:space="preserve"> década </w:t>
      </w:r>
      <w:r>
        <w:rPr>
          <w:rFonts w:eastAsia="Times New Roman"/>
          <w:sz w:val="24"/>
          <w:szCs w:val="24"/>
        </w:rPr>
        <w:t>materializa</w:t>
      </w:r>
      <w:r w:rsidRPr="00F86200">
        <w:rPr>
          <w:rFonts w:eastAsia="Times New Roman"/>
          <w:sz w:val="24"/>
          <w:szCs w:val="24"/>
        </w:rPr>
        <w:t xml:space="preserve"> uma reconfiguração geopolítica cujo epicentro é a disputa por hegemonias tecnológicas e controle das cadeias globais de valor. Este artigo examina os contornos dessa rivalidade a partir do setor de veículos elétricos (</w:t>
      </w:r>
      <w:proofErr w:type="spellStart"/>
      <w:r w:rsidRPr="00F86200">
        <w:rPr>
          <w:rFonts w:eastAsia="Times New Roman"/>
          <w:sz w:val="24"/>
          <w:szCs w:val="24"/>
        </w:rPr>
        <w:t>VEs</w:t>
      </w:r>
      <w:proofErr w:type="spellEnd"/>
      <w:r w:rsidRPr="00F86200">
        <w:rPr>
          <w:rFonts w:eastAsia="Times New Roman"/>
          <w:sz w:val="24"/>
          <w:szCs w:val="24"/>
        </w:rPr>
        <w:t>)</w:t>
      </w:r>
      <w:r>
        <w:rPr>
          <w:rFonts w:eastAsia="Times New Roman"/>
          <w:sz w:val="24"/>
          <w:szCs w:val="24"/>
        </w:rPr>
        <w:t>,</w:t>
      </w:r>
      <w:r w:rsidRPr="00F86200">
        <w:rPr>
          <w:rFonts w:eastAsia="Times New Roman"/>
          <w:sz w:val="24"/>
          <w:szCs w:val="24"/>
        </w:rPr>
        <w:t xml:space="preserve"> um lócus privilegiado para analisar a convergência entre conflitos comerciais, segurança energética e estratégias de desenvolvimento industrial.</w:t>
      </w:r>
    </w:p>
    <w:p w14:paraId="025991BB" w14:textId="3514347C" w:rsidR="00ED5814" w:rsidRDefault="00ED5814" w:rsidP="00D46528">
      <w:pPr>
        <w:spacing w:line="360" w:lineRule="auto"/>
        <w:ind w:firstLine="709"/>
        <w:jc w:val="both"/>
        <w:rPr>
          <w:rFonts w:eastAsia="Times New Roman"/>
          <w:sz w:val="24"/>
          <w:szCs w:val="24"/>
        </w:rPr>
      </w:pPr>
      <w:r w:rsidRPr="00ED5814">
        <w:rPr>
          <w:rFonts w:eastAsia="Times New Roman"/>
          <w:sz w:val="24"/>
          <w:szCs w:val="24"/>
        </w:rPr>
        <w:lastRenderedPageBreak/>
        <w:t>Com base em pesquisa bibliográfica atualizada e relatórios de organismos internacionais como a OCDE (2025)</w:t>
      </w:r>
      <w:r w:rsidR="00BC3EAB">
        <w:rPr>
          <w:rFonts w:eastAsia="Times New Roman"/>
          <w:sz w:val="24"/>
          <w:szCs w:val="24"/>
        </w:rPr>
        <w:t xml:space="preserve">, </w:t>
      </w:r>
      <w:r w:rsidR="00BC3EAB" w:rsidRPr="00BC3EAB">
        <w:rPr>
          <w:rFonts w:eastAsia="Times New Roman"/>
          <w:sz w:val="24"/>
          <w:szCs w:val="24"/>
        </w:rPr>
        <w:t xml:space="preserve">o texto explora </w:t>
      </w:r>
      <w:r w:rsidR="00BC3EAB">
        <w:rPr>
          <w:rFonts w:eastAsia="Times New Roman"/>
          <w:sz w:val="24"/>
          <w:szCs w:val="24"/>
        </w:rPr>
        <w:t>dois aspectos dessa conjuntura</w:t>
      </w:r>
      <w:r w:rsidR="00BC3EAB" w:rsidRPr="00BC3EAB">
        <w:rPr>
          <w:rFonts w:eastAsia="Times New Roman"/>
          <w:sz w:val="24"/>
          <w:szCs w:val="24"/>
        </w:rPr>
        <w:t>:</w:t>
      </w:r>
      <w:r w:rsidR="0095152A">
        <w:rPr>
          <w:rFonts w:eastAsia="Times New Roman"/>
          <w:sz w:val="24"/>
          <w:szCs w:val="24"/>
        </w:rPr>
        <w:t xml:space="preserve"> a</w:t>
      </w:r>
      <w:r w:rsidR="00BC3EAB" w:rsidRPr="00BC3EAB">
        <w:rPr>
          <w:rFonts w:eastAsia="Times New Roman"/>
          <w:b/>
          <w:bCs/>
          <w:sz w:val="24"/>
          <w:szCs w:val="24"/>
        </w:rPr>
        <w:t xml:space="preserve"> </w:t>
      </w:r>
      <w:r w:rsidR="00BC3EAB" w:rsidRPr="00BC3EAB">
        <w:rPr>
          <w:rFonts w:eastAsia="Times New Roman"/>
          <w:sz w:val="24"/>
          <w:szCs w:val="24"/>
        </w:rPr>
        <w:t>assimetria tecnológica</w:t>
      </w:r>
      <w:r w:rsidR="0095152A">
        <w:rPr>
          <w:rFonts w:eastAsia="Times New Roman"/>
          <w:sz w:val="24"/>
          <w:szCs w:val="24"/>
        </w:rPr>
        <w:t>, com a</w:t>
      </w:r>
      <w:r w:rsidR="00BC3EAB" w:rsidRPr="00BC3EAB">
        <w:rPr>
          <w:rFonts w:eastAsia="Times New Roman"/>
          <w:sz w:val="24"/>
          <w:szCs w:val="24"/>
        </w:rPr>
        <w:t xml:space="preserve"> liderança chinesa na produção de baterias (85% da capacidade global em 2024) e a resposta ocidental via subsídios industriais e </w:t>
      </w:r>
      <w:proofErr w:type="spellStart"/>
      <w:r w:rsidR="00BC3EAB" w:rsidRPr="00BC3EAB">
        <w:rPr>
          <w:rFonts w:eastAsia="Times New Roman"/>
          <w:i/>
          <w:iCs/>
          <w:sz w:val="24"/>
          <w:szCs w:val="24"/>
        </w:rPr>
        <w:t>nearshoring</w:t>
      </w:r>
      <w:proofErr w:type="spellEnd"/>
      <w:r w:rsidR="00513750">
        <w:rPr>
          <w:rFonts w:eastAsia="Times New Roman"/>
          <w:sz w:val="24"/>
          <w:szCs w:val="24"/>
        </w:rPr>
        <w:t>; e os</w:t>
      </w:r>
      <w:r w:rsidR="00BC3EAB" w:rsidRPr="00BC3EAB">
        <w:rPr>
          <w:rFonts w:eastAsia="Times New Roman"/>
          <w:b/>
          <w:bCs/>
          <w:sz w:val="24"/>
          <w:szCs w:val="24"/>
        </w:rPr>
        <w:t xml:space="preserve"> </w:t>
      </w:r>
      <w:r w:rsidR="00BC3EAB" w:rsidRPr="00BC3EAB">
        <w:rPr>
          <w:rFonts w:eastAsia="Times New Roman"/>
          <w:sz w:val="24"/>
          <w:szCs w:val="24"/>
        </w:rPr>
        <w:t>dilemas sistêmicos</w:t>
      </w:r>
      <w:r w:rsidR="00513750">
        <w:rPr>
          <w:rFonts w:eastAsia="Times New Roman"/>
          <w:sz w:val="24"/>
          <w:szCs w:val="24"/>
        </w:rPr>
        <w:t xml:space="preserve"> dada a</w:t>
      </w:r>
      <w:r w:rsidR="00BC3EAB" w:rsidRPr="00BC3EAB">
        <w:rPr>
          <w:rFonts w:eastAsia="Times New Roman"/>
          <w:sz w:val="24"/>
          <w:szCs w:val="24"/>
        </w:rPr>
        <w:t xml:space="preserve"> fragmentação das cadeias produtivas, exemplificada pelo setor automotivo, </w:t>
      </w:r>
      <w:r w:rsidR="00513750">
        <w:rPr>
          <w:rFonts w:eastAsia="Times New Roman"/>
          <w:sz w:val="24"/>
          <w:szCs w:val="24"/>
        </w:rPr>
        <w:t xml:space="preserve">que </w:t>
      </w:r>
      <w:r w:rsidR="00BC3EAB" w:rsidRPr="00BC3EAB">
        <w:rPr>
          <w:rFonts w:eastAsia="Times New Roman"/>
          <w:sz w:val="24"/>
          <w:szCs w:val="24"/>
        </w:rPr>
        <w:t>amplia</w:t>
      </w:r>
      <w:r w:rsidR="00513750">
        <w:rPr>
          <w:rFonts w:eastAsia="Times New Roman"/>
          <w:sz w:val="24"/>
          <w:szCs w:val="24"/>
        </w:rPr>
        <w:t xml:space="preserve"> os</w:t>
      </w:r>
      <w:r w:rsidR="00BC3EAB" w:rsidRPr="00BC3EAB">
        <w:rPr>
          <w:rFonts w:eastAsia="Times New Roman"/>
          <w:sz w:val="24"/>
          <w:szCs w:val="24"/>
        </w:rPr>
        <w:t xml:space="preserve"> riscos de estagflação e redefine alianças econômicas.</w:t>
      </w:r>
    </w:p>
    <w:p w14:paraId="6F38EB8B" w14:textId="15D1866E" w:rsidR="00BB0F3F" w:rsidRDefault="00115A87" w:rsidP="00D46528">
      <w:pPr>
        <w:spacing w:line="360" w:lineRule="auto"/>
        <w:ind w:firstLine="709"/>
        <w:jc w:val="both"/>
        <w:rPr>
          <w:rFonts w:eastAsia="Times New Roman"/>
          <w:color w:val="1A1A1A"/>
          <w:sz w:val="24"/>
          <w:szCs w:val="24"/>
        </w:rPr>
      </w:pPr>
      <w:r w:rsidRPr="00115A87">
        <w:rPr>
          <w:rFonts w:eastAsia="Times New Roman"/>
          <w:color w:val="1A1A1A"/>
          <w:sz w:val="24"/>
          <w:szCs w:val="24"/>
        </w:rPr>
        <w:t xml:space="preserve">Ao articular dados macroeconômicos com a análise setorial, o texto propõe uma reflexão sobre os limites da guerra comercial como instrumento de poder num mundo </w:t>
      </w:r>
      <w:r w:rsidR="0068129E">
        <w:rPr>
          <w:rFonts w:eastAsia="Times New Roman"/>
          <w:color w:val="1A1A1A"/>
          <w:sz w:val="24"/>
          <w:szCs w:val="24"/>
        </w:rPr>
        <w:t xml:space="preserve">em crise </w:t>
      </w:r>
      <w:r w:rsidR="00E27069">
        <w:rPr>
          <w:rFonts w:eastAsia="Times New Roman"/>
          <w:color w:val="1A1A1A"/>
          <w:sz w:val="24"/>
          <w:szCs w:val="24"/>
        </w:rPr>
        <w:t xml:space="preserve">do modelo de </w:t>
      </w:r>
      <w:r w:rsidRPr="00115A87">
        <w:rPr>
          <w:rFonts w:eastAsia="Times New Roman"/>
          <w:color w:val="1A1A1A"/>
          <w:sz w:val="24"/>
          <w:szCs w:val="24"/>
        </w:rPr>
        <w:t>globalização</w:t>
      </w:r>
      <w:r w:rsidR="00E27069">
        <w:rPr>
          <w:rFonts w:eastAsia="Times New Roman"/>
          <w:color w:val="1A1A1A"/>
          <w:sz w:val="24"/>
          <w:szCs w:val="24"/>
        </w:rPr>
        <w:t xml:space="preserve"> sob a hegemonia dos Estados Unidos</w:t>
      </w:r>
      <w:r w:rsidRPr="00115A87">
        <w:rPr>
          <w:rFonts w:eastAsia="Times New Roman"/>
          <w:color w:val="1A1A1A"/>
          <w:sz w:val="24"/>
          <w:szCs w:val="24"/>
        </w:rPr>
        <w:t xml:space="preserve">, </w:t>
      </w:r>
      <w:r w:rsidR="00E27069">
        <w:rPr>
          <w:rFonts w:eastAsia="Times New Roman"/>
          <w:color w:val="1A1A1A"/>
          <w:sz w:val="24"/>
          <w:szCs w:val="24"/>
        </w:rPr>
        <w:t>em que</w:t>
      </w:r>
      <w:r w:rsidRPr="00115A87">
        <w:rPr>
          <w:rFonts w:eastAsia="Times New Roman"/>
          <w:color w:val="1A1A1A"/>
          <w:sz w:val="24"/>
          <w:szCs w:val="24"/>
        </w:rPr>
        <w:t xml:space="preserve"> tecnologia e sustentabilidade são os novos campos de batalha.</w:t>
      </w:r>
    </w:p>
    <w:p w14:paraId="73C9FDB3" w14:textId="77777777" w:rsidR="000B5384" w:rsidRDefault="000B5384" w:rsidP="00D46528">
      <w:pPr>
        <w:spacing w:line="360" w:lineRule="auto"/>
        <w:ind w:firstLine="709"/>
        <w:jc w:val="both"/>
        <w:rPr>
          <w:rFonts w:eastAsia="Times New Roman"/>
          <w:color w:val="1A1A1A"/>
          <w:sz w:val="24"/>
          <w:szCs w:val="24"/>
        </w:rPr>
      </w:pPr>
    </w:p>
    <w:p w14:paraId="68AB6A51" w14:textId="2E0DF41B" w:rsidR="00AC00C1" w:rsidRPr="00BB0F3F" w:rsidRDefault="002A64D1" w:rsidP="00AC00C1">
      <w:pPr>
        <w:jc w:val="both"/>
        <w:rPr>
          <w:rFonts w:eastAsia="Times New Roman"/>
          <w:b/>
          <w:bCs/>
          <w:color w:val="1A1A1A"/>
          <w:sz w:val="24"/>
          <w:szCs w:val="24"/>
        </w:rPr>
      </w:pPr>
      <w:r w:rsidRPr="00BB0F3F">
        <w:rPr>
          <w:rFonts w:eastAsia="Times New Roman"/>
          <w:b/>
          <w:bCs/>
          <w:color w:val="1A1A1A"/>
          <w:sz w:val="24"/>
          <w:szCs w:val="24"/>
        </w:rPr>
        <w:t xml:space="preserve">2 </w:t>
      </w:r>
      <w:r w:rsidR="00285A34" w:rsidRPr="00BB0F3F">
        <w:rPr>
          <w:rFonts w:eastAsia="Times New Roman"/>
          <w:b/>
          <w:bCs/>
          <w:color w:val="1A1A1A"/>
          <w:sz w:val="24"/>
          <w:szCs w:val="24"/>
        </w:rPr>
        <w:t>CRISE</w:t>
      </w:r>
      <w:r w:rsidR="0075582D" w:rsidRPr="00BB0F3F">
        <w:rPr>
          <w:rFonts w:eastAsia="Times New Roman"/>
          <w:b/>
          <w:bCs/>
          <w:color w:val="1A1A1A"/>
          <w:sz w:val="24"/>
          <w:szCs w:val="24"/>
        </w:rPr>
        <w:t xml:space="preserve"> ECONÔMICA E GUERRA COMERCIAL: </w:t>
      </w:r>
      <w:r w:rsidR="00094314" w:rsidRPr="00BB0F3F">
        <w:rPr>
          <w:rFonts w:eastAsia="Times New Roman"/>
          <w:b/>
          <w:bCs/>
          <w:color w:val="1A1A1A"/>
          <w:sz w:val="24"/>
          <w:szCs w:val="24"/>
        </w:rPr>
        <w:t xml:space="preserve">as rotas </w:t>
      </w:r>
      <w:r w:rsidR="00BB0F3F" w:rsidRPr="00BB0F3F">
        <w:rPr>
          <w:rFonts w:eastAsia="Times New Roman"/>
          <w:b/>
          <w:bCs/>
          <w:color w:val="1A1A1A"/>
          <w:sz w:val="24"/>
          <w:szCs w:val="24"/>
        </w:rPr>
        <w:t>econômicas alternativas da China</w:t>
      </w:r>
    </w:p>
    <w:p w14:paraId="7CBBF9BE" w14:textId="5FA5F647" w:rsidR="00D93443" w:rsidRDefault="00C21B13" w:rsidP="00D46528">
      <w:pPr>
        <w:spacing w:line="360" w:lineRule="auto"/>
        <w:ind w:firstLine="709"/>
        <w:jc w:val="both"/>
        <w:rPr>
          <w:rFonts w:eastAsia="Times New Roman"/>
          <w:sz w:val="24"/>
          <w:szCs w:val="24"/>
        </w:rPr>
      </w:pPr>
      <w:r w:rsidRPr="00C21B13">
        <w:rPr>
          <w:rFonts w:eastAsia="Times New Roman"/>
          <w:sz w:val="24"/>
          <w:szCs w:val="24"/>
        </w:rPr>
        <w:t xml:space="preserve">A OCDE projeta que, até 2030, a China responderá por 40% da produção industrial mundial, contra 15% dos EUA. Essa divergência não se deve apenas à escala, mas à capacidade de integrar indústrias centrais em um projeto de desenvolvimento coordenado como faz o </w:t>
      </w:r>
      <w:r w:rsidR="00ED45D7">
        <w:rPr>
          <w:rFonts w:eastAsia="Times New Roman"/>
          <w:sz w:val="24"/>
          <w:szCs w:val="24"/>
        </w:rPr>
        <w:t>p</w:t>
      </w:r>
      <w:r w:rsidRPr="00C21B13">
        <w:rPr>
          <w:rFonts w:eastAsia="Times New Roman"/>
          <w:sz w:val="24"/>
          <w:szCs w:val="24"/>
        </w:rPr>
        <w:t xml:space="preserve">lano </w:t>
      </w:r>
      <w:r w:rsidR="00ED45D7">
        <w:rPr>
          <w:rFonts w:eastAsia="Times New Roman"/>
          <w:sz w:val="24"/>
          <w:szCs w:val="24"/>
        </w:rPr>
        <w:t>“</w:t>
      </w:r>
      <w:proofErr w:type="spellStart"/>
      <w:r w:rsidRPr="00C21B13">
        <w:rPr>
          <w:rFonts w:eastAsia="Times New Roman"/>
          <w:sz w:val="24"/>
          <w:szCs w:val="24"/>
        </w:rPr>
        <w:t>Made</w:t>
      </w:r>
      <w:proofErr w:type="spellEnd"/>
      <w:r w:rsidRPr="00C21B13">
        <w:rPr>
          <w:rFonts w:eastAsia="Times New Roman"/>
          <w:sz w:val="24"/>
          <w:szCs w:val="24"/>
        </w:rPr>
        <w:t xml:space="preserve"> in China 2025</w:t>
      </w:r>
      <w:r w:rsidR="0040299A">
        <w:rPr>
          <w:rStyle w:val="Refdenotaderodap"/>
          <w:rFonts w:eastAsia="Times New Roman"/>
          <w:sz w:val="24"/>
          <w:szCs w:val="24"/>
        </w:rPr>
        <w:footnoteReference w:id="4"/>
      </w:r>
      <w:r>
        <w:rPr>
          <w:rFonts w:eastAsia="Times New Roman"/>
          <w:sz w:val="24"/>
          <w:szCs w:val="24"/>
        </w:rPr>
        <w:t>”</w:t>
      </w:r>
      <w:r w:rsidRPr="00C21B13">
        <w:rPr>
          <w:rFonts w:eastAsia="Times New Roman"/>
          <w:sz w:val="24"/>
          <w:szCs w:val="24"/>
        </w:rPr>
        <w:t>. Enquanto os EUA fragmentam suas políticas entre lobbies corporativos e medidas protecionistas reativas, a China avança com planejamento estatal em setores-chave</w:t>
      </w:r>
      <w:r>
        <w:rPr>
          <w:rFonts w:eastAsia="Times New Roman"/>
          <w:sz w:val="24"/>
          <w:szCs w:val="24"/>
        </w:rPr>
        <w:t xml:space="preserve">. </w:t>
      </w:r>
    </w:p>
    <w:p w14:paraId="2014A6F9" w14:textId="12975960" w:rsidR="00E31BC8" w:rsidRPr="00E31BC8" w:rsidRDefault="00016DBE" w:rsidP="00D46528">
      <w:pPr>
        <w:spacing w:line="360" w:lineRule="auto"/>
        <w:ind w:firstLine="709"/>
        <w:jc w:val="both"/>
      </w:pPr>
      <w:r w:rsidRPr="00016DBE">
        <w:rPr>
          <w:sz w:val="24"/>
        </w:rPr>
        <w:t>Se</w:t>
      </w:r>
      <w:r w:rsidRPr="00016DBE">
        <w:rPr>
          <w:rFonts w:eastAsia="Times New Roman"/>
          <w:sz w:val="24"/>
          <w:szCs w:val="24"/>
        </w:rPr>
        <w:t xml:space="preserve"> as tarifas sobre as importações de matérias-primas dos </w:t>
      </w:r>
      <w:r w:rsidRPr="00016DBE">
        <w:rPr>
          <w:sz w:val="24"/>
        </w:rPr>
        <w:t>EUA</w:t>
      </w:r>
      <w:r w:rsidRPr="00016DBE">
        <w:rPr>
          <w:rFonts w:eastAsia="Times New Roman"/>
          <w:sz w:val="24"/>
          <w:szCs w:val="24"/>
        </w:rPr>
        <w:t xml:space="preserve"> aumentassem, e as tarifas sobre </w:t>
      </w:r>
      <w:r w:rsidRPr="00016DBE">
        <w:rPr>
          <w:sz w:val="24"/>
        </w:rPr>
        <w:t>bens</w:t>
      </w:r>
      <w:r w:rsidRPr="00016DBE">
        <w:rPr>
          <w:rFonts w:eastAsia="Times New Roman"/>
          <w:sz w:val="24"/>
          <w:szCs w:val="24"/>
        </w:rPr>
        <w:t xml:space="preserve"> com valor agregado subissem 0,3% em todos os países, a produção global poderia </w:t>
      </w:r>
      <w:r w:rsidRPr="00016DBE">
        <w:rPr>
          <w:sz w:val="24"/>
        </w:rPr>
        <w:t>cair</w:t>
      </w:r>
      <w:r w:rsidRPr="00016DBE">
        <w:rPr>
          <w:rFonts w:eastAsia="Times New Roman"/>
          <w:sz w:val="24"/>
          <w:szCs w:val="24"/>
        </w:rPr>
        <w:t xml:space="preserve"> 0,3% até o </w:t>
      </w:r>
      <w:r w:rsidRPr="00016DBE">
        <w:rPr>
          <w:sz w:val="24"/>
        </w:rPr>
        <w:t>fim</w:t>
      </w:r>
      <w:r w:rsidRPr="00016DBE">
        <w:rPr>
          <w:rFonts w:eastAsia="Times New Roman"/>
          <w:sz w:val="24"/>
          <w:szCs w:val="24"/>
        </w:rPr>
        <w:t xml:space="preserve"> do terceiro ano</w:t>
      </w:r>
      <w:r w:rsidRPr="00016DBE">
        <w:rPr>
          <w:sz w:val="24"/>
        </w:rPr>
        <w:t>. A</w:t>
      </w:r>
      <w:r w:rsidRPr="00016DBE">
        <w:rPr>
          <w:rFonts w:eastAsia="Times New Roman"/>
          <w:sz w:val="24"/>
          <w:szCs w:val="24"/>
        </w:rPr>
        <w:t xml:space="preserve"> inflação mundial poderia ser 0,4 ponto percentual </w:t>
      </w:r>
      <w:r w:rsidRPr="00016DBE">
        <w:rPr>
          <w:sz w:val="24"/>
        </w:rPr>
        <w:t>maior</w:t>
      </w:r>
      <w:r w:rsidRPr="00016DBE">
        <w:rPr>
          <w:rFonts w:eastAsia="Times New Roman"/>
          <w:sz w:val="24"/>
          <w:szCs w:val="24"/>
        </w:rPr>
        <w:t xml:space="preserve"> anualmente, em média, nos primeiros três anos. </w:t>
      </w:r>
      <w:r w:rsidRPr="00016DBE">
        <w:rPr>
          <w:sz w:val="24"/>
        </w:rPr>
        <w:t xml:space="preserve">Os impactos desses choques, exacerbados pela gestão Trump, poderiam fragmentar geopoliticamente os mercados financeiros. Isso pode militarizar ainda mais o caos </w:t>
      </w:r>
      <w:r w:rsidRPr="00016DBE">
        <w:rPr>
          <w:sz w:val="24"/>
        </w:rPr>
        <w:lastRenderedPageBreak/>
        <w:t xml:space="preserve">sistêmico, deslocando as dinâmicas econômicas para conflitos, prejudicando negócios e o consumo das famílias, conforme apontado por Marx (2017, p. </w:t>
      </w:r>
      <w:r w:rsidRPr="00016DBE">
        <w:rPr>
          <w:rFonts w:eastAsia="Times New Roman"/>
          <w:sz w:val="24"/>
          <w:szCs w:val="24"/>
        </w:rPr>
        <w:t>471).</w:t>
      </w:r>
    </w:p>
    <w:p w14:paraId="0A188B2D" w14:textId="77777777" w:rsidR="00D93443" w:rsidRDefault="00D93443" w:rsidP="00D46528">
      <w:pPr>
        <w:spacing w:line="360" w:lineRule="auto"/>
        <w:ind w:firstLine="709"/>
        <w:jc w:val="both"/>
        <w:rPr>
          <w:sz w:val="24"/>
          <w:szCs w:val="24"/>
        </w:rPr>
      </w:pPr>
      <w:r w:rsidRPr="00D93443">
        <w:rPr>
          <w:rFonts w:eastAsia="Times New Roman"/>
          <w:color w:val="000000"/>
          <w:sz w:val="24"/>
          <w:szCs w:val="24"/>
        </w:rPr>
        <w:t>Desde o retorno de Donald Trump à Casa Branca em 2025, as relações entre os EUA e a Europa e dos EUA com a China se deterioraram, com tensões tecnológicas e militares crescentes, especialmente sobre Taiwan e o Mar da China Meridional, e uma intensa disputa comercial, sinal evidente dessa disputa imperialista.</w:t>
      </w:r>
      <w:r w:rsidRPr="00DA7A0B">
        <w:rPr>
          <w:rFonts w:eastAsia="Times New Roman"/>
          <w:sz w:val="24"/>
          <w:szCs w:val="24"/>
        </w:rPr>
        <w:t xml:space="preserve"> Apesar do aumento do protecionismo, das incertezas geopolíticas e das fracas perspectivas de crescimento, a institucionalidade do “imperialismo global” existente, supõe ter os meios de garantir o padrão de e</w:t>
      </w:r>
      <w:r w:rsidRPr="00DA7A0B">
        <w:rPr>
          <w:sz w:val="24"/>
          <w:szCs w:val="24"/>
        </w:rPr>
        <w:t>xtrativismo fundado em valores extrínsecos, exploração neocolonial e financeira, ao mesmo tempo que fomenta o discurso genérico de que é necessário promover medidas globais de redução da pobreza e de transformação energética, sobretudo, pelos “governos dos países industrializados” (</w:t>
      </w:r>
      <w:proofErr w:type="spellStart"/>
      <w:r w:rsidRPr="00DA7A0B">
        <w:rPr>
          <w:sz w:val="24"/>
          <w:szCs w:val="24"/>
        </w:rPr>
        <w:t>Serfati</w:t>
      </w:r>
      <w:proofErr w:type="spellEnd"/>
      <w:r w:rsidRPr="00DA7A0B">
        <w:rPr>
          <w:sz w:val="24"/>
          <w:szCs w:val="24"/>
        </w:rPr>
        <w:t>, 2024, p. 42), tal o caso da China.</w:t>
      </w:r>
    </w:p>
    <w:p w14:paraId="0CC7A20A" w14:textId="689E1AD5" w:rsidR="00E633BA" w:rsidRDefault="00E31BC8" w:rsidP="00D46528">
      <w:pPr>
        <w:spacing w:line="360" w:lineRule="auto"/>
        <w:ind w:firstLine="709"/>
        <w:jc w:val="both"/>
        <w:rPr>
          <w:rFonts w:eastAsia="Times New Roman"/>
          <w:sz w:val="24"/>
          <w:szCs w:val="24"/>
        </w:rPr>
      </w:pPr>
      <w:r w:rsidRPr="00AA46B8">
        <w:rPr>
          <w:rFonts w:eastAsia="Times New Roman"/>
          <w:sz w:val="24"/>
          <w:szCs w:val="24"/>
        </w:rPr>
        <w:t>A disputa entre China e Estados Unidos pela liderança na produção de veículos elétricos (</w:t>
      </w:r>
      <w:proofErr w:type="spellStart"/>
      <w:r w:rsidRPr="00AA46B8">
        <w:rPr>
          <w:rFonts w:eastAsia="Times New Roman"/>
          <w:sz w:val="24"/>
          <w:szCs w:val="24"/>
        </w:rPr>
        <w:t>VEs</w:t>
      </w:r>
      <w:proofErr w:type="spellEnd"/>
      <w:r w:rsidRPr="00AA46B8">
        <w:rPr>
          <w:rFonts w:eastAsia="Times New Roman"/>
          <w:sz w:val="24"/>
          <w:szCs w:val="24"/>
        </w:rPr>
        <w:t>) não se limita a uma simples competição por fatias de mercado. Ela reflete uma batalha mais profunda pelo controle das indústrias centrais</w:t>
      </w:r>
      <w:r>
        <w:rPr>
          <w:rFonts w:eastAsia="Times New Roman"/>
          <w:sz w:val="24"/>
          <w:szCs w:val="24"/>
        </w:rPr>
        <w:t>,</w:t>
      </w:r>
      <w:r w:rsidRPr="00AA46B8">
        <w:rPr>
          <w:rFonts w:eastAsia="Times New Roman"/>
          <w:sz w:val="24"/>
          <w:szCs w:val="24"/>
        </w:rPr>
        <w:t xml:space="preserve"> setores como metal</w:t>
      </w:r>
      <w:r>
        <w:rPr>
          <w:rFonts w:eastAsia="Times New Roman"/>
          <w:sz w:val="24"/>
          <w:szCs w:val="24"/>
        </w:rPr>
        <w:t>o</w:t>
      </w:r>
      <w:r w:rsidRPr="00AA46B8">
        <w:rPr>
          <w:rFonts w:eastAsia="Times New Roman"/>
          <w:sz w:val="24"/>
          <w:szCs w:val="24"/>
        </w:rPr>
        <w:t>mecânica, eletrônica e energia, que historicamente determinam a posição relativa das nações na hierarquia econômica global. Desde a Revolução Industrial, o domínio desses segmentos tem sido sinônimo de poder geopolítico, e o atual conflito comercial apenas atualiza essa dinâmica em um contexto de transição energética e revolução digital.</w:t>
      </w:r>
      <w:r>
        <w:rPr>
          <w:rFonts w:eastAsia="Times New Roman"/>
          <w:sz w:val="24"/>
          <w:szCs w:val="24"/>
        </w:rPr>
        <w:t xml:space="preserve"> </w:t>
      </w:r>
      <w:r w:rsidRPr="00DA7A0B">
        <w:rPr>
          <w:rFonts w:eastAsia="Times New Roman"/>
          <w:sz w:val="24"/>
          <w:szCs w:val="24"/>
        </w:rPr>
        <w:t xml:space="preserve">Mas </w:t>
      </w:r>
      <w:r>
        <w:rPr>
          <w:rFonts w:eastAsia="Times New Roman"/>
          <w:sz w:val="24"/>
          <w:szCs w:val="24"/>
        </w:rPr>
        <w:t>essa</w:t>
      </w:r>
      <w:r w:rsidRPr="00DA7A0B">
        <w:rPr>
          <w:rFonts w:eastAsia="Times New Roman"/>
          <w:sz w:val="24"/>
          <w:szCs w:val="24"/>
        </w:rPr>
        <w:t xml:space="preserve"> guerra comercial, evidência de “choque de imperialismos”, apesar do impacto nas taxas de crescimento, deve acentuar a valorização do capital e não do trabalho, ampliando os movimentos de reestruturação produtiva e conformação da ordem militar-securitária (</w:t>
      </w:r>
      <w:proofErr w:type="spellStart"/>
      <w:r w:rsidRPr="00DA7A0B">
        <w:rPr>
          <w:rFonts w:eastAsia="Times New Roman"/>
          <w:sz w:val="24"/>
          <w:szCs w:val="24"/>
        </w:rPr>
        <w:t>Serfati</w:t>
      </w:r>
      <w:proofErr w:type="spellEnd"/>
      <w:r w:rsidRPr="00DA7A0B">
        <w:rPr>
          <w:rFonts w:eastAsia="Times New Roman"/>
          <w:sz w:val="24"/>
          <w:szCs w:val="24"/>
        </w:rPr>
        <w:t>, 2021, p. 191).</w:t>
      </w:r>
    </w:p>
    <w:p w14:paraId="3AB571D1" w14:textId="77777777" w:rsidR="007038BF" w:rsidRPr="00094E0E" w:rsidRDefault="007038BF" w:rsidP="00D46528">
      <w:pPr>
        <w:spacing w:line="360" w:lineRule="auto"/>
        <w:ind w:firstLine="709"/>
        <w:jc w:val="both"/>
        <w:rPr>
          <w:rFonts w:eastAsia="Times New Roman"/>
          <w:sz w:val="24"/>
          <w:szCs w:val="24"/>
        </w:rPr>
      </w:pPr>
    </w:p>
    <w:p w14:paraId="569795B5" w14:textId="6004A890" w:rsidR="004F776F" w:rsidRPr="00094E0E" w:rsidRDefault="00AC00C1" w:rsidP="00094E0E">
      <w:pPr>
        <w:jc w:val="both"/>
        <w:rPr>
          <w:b/>
          <w:bCs/>
          <w:sz w:val="24"/>
          <w:szCs w:val="24"/>
        </w:rPr>
      </w:pPr>
      <w:r w:rsidRPr="7F57DD0F">
        <w:rPr>
          <w:b/>
          <w:bCs/>
          <w:sz w:val="24"/>
          <w:szCs w:val="24"/>
        </w:rPr>
        <w:t>3</w:t>
      </w:r>
      <w:r w:rsidR="00D237F5" w:rsidRPr="7F57DD0F">
        <w:rPr>
          <w:b/>
          <w:bCs/>
          <w:sz w:val="24"/>
          <w:szCs w:val="24"/>
        </w:rPr>
        <w:t xml:space="preserve"> A CENTRALIDADE DA INDÚSTRIA DE VEÍCULOS ELÉTRICOS NA GUERRA COMERCIAL SINO-AMERICANA </w:t>
      </w:r>
    </w:p>
    <w:p w14:paraId="1285580B" w14:textId="30FC33E3" w:rsidR="00AD53DF" w:rsidRDefault="002D5795" w:rsidP="00D46528">
      <w:pPr>
        <w:spacing w:line="360" w:lineRule="auto"/>
        <w:ind w:firstLine="709"/>
        <w:jc w:val="both"/>
        <w:rPr>
          <w:sz w:val="24"/>
          <w:szCs w:val="24"/>
        </w:rPr>
      </w:pPr>
      <w:r>
        <w:rPr>
          <w:sz w:val="24"/>
          <w:szCs w:val="24"/>
        </w:rPr>
        <w:t xml:space="preserve">A China representa um caso </w:t>
      </w:r>
      <w:r w:rsidR="00126577">
        <w:rPr>
          <w:sz w:val="24"/>
          <w:szCs w:val="24"/>
        </w:rPr>
        <w:t xml:space="preserve">de crescimento econômico dirigido por políticas industriais pautadas pelos governos ao longo </w:t>
      </w:r>
      <w:r w:rsidR="009054E6">
        <w:rPr>
          <w:sz w:val="24"/>
          <w:szCs w:val="24"/>
        </w:rPr>
        <w:t xml:space="preserve">dos últimos </w:t>
      </w:r>
      <w:r w:rsidR="00D84D95">
        <w:rPr>
          <w:sz w:val="24"/>
          <w:szCs w:val="24"/>
        </w:rPr>
        <w:t xml:space="preserve">60 anos </w:t>
      </w:r>
      <w:r w:rsidR="00126577" w:rsidRPr="00E12828">
        <w:rPr>
          <w:sz w:val="24"/>
          <w:szCs w:val="24"/>
        </w:rPr>
        <w:t>(N</w:t>
      </w:r>
      <w:r w:rsidR="00E12828" w:rsidRPr="00E12828">
        <w:rPr>
          <w:sz w:val="24"/>
          <w:szCs w:val="24"/>
        </w:rPr>
        <w:t>AUGHTON</w:t>
      </w:r>
      <w:r w:rsidR="00126577" w:rsidRPr="00E12828">
        <w:rPr>
          <w:sz w:val="24"/>
          <w:szCs w:val="24"/>
        </w:rPr>
        <w:t xml:space="preserve">, </w:t>
      </w:r>
      <w:r w:rsidR="00126577" w:rsidRPr="00E12828">
        <w:rPr>
          <w:sz w:val="24"/>
          <w:szCs w:val="24"/>
        </w:rPr>
        <w:lastRenderedPageBreak/>
        <w:t>2021).</w:t>
      </w:r>
      <w:r w:rsidR="00126577">
        <w:rPr>
          <w:sz w:val="24"/>
          <w:szCs w:val="24"/>
        </w:rPr>
        <w:t xml:space="preserve"> Devido à dependência elevada de fontes de energia altamente poluentes, como o carvão e petróleo, que juntos compunham quase 80% da matriz energética chinesa em 2021 </w:t>
      </w:r>
      <w:r w:rsidR="00671BF9" w:rsidRPr="000A7995">
        <w:rPr>
          <w:sz w:val="24"/>
          <w:szCs w:val="24"/>
        </w:rPr>
        <w:t>(CHINA, 2025)</w:t>
      </w:r>
      <w:r w:rsidR="00126577">
        <w:rPr>
          <w:sz w:val="24"/>
          <w:szCs w:val="24"/>
        </w:rPr>
        <w:t xml:space="preserve">, e tendo em consideração que a China </w:t>
      </w:r>
      <w:r w:rsidR="0020563D">
        <w:rPr>
          <w:sz w:val="24"/>
          <w:szCs w:val="24"/>
        </w:rPr>
        <w:t>foi</w:t>
      </w:r>
      <w:r w:rsidR="00126577">
        <w:rPr>
          <w:sz w:val="24"/>
          <w:szCs w:val="24"/>
        </w:rPr>
        <w:t xml:space="preserve"> responsável por</w:t>
      </w:r>
      <w:r w:rsidR="0020563D">
        <w:rPr>
          <w:sz w:val="24"/>
          <w:szCs w:val="24"/>
        </w:rPr>
        <w:t xml:space="preserve"> cerca de</w:t>
      </w:r>
      <w:r w:rsidR="00126577">
        <w:rPr>
          <w:sz w:val="24"/>
          <w:szCs w:val="24"/>
        </w:rPr>
        <w:t xml:space="preserve"> 30% da emissão global de CO</w:t>
      </w:r>
      <w:r w:rsidR="005C200B">
        <w:rPr>
          <w:sz w:val="24"/>
          <w:szCs w:val="24"/>
          <w:vertAlign w:val="subscript"/>
        </w:rPr>
        <w:t>2</w:t>
      </w:r>
      <w:r w:rsidR="0020563D">
        <w:rPr>
          <w:sz w:val="24"/>
          <w:szCs w:val="24"/>
        </w:rPr>
        <w:t xml:space="preserve"> em </w:t>
      </w:r>
      <w:r w:rsidR="0020563D" w:rsidRPr="000A7995">
        <w:rPr>
          <w:sz w:val="24"/>
          <w:szCs w:val="24"/>
        </w:rPr>
        <w:t>2022</w:t>
      </w:r>
      <w:r w:rsidR="00126577" w:rsidRPr="000A7995">
        <w:rPr>
          <w:sz w:val="24"/>
          <w:szCs w:val="24"/>
        </w:rPr>
        <w:t xml:space="preserve"> (</w:t>
      </w:r>
      <w:r w:rsidR="000A7995" w:rsidRPr="000A7995">
        <w:rPr>
          <w:sz w:val="24"/>
          <w:szCs w:val="24"/>
        </w:rPr>
        <w:t>CHINA</w:t>
      </w:r>
      <w:r w:rsidR="003C72D0" w:rsidRPr="000A7995">
        <w:rPr>
          <w:sz w:val="24"/>
          <w:szCs w:val="24"/>
        </w:rPr>
        <w:t>, 2025)</w:t>
      </w:r>
      <w:r w:rsidR="00BB37B5" w:rsidRPr="000A7995">
        <w:rPr>
          <w:sz w:val="24"/>
          <w:szCs w:val="24"/>
        </w:rPr>
        <w:t>,</w:t>
      </w:r>
      <w:r w:rsidR="00BB37B5">
        <w:rPr>
          <w:sz w:val="24"/>
          <w:szCs w:val="24"/>
        </w:rPr>
        <w:t xml:space="preserve"> é prioritário para o governo chinês </w:t>
      </w:r>
      <w:r w:rsidR="004C15EB">
        <w:rPr>
          <w:sz w:val="24"/>
          <w:szCs w:val="24"/>
        </w:rPr>
        <w:t>orquestrar um d</w:t>
      </w:r>
      <w:r w:rsidR="00BB37B5">
        <w:rPr>
          <w:sz w:val="24"/>
          <w:szCs w:val="24"/>
        </w:rPr>
        <w:t>esenvolvimento econômico que seja liderado por</w:t>
      </w:r>
      <w:r w:rsidR="0016223C">
        <w:rPr>
          <w:sz w:val="24"/>
          <w:szCs w:val="24"/>
        </w:rPr>
        <w:t xml:space="preserve"> uma transição energética para uma matriz mais limpa. Sendo assim, a indústria de veículos elétricos se apresentou não apenas como uma possibilidade de promoção de</w:t>
      </w:r>
      <w:r w:rsidR="00DE2E62">
        <w:rPr>
          <w:sz w:val="24"/>
          <w:szCs w:val="24"/>
        </w:rPr>
        <w:t xml:space="preserve"> uma retórica de esforços “verdes”</w:t>
      </w:r>
      <w:r w:rsidR="00AD53DF">
        <w:rPr>
          <w:sz w:val="24"/>
          <w:szCs w:val="24"/>
        </w:rPr>
        <w:t xml:space="preserve"> por parte dos governantes</w:t>
      </w:r>
      <w:r w:rsidR="00DE2E62">
        <w:rPr>
          <w:sz w:val="24"/>
          <w:szCs w:val="24"/>
        </w:rPr>
        <w:t xml:space="preserve">, como também uma oportunidade de crescimento </w:t>
      </w:r>
      <w:r w:rsidR="00AD53DF">
        <w:rPr>
          <w:sz w:val="24"/>
          <w:szCs w:val="24"/>
        </w:rPr>
        <w:t>para as empresas</w:t>
      </w:r>
      <w:r w:rsidR="006A7389">
        <w:rPr>
          <w:sz w:val="24"/>
          <w:szCs w:val="24"/>
        </w:rPr>
        <w:t>,</w:t>
      </w:r>
      <w:r w:rsidR="00AD53DF">
        <w:rPr>
          <w:sz w:val="24"/>
          <w:szCs w:val="24"/>
        </w:rPr>
        <w:t xml:space="preserve"> que </w:t>
      </w:r>
      <w:r w:rsidR="006A7389">
        <w:rPr>
          <w:sz w:val="24"/>
          <w:szCs w:val="24"/>
        </w:rPr>
        <w:t>ob</w:t>
      </w:r>
      <w:r w:rsidR="00AD53DF">
        <w:rPr>
          <w:sz w:val="24"/>
          <w:szCs w:val="24"/>
        </w:rPr>
        <w:t>tiveram importante suporte governamental.</w:t>
      </w:r>
    </w:p>
    <w:p w14:paraId="10775671" w14:textId="22D02E5C" w:rsidR="002D5795" w:rsidRDefault="004E4DE2" w:rsidP="00D46528">
      <w:pPr>
        <w:spacing w:line="360" w:lineRule="auto"/>
        <w:ind w:firstLine="709"/>
        <w:jc w:val="both"/>
        <w:rPr>
          <w:sz w:val="24"/>
          <w:szCs w:val="24"/>
        </w:rPr>
      </w:pPr>
      <w:r>
        <w:rPr>
          <w:sz w:val="24"/>
          <w:szCs w:val="24"/>
        </w:rPr>
        <w:t xml:space="preserve"> </w:t>
      </w:r>
      <w:r w:rsidR="00312E37">
        <w:rPr>
          <w:sz w:val="24"/>
          <w:szCs w:val="24"/>
        </w:rPr>
        <w:t xml:space="preserve"> </w:t>
      </w:r>
      <w:r w:rsidR="00AF30D1">
        <w:rPr>
          <w:sz w:val="24"/>
          <w:szCs w:val="24"/>
        </w:rPr>
        <w:t xml:space="preserve">Desde </w:t>
      </w:r>
      <w:r w:rsidR="00A253FA">
        <w:rPr>
          <w:sz w:val="24"/>
          <w:szCs w:val="24"/>
        </w:rPr>
        <w:t>2009, com o programa “</w:t>
      </w:r>
      <w:r w:rsidR="00996315">
        <w:rPr>
          <w:sz w:val="24"/>
          <w:szCs w:val="24"/>
        </w:rPr>
        <w:t>Dez</w:t>
      </w:r>
      <w:r w:rsidR="00A253FA">
        <w:rPr>
          <w:sz w:val="24"/>
          <w:szCs w:val="24"/>
        </w:rPr>
        <w:t xml:space="preserve"> cidades, </w:t>
      </w:r>
      <w:r w:rsidR="00996315">
        <w:rPr>
          <w:sz w:val="24"/>
          <w:szCs w:val="24"/>
        </w:rPr>
        <w:t>Mil veículos”</w:t>
      </w:r>
      <w:r w:rsidR="007A76AA">
        <w:rPr>
          <w:sz w:val="24"/>
          <w:szCs w:val="24"/>
        </w:rPr>
        <w:t xml:space="preserve">, </w:t>
      </w:r>
      <w:r w:rsidR="00777B7C">
        <w:rPr>
          <w:sz w:val="24"/>
          <w:szCs w:val="24"/>
        </w:rPr>
        <w:t>o governo chinês tem</w:t>
      </w:r>
      <w:r w:rsidR="003050E6">
        <w:rPr>
          <w:sz w:val="24"/>
          <w:szCs w:val="24"/>
        </w:rPr>
        <w:t xml:space="preserve"> investido no setor de veículos elétricos. Entre 2010 e 2020</w:t>
      </w:r>
      <w:r w:rsidR="0033639B">
        <w:rPr>
          <w:sz w:val="24"/>
          <w:szCs w:val="24"/>
        </w:rPr>
        <w:t>,</w:t>
      </w:r>
      <w:r w:rsidR="003050E6">
        <w:rPr>
          <w:sz w:val="24"/>
          <w:szCs w:val="24"/>
        </w:rPr>
        <w:t xml:space="preserve"> estima</w:t>
      </w:r>
      <w:r w:rsidR="0033639B">
        <w:rPr>
          <w:sz w:val="24"/>
          <w:szCs w:val="24"/>
        </w:rPr>
        <w:t>-</w:t>
      </w:r>
      <w:r w:rsidR="003050E6">
        <w:rPr>
          <w:sz w:val="24"/>
          <w:szCs w:val="24"/>
        </w:rPr>
        <w:t xml:space="preserve">se que o Estado tenha investido cerca de 150 bilhões de </w:t>
      </w:r>
      <w:proofErr w:type="spellStart"/>
      <w:r w:rsidR="003050E6">
        <w:rPr>
          <w:sz w:val="24"/>
          <w:szCs w:val="24"/>
        </w:rPr>
        <w:t>renminbi</w:t>
      </w:r>
      <w:proofErr w:type="spellEnd"/>
      <w:r w:rsidR="003050E6">
        <w:rPr>
          <w:sz w:val="24"/>
          <w:szCs w:val="24"/>
        </w:rPr>
        <w:t xml:space="preserve"> </w:t>
      </w:r>
      <w:r w:rsidR="00777B7C">
        <w:rPr>
          <w:sz w:val="24"/>
          <w:szCs w:val="24"/>
        </w:rPr>
        <w:t xml:space="preserve">(RMB) em forma de subsídios nacionais para a compra de carros elétricos. </w:t>
      </w:r>
      <w:r w:rsidR="007659F6">
        <w:rPr>
          <w:sz w:val="24"/>
          <w:szCs w:val="24"/>
        </w:rPr>
        <w:t>D</w:t>
      </w:r>
      <w:r w:rsidR="00983AFD">
        <w:rPr>
          <w:sz w:val="24"/>
          <w:szCs w:val="24"/>
        </w:rPr>
        <w:t xml:space="preserve">urante esse período, foram implementados alguns planos estratégicos com o objetivo de amadurecer a indústria nascente, tais como o </w:t>
      </w:r>
      <w:r w:rsidR="00983AFD" w:rsidRPr="00DA7A0B">
        <w:rPr>
          <w:sz w:val="24"/>
          <w:szCs w:val="24"/>
        </w:rPr>
        <w:t>Plano de Conservação de Energia e Desenvolvimento de Veículos de Energia Nova (2012-2020),</w:t>
      </w:r>
      <w:r w:rsidR="00983AFD">
        <w:rPr>
          <w:sz w:val="24"/>
          <w:szCs w:val="24"/>
        </w:rPr>
        <w:t xml:space="preserve"> o</w:t>
      </w:r>
      <w:r w:rsidR="00983AFD" w:rsidRPr="00DA7A0B">
        <w:rPr>
          <w:sz w:val="24"/>
          <w:szCs w:val="24"/>
        </w:rPr>
        <w:t xml:space="preserve"> Plano de Desenvolvimento de Médio e Longo Prazo para a </w:t>
      </w:r>
      <w:r w:rsidR="00D237F5" w:rsidRPr="00DA7A0B">
        <w:rPr>
          <w:sz w:val="24"/>
          <w:szCs w:val="24"/>
        </w:rPr>
        <w:t>Ind</w:t>
      </w:r>
      <w:r w:rsidR="00D237F5">
        <w:rPr>
          <w:sz w:val="24"/>
          <w:szCs w:val="24"/>
        </w:rPr>
        <w:t>ú</w:t>
      </w:r>
      <w:r w:rsidR="00D237F5" w:rsidRPr="00DA7A0B">
        <w:rPr>
          <w:sz w:val="24"/>
          <w:szCs w:val="24"/>
        </w:rPr>
        <w:t>stria</w:t>
      </w:r>
      <w:r w:rsidR="00983AFD" w:rsidRPr="00DA7A0B">
        <w:rPr>
          <w:sz w:val="24"/>
          <w:szCs w:val="24"/>
        </w:rPr>
        <w:t xml:space="preserve"> Automobilística (2017-2025)</w:t>
      </w:r>
      <w:r w:rsidR="00983AFD">
        <w:rPr>
          <w:sz w:val="24"/>
          <w:szCs w:val="24"/>
        </w:rPr>
        <w:t xml:space="preserve"> </w:t>
      </w:r>
      <w:r w:rsidR="00E84A53">
        <w:rPr>
          <w:sz w:val="24"/>
          <w:szCs w:val="24"/>
        </w:rPr>
        <w:t xml:space="preserve">e os planos quinquenais </w:t>
      </w:r>
      <w:r w:rsidR="00E84A53" w:rsidRPr="00EE1F53">
        <w:rPr>
          <w:sz w:val="24"/>
          <w:szCs w:val="24"/>
        </w:rPr>
        <w:t>(</w:t>
      </w:r>
      <w:r w:rsidR="00627673" w:rsidRPr="00EE1F53">
        <w:rPr>
          <w:sz w:val="24"/>
          <w:szCs w:val="24"/>
        </w:rPr>
        <w:t>KAIDONG; JUNTING</w:t>
      </w:r>
      <w:r w:rsidR="00A271DC" w:rsidRPr="00EE1F53">
        <w:rPr>
          <w:sz w:val="24"/>
          <w:szCs w:val="24"/>
        </w:rPr>
        <w:t xml:space="preserve">, </w:t>
      </w:r>
      <w:r w:rsidR="00EE1F53" w:rsidRPr="00EE1F53">
        <w:rPr>
          <w:sz w:val="24"/>
          <w:szCs w:val="24"/>
        </w:rPr>
        <w:t>2024</w:t>
      </w:r>
      <w:r w:rsidR="00A271DC" w:rsidRPr="00EE1F53">
        <w:rPr>
          <w:sz w:val="24"/>
          <w:szCs w:val="24"/>
        </w:rPr>
        <w:t>).</w:t>
      </w:r>
    </w:p>
    <w:p w14:paraId="7AF2DC0E" w14:textId="74A41672" w:rsidR="009D3311" w:rsidRDefault="00536813" w:rsidP="00D46528">
      <w:pPr>
        <w:spacing w:line="360" w:lineRule="auto"/>
        <w:ind w:firstLine="709"/>
        <w:jc w:val="both"/>
        <w:rPr>
          <w:sz w:val="24"/>
          <w:szCs w:val="24"/>
        </w:rPr>
      </w:pPr>
      <w:r>
        <w:rPr>
          <w:sz w:val="24"/>
          <w:szCs w:val="24"/>
        </w:rPr>
        <w:t xml:space="preserve">Dentre as estratégias chinesas, uma das mais </w:t>
      </w:r>
      <w:r w:rsidR="004A46CE">
        <w:rPr>
          <w:sz w:val="24"/>
          <w:szCs w:val="24"/>
        </w:rPr>
        <w:t xml:space="preserve">exitosas foi </w:t>
      </w:r>
      <w:r>
        <w:rPr>
          <w:sz w:val="24"/>
          <w:szCs w:val="24"/>
        </w:rPr>
        <w:t xml:space="preserve">garantir o suprimento das partes tecnológicas para a produção dos </w:t>
      </w:r>
      <w:r w:rsidR="00D82D82">
        <w:rPr>
          <w:sz w:val="24"/>
          <w:szCs w:val="24"/>
        </w:rPr>
        <w:t>veículos</w:t>
      </w:r>
      <w:r>
        <w:rPr>
          <w:sz w:val="24"/>
          <w:szCs w:val="24"/>
        </w:rPr>
        <w:t xml:space="preserve"> elé</w:t>
      </w:r>
      <w:r w:rsidR="00D82D82">
        <w:rPr>
          <w:sz w:val="24"/>
          <w:szCs w:val="24"/>
        </w:rPr>
        <w:t>tricos</w:t>
      </w:r>
      <w:r w:rsidR="004A46CE">
        <w:rPr>
          <w:sz w:val="24"/>
          <w:szCs w:val="24"/>
        </w:rPr>
        <w:t xml:space="preserve">, controlando toda a cadeia </w:t>
      </w:r>
      <w:r w:rsidR="00300BB5">
        <w:rPr>
          <w:sz w:val="24"/>
          <w:szCs w:val="24"/>
        </w:rPr>
        <w:t>produtiva, desde a mineração dos chamados “min</w:t>
      </w:r>
      <w:r w:rsidR="00A27022">
        <w:rPr>
          <w:sz w:val="24"/>
          <w:szCs w:val="24"/>
        </w:rPr>
        <w:t>e</w:t>
      </w:r>
      <w:r w:rsidR="00300BB5">
        <w:rPr>
          <w:sz w:val="24"/>
          <w:szCs w:val="24"/>
        </w:rPr>
        <w:t>r</w:t>
      </w:r>
      <w:r w:rsidR="00A27022">
        <w:rPr>
          <w:sz w:val="24"/>
          <w:szCs w:val="24"/>
        </w:rPr>
        <w:t>ais</w:t>
      </w:r>
      <w:r w:rsidR="00300BB5">
        <w:rPr>
          <w:sz w:val="24"/>
          <w:szCs w:val="24"/>
        </w:rPr>
        <w:t xml:space="preserve"> terras raras” até a produção das baterias elétricas de íon-lítio, componentes imprescindíveis para os carros elétricos. </w:t>
      </w:r>
      <w:r w:rsidR="00DC75E8">
        <w:rPr>
          <w:sz w:val="24"/>
          <w:szCs w:val="24"/>
        </w:rPr>
        <w:t>Como pode ser visto n</w:t>
      </w:r>
      <w:r w:rsidR="006B4F69">
        <w:rPr>
          <w:sz w:val="24"/>
          <w:szCs w:val="24"/>
        </w:rPr>
        <w:t xml:space="preserve">o Gráfico </w:t>
      </w:r>
      <w:r w:rsidR="00DC75E8">
        <w:rPr>
          <w:sz w:val="24"/>
          <w:szCs w:val="24"/>
        </w:rPr>
        <w:t xml:space="preserve">1, </w:t>
      </w:r>
      <w:r w:rsidR="00442DBF">
        <w:rPr>
          <w:sz w:val="24"/>
          <w:szCs w:val="24"/>
        </w:rPr>
        <w:t xml:space="preserve">a China </w:t>
      </w:r>
      <w:r w:rsidR="00390AAB">
        <w:rPr>
          <w:sz w:val="24"/>
          <w:szCs w:val="24"/>
        </w:rPr>
        <w:t xml:space="preserve">é responsável por mais de 60% da mineração do grafite, mineral </w:t>
      </w:r>
      <w:r w:rsidR="00151A8D">
        <w:rPr>
          <w:sz w:val="24"/>
          <w:szCs w:val="24"/>
        </w:rPr>
        <w:t xml:space="preserve">indispensável na produção dos ânodos, componentes pela descarga negativa dentro das baterias. </w:t>
      </w:r>
      <w:r w:rsidR="00147040">
        <w:rPr>
          <w:sz w:val="24"/>
          <w:szCs w:val="24"/>
        </w:rPr>
        <w:t xml:space="preserve">Além disso, </w:t>
      </w:r>
      <w:r w:rsidR="00293820">
        <w:rPr>
          <w:sz w:val="24"/>
          <w:szCs w:val="24"/>
        </w:rPr>
        <w:t xml:space="preserve">na etapa do processamento dos minerais, </w:t>
      </w:r>
      <w:r w:rsidR="002746B1">
        <w:rPr>
          <w:sz w:val="24"/>
          <w:szCs w:val="24"/>
        </w:rPr>
        <w:t>os chineses apresentam uma alta expertise, sendo responsáveis por</w:t>
      </w:r>
      <w:r w:rsidR="007C6368">
        <w:rPr>
          <w:sz w:val="24"/>
          <w:szCs w:val="24"/>
        </w:rPr>
        <w:t xml:space="preserve"> quase 40% do processamento do níquel,</w:t>
      </w:r>
      <w:r w:rsidR="002746B1">
        <w:rPr>
          <w:sz w:val="24"/>
          <w:szCs w:val="24"/>
        </w:rPr>
        <w:t xml:space="preserve"> </w:t>
      </w:r>
      <w:r w:rsidR="00BD77B3">
        <w:rPr>
          <w:sz w:val="24"/>
          <w:szCs w:val="24"/>
        </w:rPr>
        <w:t xml:space="preserve">mais de 60% do </w:t>
      </w:r>
      <w:r w:rsidR="00BD77B3">
        <w:rPr>
          <w:sz w:val="24"/>
          <w:szCs w:val="24"/>
        </w:rPr>
        <w:lastRenderedPageBreak/>
        <w:t xml:space="preserve">processamento do lítio e cobalto, e quase </w:t>
      </w:r>
      <w:r w:rsidR="00743FF4">
        <w:rPr>
          <w:sz w:val="24"/>
          <w:szCs w:val="24"/>
        </w:rPr>
        <w:t>100% do processamento do grafite</w:t>
      </w:r>
      <w:r w:rsidR="00443CD3">
        <w:rPr>
          <w:sz w:val="24"/>
          <w:szCs w:val="24"/>
        </w:rPr>
        <w:t xml:space="preserve">. Por fim, na outra ponta da cadeia produtiva, a China produz </w:t>
      </w:r>
      <w:r w:rsidR="00C20F62">
        <w:rPr>
          <w:sz w:val="24"/>
          <w:szCs w:val="24"/>
        </w:rPr>
        <w:t xml:space="preserve">mais de 75% das células de baterias elétricas e quase 50% dos veículos </w:t>
      </w:r>
      <w:r w:rsidR="007C6368">
        <w:rPr>
          <w:sz w:val="24"/>
          <w:szCs w:val="24"/>
        </w:rPr>
        <w:t>elétricos.</w:t>
      </w:r>
      <w:r w:rsidR="00CA5F58">
        <w:rPr>
          <w:sz w:val="24"/>
          <w:szCs w:val="24"/>
        </w:rPr>
        <w:t xml:space="preserve"> Tais fatos demonstram que os chineses </w:t>
      </w:r>
      <w:r w:rsidR="00443FE8">
        <w:rPr>
          <w:sz w:val="24"/>
          <w:szCs w:val="24"/>
        </w:rPr>
        <w:t>garantiram domínio na cadeia de produção dos veículos elétricos</w:t>
      </w:r>
      <w:r w:rsidR="00DE0631">
        <w:rPr>
          <w:sz w:val="24"/>
          <w:szCs w:val="24"/>
        </w:rPr>
        <w:t xml:space="preserve">, garantindo que a indústria não seja afetada de forma direta </w:t>
      </w:r>
      <w:r w:rsidR="003F54DC">
        <w:rPr>
          <w:sz w:val="24"/>
          <w:szCs w:val="24"/>
        </w:rPr>
        <w:t>por uma crise</w:t>
      </w:r>
      <w:r w:rsidR="00C6741B">
        <w:rPr>
          <w:sz w:val="24"/>
          <w:szCs w:val="24"/>
        </w:rPr>
        <w:t xml:space="preserve"> global</w:t>
      </w:r>
      <w:r w:rsidR="003F54DC">
        <w:rPr>
          <w:sz w:val="24"/>
          <w:szCs w:val="24"/>
        </w:rPr>
        <w:t xml:space="preserve"> na produção dos componentes</w:t>
      </w:r>
      <w:r w:rsidR="00E73B66">
        <w:rPr>
          <w:sz w:val="24"/>
          <w:szCs w:val="24"/>
        </w:rPr>
        <w:t xml:space="preserve"> necessários</w:t>
      </w:r>
      <w:r w:rsidR="00DE0631">
        <w:rPr>
          <w:sz w:val="24"/>
          <w:szCs w:val="24"/>
        </w:rPr>
        <w:t>.</w:t>
      </w:r>
    </w:p>
    <w:p w14:paraId="017FE2F1" w14:textId="04780A8B" w:rsidR="00B46BC7" w:rsidRPr="00B46BC7" w:rsidRDefault="00B46BC7" w:rsidP="00B77265">
      <w:pPr>
        <w:jc w:val="center"/>
        <w:rPr>
          <w:sz w:val="24"/>
          <w:szCs w:val="24"/>
        </w:rPr>
      </w:pPr>
      <w:r w:rsidRPr="00B46BC7">
        <w:rPr>
          <w:sz w:val="24"/>
          <w:szCs w:val="24"/>
        </w:rPr>
        <w:t xml:space="preserve">Gráfico 1 </w:t>
      </w:r>
      <w:r w:rsidR="00E73B66">
        <w:rPr>
          <w:sz w:val="24"/>
          <w:szCs w:val="24"/>
        </w:rPr>
        <w:t>–</w:t>
      </w:r>
      <w:r w:rsidR="00B77265">
        <w:rPr>
          <w:sz w:val="24"/>
          <w:szCs w:val="24"/>
        </w:rPr>
        <w:t xml:space="preserve"> </w:t>
      </w:r>
      <w:r w:rsidR="00B77265" w:rsidRPr="00B77265">
        <w:rPr>
          <w:sz w:val="24"/>
          <w:szCs w:val="24"/>
        </w:rPr>
        <w:t>Participação por País/Região nas Etapas da Cadeia de Valor das</w:t>
      </w:r>
      <w:r w:rsidR="00B77265">
        <w:rPr>
          <w:sz w:val="24"/>
          <w:szCs w:val="24"/>
        </w:rPr>
        <w:t xml:space="preserve"> </w:t>
      </w:r>
      <w:r w:rsidR="00B77265" w:rsidRPr="00B77265">
        <w:rPr>
          <w:sz w:val="24"/>
          <w:szCs w:val="24"/>
        </w:rPr>
        <w:t>Baterias</w:t>
      </w:r>
    </w:p>
    <w:p w14:paraId="77A43666" w14:textId="233348E3" w:rsidR="00D93443" w:rsidRDefault="0057399D" w:rsidP="00D93443">
      <w:pPr>
        <w:jc w:val="center"/>
      </w:pPr>
      <w:r>
        <w:rPr>
          <w:noProof/>
        </w:rPr>
        <w:drawing>
          <wp:inline distT="0" distB="0" distL="0" distR="0" wp14:anchorId="28520DDD" wp14:editId="6196D348">
            <wp:extent cx="4953000" cy="3202589"/>
            <wp:effectExtent l="0" t="0" r="0" b="0"/>
            <wp:docPr id="8832235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23562" name="Imagem 883223562"/>
                    <pic:cNvPicPr/>
                  </pic:nvPicPr>
                  <pic:blipFill rotWithShape="1">
                    <a:blip r:embed="rId8">
                      <a:extLst>
                        <a:ext uri="{28A0092B-C50C-407E-A947-70E740481C1C}">
                          <a14:useLocalDpi xmlns:a14="http://schemas.microsoft.com/office/drawing/2010/main" val="0"/>
                        </a:ext>
                      </a:extLst>
                    </a:blip>
                    <a:srcRect t="3579"/>
                    <a:stretch>
                      <a:fillRect/>
                    </a:stretch>
                  </pic:blipFill>
                  <pic:spPr bwMode="auto">
                    <a:xfrm>
                      <a:off x="0" y="0"/>
                      <a:ext cx="5004697" cy="3236016"/>
                    </a:xfrm>
                    <a:prstGeom prst="rect">
                      <a:avLst/>
                    </a:prstGeom>
                    <a:ln>
                      <a:noFill/>
                    </a:ln>
                    <a:extLst>
                      <a:ext uri="{53640926-AAD7-44D8-BBD7-CCE9431645EC}">
                        <a14:shadowObscured xmlns:a14="http://schemas.microsoft.com/office/drawing/2010/main"/>
                      </a:ext>
                    </a:extLst>
                  </pic:spPr>
                </pic:pic>
              </a:graphicData>
            </a:graphic>
          </wp:inline>
        </w:drawing>
      </w:r>
    </w:p>
    <w:p w14:paraId="71C7D5F2" w14:textId="6BF6FDC4" w:rsidR="00D93443" w:rsidRPr="003C17C7" w:rsidRDefault="00D93443" w:rsidP="00D93443">
      <w:pPr>
        <w:rPr>
          <w:sz w:val="20"/>
          <w:szCs w:val="20"/>
        </w:rPr>
      </w:pPr>
      <w:r w:rsidRPr="003C17C7">
        <w:rPr>
          <w:sz w:val="20"/>
          <w:szCs w:val="20"/>
        </w:rPr>
        <w:t xml:space="preserve">Fonte: </w:t>
      </w:r>
      <w:r w:rsidR="003C17C7" w:rsidRPr="003C17C7">
        <w:rPr>
          <w:sz w:val="20"/>
          <w:szCs w:val="20"/>
        </w:rPr>
        <w:t>elaborado pelas autoras com base nos dados da IEA (2025)</w:t>
      </w:r>
      <w:r w:rsidR="003161A4">
        <w:rPr>
          <w:sz w:val="20"/>
          <w:szCs w:val="20"/>
        </w:rPr>
        <w:t>.</w:t>
      </w:r>
    </w:p>
    <w:p w14:paraId="11033F4F" w14:textId="77777777" w:rsidR="002D5795" w:rsidRDefault="002D5795" w:rsidP="00D93443">
      <w:pPr>
        <w:rPr>
          <w:sz w:val="24"/>
          <w:szCs w:val="24"/>
        </w:rPr>
      </w:pPr>
    </w:p>
    <w:p w14:paraId="289E3E6E" w14:textId="036005BF" w:rsidR="007B397D" w:rsidRDefault="16C7BC43" w:rsidP="00D46528">
      <w:pPr>
        <w:spacing w:line="360" w:lineRule="auto"/>
        <w:ind w:firstLine="709"/>
        <w:jc w:val="both"/>
        <w:rPr>
          <w:sz w:val="24"/>
          <w:szCs w:val="24"/>
          <w:highlight w:val="yellow"/>
        </w:rPr>
      </w:pPr>
      <w:r w:rsidRPr="7F57DD0F">
        <w:rPr>
          <w:sz w:val="24"/>
          <w:szCs w:val="24"/>
        </w:rPr>
        <w:t xml:space="preserve">Além dos investimentos na cadeira produtiva, o sucesso da indústria chinesa de carros elétricos se deve também ao investimento estatal maciço nas estações de carregamento de veículos elétricos. </w:t>
      </w:r>
      <w:r w:rsidR="00CE2495" w:rsidRPr="00A32FBE">
        <w:rPr>
          <w:sz w:val="24"/>
          <w:szCs w:val="24"/>
        </w:rPr>
        <w:t>E</w:t>
      </w:r>
      <w:r w:rsidR="00BD2F7F" w:rsidRPr="00A32FBE">
        <w:rPr>
          <w:sz w:val="24"/>
          <w:szCs w:val="24"/>
        </w:rPr>
        <w:t>m</w:t>
      </w:r>
      <w:r w:rsidR="00CE2495" w:rsidRPr="00A32FBE">
        <w:rPr>
          <w:sz w:val="24"/>
          <w:szCs w:val="24"/>
        </w:rPr>
        <w:t xml:space="preserve"> 2021</w:t>
      </w:r>
      <w:r w:rsidR="00F20D3D">
        <w:rPr>
          <w:sz w:val="24"/>
          <w:szCs w:val="24"/>
        </w:rPr>
        <w:t>,</w:t>
      </w:r>
      <w:r w:rsidR="00CE2495" w:rsidRPr="00A32FBE">
        <w:rPr>
          <w:sz w:val="24"/>
          <w:szCs w:val="24"/>
        </w:rPr>
        <w:t xml:space="preserve"> </w:t>
      </w:r>
      <w:r w:rsidR="00BD2F7F" w:rsidRPr="00A32FBE">
        <w:rPr>
          <w:sz w:val="24"/>
          <w:szCs w:val="24"/>
        </w:rPr>
        <w:t xml:space="preserve">o Estado chinês </w:t>
      </w:r>
      <w:r w:rsidR="00E84C6E" w:rsidRPr="00A32FBE">
        <w:rPr>
          <w:sz w:val="24"/>
          <w:szCs w:val="24"/>
        </w:rPr>
        <w:t>era</w:t>
      </w:r>
      <w:r w:rsidR="00A34C86" w:rsidRPr="00A32FBE">
        <w:rPr>
          <w:sz w:val="24"/>
          <w:szCs w:val="24"/>
        </w:rPr>
        <w:t xml:space="preserve"> respons</w:t>
      </w:r>
      <w:r w:rsidR="00E84C6E" w:rsidRPr="00A32FBE">
        <w:rPr>
          <w:sz w:val="24"/>
          <w:szCs w:val="24"/>
        </w:rPr>
        <w:t xml:space="preserve">ável por mais de 80% das estações de carregamento rápido e </w:t>
      </w:r>
      <w:r w:rsidR="002D710F" w:rsidRPr="00A32FBE">
        <w:rPr>
          <w:sz w:val="24"/>
          <w:szCs w:val="24"/>
        </w:rPr>
        <w:t>quase 60% das estações de carregamento lenta (</w:t>
      </w:r>
      <w:r w:rsidR="00975644">
        <w:rPr>
          <w:sz w:val="24"/>
          <w:szCs w:val="24"/>
        </w:rPr>
        <w:t>CHINA</w:t>
      </w:r>
      <w:r w:rsidR="002D710F" w:rsidRPr="00A32FBE">
        <w:rPr>
          <w:sz w:val="24"/>
          <w:szCs w:val="24"/>
        </w:rPr>
        <w:t>, 2025)</w:t>
      </w:r>
      <w:r w:rsidR="00E84C6E" w:rsidRPr="00A32FBE">
        <w:rPr>
          <w:sz w:val="24"/>
          <w:szCs w:val="24"/>
        </w:rPr>
        <w:t>.</w:t>
      </w:r>
      <w:r w:rsidR="004C4DD4" w:rsidRPr="00A32FBE">
        <w:rPr>
          <w:sz w:val="24"/>
          <w:szCs w:val="24"/>
        </w:rPr>
        <w:t xml:space="preserve"> </w:t>
      </w:r>
      <w:r w:rsidRPr="00A32FBE">
        <w:rPr>
          <w:sz w:val="24"/>
          <w:szCs w:val="24"/>
        </w:rPr>
        <w:t xml:space="preserve">O governo escolheu pontos estratégicos para a instalação das estações de carregamento, tais como estacionamentos de parques </w:t>
      </w:r>
      <w:r w:rsidRPr="00A32FBE">
        <w:rPr>
          <w:sz w:val="24"/>
          <w:szCs w:val="24"/>
        </w:rPr>
        <w:lastRenderedPageBreak/>
        <w:t>públicos e locais nas rodovias que ligam as cidades, devido a necessidade de recarga a cada poucas centenas de quilômetros rodados</w:t>
      </w:r>
      <w:r w:rsidR="00D62D9E">
        <w:rPr>
          <w:sz w:val="24"/>
          <w:szCs w:val="24"/>
        </w:rPr>
        <w:t>.</w:t>
      </w:r>
    </w:p>
    <w:p w14:paraId="46A8A133" w14:textId="0FA7B1BA" w:rsidR="008639E8" w:rsidRDefault="00D2245D" w:rsidP="00D46528">
      <w:pPr>
        <w:spacing w:line="360" w:lineRule="auto"/>
        <w:ind w:firstLine="709"/>
        <w:jc w:val="both"/>
        <w:rPr>
          <w:sz w:val="24"/>
          <w:szCs w:val="24"/>
        </w:rPr>
      </w:pPr>
      <w:r>
        <w:rPr>
          <w:sz w:val="24"/>
          <w:szCs w:val="24"/>
        </w:rPr>
        <w:t xml:space="preserve">O setor de energias </w:t>
      </w:r>
      <w:r w:rsidR="00D0577E">
        <w:rPr>
          <w:sz w:val="24"/>
          <w:szCs w:val="24"/>
        </w:rPr>
        <w:t>limpas</w:t>
      </w:r>
      <w:r>
        <w:rPr>
          <w:sz w:val="24"/>
          <w:szCs w:val="24"/>
        </w:rPr>
        <w:t xml:space="preserve">, incluindo </w:t>
      </w:r>
      <w:r w:rsidR="005913DD">
        <w:rPr>
          <w:sz w:val="24"/>
          <w:szCs w:val="24"/>
        </w:rPr>
        <w:t>a indústria de baterias e veículos elétricos, foram responsáveis por cerca de 10% do PIB chinês em 2024</w:t>
      </w:r>
      <w:r w:rsidR="00092A9D">
        <w:rPr>
          <w:sz w:val="24"/>
          <w:szCs w:val="24"/>
        </w:rPr>
        <w:t xml:space="preserve"> </w:t>
      </w:r>
      <w:r w:rsidR="00092A9D" w:rsidRPr="00E845B7">
        <w:rPr>
          <w:sz w:val="24"/>
          <w:szCs w:val="24"/>
        </w:rPr>
        <w:t>(</w:t>
      </w:r>
      <w:r w:rsidR="00D2687D">
        <w:rPr>
          <w:sz w:val="24"/>
          <w:szCs w:val="24"/>
        </w:rPr>
        <w:t>MYLLYVIRTA,</w:t>
      </w:r>
      <w:r w:rsidR="00BE4A4C">
        <w:rPr>
          <w:sz w:val="24"/>
          <w:szCs w:val="24"/>
        </w:rPr>
        <w:t xml:space="preserve"> 202</w:t>
      </w:r>
      <w:r w:rsidR="00800752">
        <w:rPr>
          <w:sz w:val="24"/>
          <w:szCs w:val="24"/>
        </w:rPr>
        <w:t>5</w:t>
      </w:r>
      <w:r w:rsidR="00BE4A4C">
        <w:rPr>
          <w:sz w:val="24"/>
          <w:szCs w:val="24"/>
        </w:rPr>
        <w:t>)</w:t>
      </w:r>
      <w:r w:rsidR="005913DD" w:rsidRPr="00E845B7">
        <w:rPr>
          <w:sz w:val="24"/>
          <w:szCs w:val="24"/>
        </w:rPr>
        <w:t>.</w:t>
      </w:r>
      <w:r w:rsidR="005913DD">
        <w:rPr>
          <w:sz w:val="24"/>
          <w:szCs w:val="24"/>
        </w:rPr>
        <w:t xml:space="preserve"> </w:t>
      </w:r>
      <w:r w:rsidR="00FE1680">
        <w:rPr>
          <w:sz w:val="24"/>
          <w:szCs w:val="24"/>
        </w:rPr>
        <w:t>E</w:t>
      </w:r>
      <w:r w:rsidR="00092A9D">
        <w:rPr>
          <w:sz w:val="24"/>
          <w:szCs w:val="24"/>
        </w:rPr>
        <w:t xml:space="preserve">ntretanto, </w:t>
      </w:r>
      <w:r w:rsidR="0091240B">
        <w:rPr>
          <w:sz w:val="24"/>
          <w:szCs w:val="24"/>
        </w:rPr>
        <w:t xml:space="preserve">a economia chinesa depende intensamente de termoelétricas, movidas principalmente a carvão, para a produção de energia elétrica. Tal </w:t>
      </w:r>
      <w:r w:rsidR="006362C3">
        <w:rPr>
          <w:sz w:val="24"/>
          <w:szCs w:val="24"/>
        </w:rPr>
        <w:t xml:space="preserve">fato </w:t>
      </w:r>
      <w:r w:rsidR="008D2A33">
        <w:rPr>
          <w:sz w:val="24"/>
          <w:szCs w:val="24"/>
        </w:rPr>
        <w:t xml:space="preserve">descompensa </w:t>
      </w:r>
      <w:r w:rsidR="00CE277D">
        <w:rPr>
          <w:sz w:val="24"/>
          <w:szCs w:val="24"/>
        </w:rPr>
        <w:t xml:space="preserve">a não emissão de gases </w:t>
      </w:r>
      <w:r w:rsidR="004F1490">
        <w:rPr>
          <w:sz w:val="24"/>
          <w:szCs w:val="24"/>
        </w:rPr>
        <w:t>que intensificam o aquecimento global</w:t>
      </w:r>
      <w:r w:rsidR="000902D1">
        <w:rPr>
          <w:sz w:val="24"/>
          <w:szCs w:val="24"/>
        </w:rPr>
        <w:t xml:space="preserve"> pelos veículos elétricos</w:t>
      </w:r>
      <w:r w:rsidR="004F1490">
        <w:rPr>
          <w:sz w:val="24"/>
          <w:szCs w:val="24"/>
        </w:rPr>
        <w:t xml:space="preserve">. Ademais, as baterias de íon-lítio dos carros </w:t>
      </w:r>
      <w:r w:rsidR="00157488">
        <w:rPr>
          <w:sz w:val="24"/>
          <w:szCs w:val="24"/>
        </w:rPr>
        <w:t xml:space="preserve">possuem um ciclo de vida próximo a cinco anos, devendo ser trocadas </w:t>
      </w:r>
      <w:r w:rsidR="00330BC3">
        <w:rPr>
          <w:sz w:val="24"/>
          <w:szCs w:val="24"/>
        </w:rPr>
        <w:t xml:space="preserve">após esse período. O descarte das baterias </w:t>
      </w:r>
      <w:r w:rsidR="00335187">
        <w:rPr>
          <w:sz w:val="24"/>
          <w:szCs w:val="24"/>
        </w:rPr>
        <w:t xml:space="preserve">ainda é um problema a ser endereçado, </w:t>
      </w:r>
      <w:r w:rsidR="00830EC6">
        <w:rPr>
          <w:sz w:val="24"/>
          <w:szCs w:val="24"/>
        </w:rPr>
        <w:t>além disso,</w:t>
      </w:r>
      <w:r w:rsidR="00335187">
        <w:rPr>
          <w:sz w:val="24"/>
          <w:szCs w:val="24"/>
        </w:rPr>
        <w:t xml:space="preserve"> a própria mineração do lítio, principal composto da bateria, </w:t>
      </w:r>
      <w:r w:rsidR="00830EC6">
        <w:rPr>
          <w:sz w:val="24"/>
          <w:szCs w:val="24"/>
        </w:rPr>
        <w:t>causam pegadas negativas na natureza</w:t>
      </w:r>
      <w:r w:rsidR="00274D4B">
        <w:rPr>
          <w:sz w:val="24"/>
          <w:szCs w:val="24"/>
        </w:rPr>
        <w:t xml:space="preserve"> </w:t>
      </w:r>
      <w:r w:rsidR="00274D4B" w:rsidRPr="00E845B7">
        <w:rPr>
          <w:sz w:val="24"/>
          <w:szCs w:val="24"/>
        </w:rPr>
        <w:t>(</w:t>
      </w:r>
      <w:r w:rsidR="00E845B7" w:rsidRPr="00E845B7">
        <w:rPr>
          <w:sz w:val="24"/>
          <w:szCs w:val="24"/>
        </w:rPr>
        <w:t>FLEXER; BASPINEIRO; GALLI, 2018</w:t>
      </w:r>
      <w:r w:rsidR="00274D4B" w:rsidRPr="00E845B7">
        <w:rPr>
          <w:sz w:val="24"/>
          <w:szCs w:val="24"/>
        </w:rPr>
        <w:t>).</w:t>
      </w:r>
      <w:r w:rsidR="00042007">
        <w:rPr>
          <w:sz w:val="24"/>
          <w:szCs w:val="24"/>
        </w:rPr>
        <w:t xml:space="preserve"> </w:t>
      </w:r>
    </w:p>
    <w:p w14:paraId="33FB723B" w14:textId="14F4715A" w:rsidR="00D93443" w:rsidRPr="00DA7A0B" w:rsidRDefault="492E7383" w:rsidP="00D46528">
      <w:pPr>
        <w:spacing w:line="360" w:lineRule="auto"/>
        <w:ind w:firstLine="709"/>
        <w:jc w:val="both"/>
        <w:rPr>
          <w:sz w:val="24"/>
          <w:szCs w:val="24"/>
        </w:rPr>
      </w:pPr>
      <w:r w:rsidRPr="492E7383">
        <w:rPr>
          <w:sz w:val="24"/>
          <w:szCs w:val="24"/>
        </w:rPr>
        <w:t xml:space="preserve">Os resultados das políticas voltadas ao desenvolvimento da indústria automotiva chinesa, com enfoque nos veículos elétricos, abriram um campo de disputa em um mercado incipiente e promissor. O avanço das empresas chinesas nos mercados, tanto de países emergentes quanto de imperialistas, promoveu um cenário que agravou a crise de lucratividade das montadoras tradicionais e impulsionou mais um setor para o quadro da crise do multilateralismo. </w:t>
      </w:r>
    </w:p>
    <w:p w14:paraId="505A1CB2" w14:textId="77777777" w:rsidR="00D93443" w:rsidRPr="00DA7A0B" w:rsidRDefault="00D93443" w:rsidP="00D46528">
      <w:pPr>
        <w:spacing w:line="360" w:lineRule="auto"/>
        <w:ind w:firstLine="709"/>
        <w:jc w:val="both"/>
        <w:rPr>
          <w:sz w:val="24"/>
          <w:szCs w:val="24"/>
        </w:rPr>
      </w:pPr>
      <w:r w:rsidRPr="00DA7A0B">
        <w:rPr>
          <w:sz w:val="24"/>
          <w:szCs w:val="24"/>
        </w:rPr>
        <w:t>O estabelecimento de barreiras tarifárias aos veículos elétricos chineses tem impulsionado uma série de dinâmicas contraditórias, que tornam o cenário do setor automobilístico bastante conflituoso e incerto. No caso da União Europeia, observa-se um movimento “pendular” em relação à China, de escalada e relaxamento de posições, tendo em vista: (i) a maior capacidade competitiva alemã no setor automobilístico e a vinculação tanto ponto de vista do fornecimento de peças e componentes quanto do mercado consumidor chinês - que se traduzem em uma posição mais flexível por parte deste agente; (</w:t>
      </w:r>
      <w:proofErr w:type="spellStart"/>
      <w:r w:rsidRPr="00DA7A0B">
        <w:rPr>
          <w:sz w:val="24"/>
          <w:szCs w:val="24"/>
        </w:rPr>
        <w:t>ii</w:t>
      </w:r>
      <w:proofErr w:type="spellEnd"/>
      <w:r w:rsidRPr="00DA7A0B">
        <w:rPr>
          <w:sz w:val="24"/>
          <w:szCs w:val="24"/>
        </w:rPr>
        <w:t xml:space="preserve">) discurso mais alinhado aos mecanismos de proteção por parte de competidores como França e Itália, mais fragilizados pela concorrência chinesa. Neste sentido, a partir do estabelecimento das </w:t>
      </w:r>
      <w:r w:rsidRPr="00DA7A0B">
        <w:rPr>
          <w:sz w:val="24"/>
          <w:szCs w:val="24"/>
        </w:rPr>
        <w:lastRenderedPageBreak/>
        <w:t>tarifas, abriu-se, também, uma fenda que permitiu o início de negociações em termos de possibilidades de cooperação na produção de veículos elétricos.</w:t>
      </w:r>
    </w:p>
    <w:p w14:paraId="592A80C2" w14:textId="5B982470" w:rsidR="00D93443" w:rsidRPr="00DA7A0B" w:rsidRDefault="00725831" w:rsidP="00D46528">
      <w:pPr>
        <w:spacing w:line="360" w:lineRule="auto"/>
        <w:ind w:firstLine="709"/>
        <w:jc w:val="both"/>
        <w:rPr>
          <w:sz w:val="24"/>
          <w:szCs w:val="24"/>
          <w:highlight w:val="yellow"/>
        </w:rPr>
      </w:pPr>
      <w:r>
        <w:rPr>
          <w:sz w:val="24"/>
          <w:szCs w:val="24"/>
        </w:rPr>
        <w:t>Um</w:t>
      </w:r>
      <w:r w:rsidR="2A50D903" w:rsidRPr="2A50D903">
        <w:rPr>
          <w:sz w:val="24"/>
          <w:szCs w:val="24"/>
        </w:rPr>
        <w:t xml:space="preserve"> fator que leva a China à mesa de negociação com os países europeus</w:t>
      </w:r>
      <w:r>
        <w:rPr>
          <w:sz w:val="24"/>
          <w:szCs w:val="24"/>
        </w:rPr>
        <w:t xml:space="preserve">, no quesito cooperação </w:t>
      </w:r>
      <w:r w:rsidR="00A60284">
        <w:rPr>
          <w:sz w:val="24"/>
          <w:szCs w:val="24"/>
        </w:rPr>
        <w:t>na produção de veículos elétricos,</w:t>
      </w:r>
      <w:r w:rsidR="2A50D903" w:rsidRPr="2A50D903">
        <w:rPr>
          <w:sz w:val="24"/>
          <w:szCs w:val="24"/>
        </w:rPr>
        <w:t xml:space="preserve"> é a Guerra Comercial com os Estados Unidos. Tendo imposto uma tarifa muito mais acentuada, de 100%, para os importados chineses, um dos efeitos colaterais acaba refletindo na mobilização do país asiático no sentido de aproximação com a União Europeia. Nesta direção, abrem-se diálogos sobre ampliação da cooperação. Em reunião entre o Ministério do Comércio da China e autoridades da União Europeia ficaram estabelecidas diretrizes iniciais para definição de preços mínimos para os veículos elétricos chineses no mercado europeu, ampliação do comércio, dos investimentos e, um dos elementos mais cruciais, a colaboração industrial no setor (CESAR, 2025). </w:t>
      </w:r>
    </w:p>
    <w:p w14:paraId="4E9A67D2" w14:textId="5815B7CD" w:rsidR="00D93443" w:rsidRPr="00DA7A0B" w:rsidRDefault="00D93443" w:rsidP="00D46528">
      <w:pPr>
        <w:spacing w:line="360" w:lineRule="auto"/>
        <w:ind w:firstLine="709"/>
        <w:jc w:val="both"/>
        <w:rPr>
          <w:sz w:val="24"/>
          <w:szCs w:val="24"/>
        </w:rPr>
      </w:pPr>
      <w:r w:rsidRPr="00DA7A0B">
        <w:rPr>
          <w:sz w:val="24"/>
          <w:szCs w:val="24"/>
        </w:rPr>
        <w:t>Apesar de alguns movimentos de flexibilização, o setor automobilístico tem enfrentado uma crise bastante aguda, que apenas encontra expressão mais proclamada na imposição das tarifas. Em 2024, o lucro líquido da Volkswagen caiu 30,6% em relação ao ano anterior, sendo considerados como fatores que contribuíram para este declínio: queda da demanda, aumento dos custos e a concorrência com os veículos elétricos chineses (DW</w:t>
      </w:r>
      <w:r w:rsidR="00F22699">
        <w:rPr>
          <w:sz w:val="24"/>
          <w:szCs w:val="24"/>
        </w:rPr>
        <w:t xml:space="preserve"> BRASIL</w:t>
      </w:r>
      <w:r w:rsidRPr="00DA7A0B">
        <w:rPr>
          <w:sz w:val="24"/>
          <w:szCs w:val="24"/>
        </w:rPr>
        <w:t>, 2025). No primeiro trimestre de 2025, a americana Ford teve uma queda de 64% nos lucros, em comparação com o mesmo período do ano anterior (CNN, 2025) e a sueca Volvo anunciou reestruturação global, com demissão de 15% da sua força de trabalho ao redor do mundo (ESTADÃO, 2025), reavaliando também suas expectativas para a transição elétrica</w:t>
      </w:r>
      <w:r w:rsidR="008318B9">
        <w:rPr>
          <w:sz w:val="24"/>
          <w:szCs w:val="24"/>
        </w:rPr>
        <w:t>.</w:t>
      </w:r>
    </w:p>
    <w:p w14:paraId="5C64F312" w14:textId="7ECF9494" w:rsidR="00016DBE" w:rsidRPr="00DA7A0B" w:rsidRDefault="00D93443" w:rsidP="0056603D">
      <w:pPr>
        <w:spacing w:line="360" w:lineRule="auto"/>
        <w:ind w:firstLine="709"/>
        <w:jc w:val="both"/>
        <w:rPr>
          <w:sz w:val="24"/>
          <w:szCs w:val="24"/>
        </w:rPr>
      </w:pPr>
      <w:r w:rsidRPr="00DA7A0B">
        <w:rPr>
          <w:sz w:val="24"/>
          <w:szCs w:val="24"/>
        </w:rPr>
        <w:t xml:space="preserve">O rápido avanço chinês no segmento de veículos de “nova energia”, amparado em uma ampla política de incentivos do governo e em planos de internacionalização das empresas locais, pavimenta a liderança do país asiático em um cenário de perda de competitividade da indústria automobilística tradicional. Nos Estados Unidos, o cenário é mais complexo, tendo em vista que se soma à defasagem (das montadoras </w:t>
      </w:r>
      <w:r w:rsidRPr="00DA7A0B">
        <w:rPr>
          <w:sz w:val="24"/>
          <w:szCs w:val="24"/>
        </w:rPr>
        <w:lastRenderedPageBreak/>
        <w:t>americanas em relação à eletrificação) uma política de desincentivo por parte do governo Trump</w:t>
      </w:r>
      <w:r>
        <w:rPr>
          <w:sz w:val="24"/>
          <w:szCs w:val="24"/>
        </w:rPr>
        <w:t xml:space="preserve"> </w:t>
      </w:r>
      <w:r w:rsidRPr="00F8221B">
        <w:rPr>
          <w:sz w:val="24"/>
          <w:szCs w:val="24"/>
        </w:rPr>
        <w:t>(</w:t>
      </w:r>
      <w:r w:rsidR="00EC7070">
        <w:rPr>
          <w:sz w:val="24"/>
          <w:szCs w:val="24"/>
        </w:rPr>
        <w:t>FOLHA DE S</w:t>
      </w:r>
      <w:r w:rsidR="00CD10EE">
        <w:rPr>
          <w:sz w:val="24"/>
          <w:szCs w:val="24"/>
        </w:rPr>
        <w:t>ÃO PAULO</w:t>
      </w:r>
      <w:r w:rsidRPr="00F8221B">
        <w:rPr>
          <w:sz w:val="24"/>
          <w:szCs w:val="24"/>
        </w:rPr>
        <w:t>, 2025).</w:t>
      </w:r>
    </w:p>
    <w:p w14:paraId="05FF410B" w14:textId="77777777" w:rsidR="007038BF" w:rsidRDefault="00D93443" w:rsidP="00D46528">
      <w:pPr>
        <w:spacing w:line="360" w:lineRule="auto"/>
        <w:ind w:firstLine="709"/>
        <w:jc w:val="both"/>
        <w:rPr>
          <w:sz w:val="24"/>
          <w:szCs w:val="24"/>
        </w:rPr>
      </w:pPr>
      <w:r w:rsidRPr="00DA7A0B">
        <w:rPr>
          <w:sz w:val="24"/>
          <w:szCs w:val="24"/>
        </w:rPr>
        <w:t xml:space="preserve">A preferência dos norte-americanos por veículos de passageiros grandes e pesados tem se espalhado pelo mundo, caracterizando também um ponto de atenção na promoção de veículos elétricos. De acordo com Cozzi e </w:t>
      </w:r>
      <w:proofErr w:type="spellStart"/>
      <w:r w:rsidRPr="00DA7A0B">
        <w:rPr>
          <w:sz w:val="24"/>
          <w:szCs w:val="24"/>
        </w:rPr>
        <w:t>Petropoulos</w:t>
      </w:r>
      <w:proofErr w:type="spellEnd"/>
      <w:r w:rsidRPr="00DA7A0B">
        <w:rPr>
          <w:sz w:val="24"/>
          <w:szCs w:val="24"/>
        </w:rPr>
        <w:t xml:space="preserve"> (2024), em 2023, esta categoria representou 48% das vendas globais de automóveis e, com uma metáfora aterradora, estes autores mostram que, se os SUVs fossem um país, seriam o quinto em emissão de CO2, ficando atrás apenas de China, Estados Unidos, Índia e Rússia.</w:t>
      </w:r>
    </w:p>
    <w:p w14:paraId="50B0D504" w14:textId="1D0FE635" w:rsidR="00D93443" w:rsidRPr="00DA7A0B" w:rsidRDefault="00D93443" w:rsidP="00D46528">
      <w:pPr>
        <w:spacing w:line="360" w:lineRule="auto"/>
        <w:ind w:firstLine="709"/>
        <w:jc w:val="both"/>
        <w:rPr>
          <w:sz w:val="24"/>
          <w:szCs w:val="24"/>
        </w:rPr>
      </w:pPr>
      <w:r w:rsidRPr="00DA7A0B">
        <w:rPr>
          <w:sz w:val="24"/>
          <w:szCs w:val="24"/>
        </w:rPr>
        <w:t xml:space="preserve"> </w:t>
      </w:r>
    </w:p>
    <w:p w14:paraId="052A0231" w14:textId="5F07C8BC" w:rsidR="004F776F" w:rsidRPr="00B3048F" w:rsidRDefault="00D93443" w:rsidP="004F776F">
      <w:pPr>
        <w:spacing w:line="360" w:lineRule="auto"/>
        <w:jc w:val="both"/>
        <w:rPr>
          <w:b/>
          <w:sz w:val="24"/>
          <w:szCs w:val="24"/>
        </w:rPr>
      </w:pPr>
      <w:r>
        <w:rPr>
          <w:b/>
          <w:sz w:val="24"/>
          <w:szCs w:val="24"/>
        </w:rPr>
        <w:t>4</w:t>
      </w:r>
      <w:r w:rsidR="004F776F">
        <w:rPr>
          <w:b/>
          <w:sz w:val="24"/>
          <w:szCs w:val="24"/>
        </w:rPr>
        <w:tab/>
        <w:t>C</w:t>
      </w:r>
      <w:r>
        <w:rPr>
          <w:b/>
          <w:sz w:val="24"/>
          <w:szCs w:val="24"/>
        </w:rPr>
        <w:t>ONSIDERAÇÕES FINAIS</w:t>
      </w:r>
    </w:p>
    <w:p w14:paraId="3CCBA272" w14:textId="7138F7AB" w:rsidR="007B2937" w:rsidRPr="0076264A" w:rsidRDefault="0076264A" w:rsidP="0076264A">
      <w:pPr>
        <w:spacing w:line="360" w:lineRule="auto"/>
        <w:ind w:firstLine="709"/>
        <w:jc w:val="both"/>
        <w:rPr>
          <w:sz w:val="24"/>
          <w:szCs w:val="24"/>
        </w:rPr>
      </w:pPr>
      <w:r w:rsidRPr="00DA7A0B">
        <w:rPr>
          <w:sz w:val="24"/>
          <w:szCs w:val="24"/>
        </w:rPr>
        <w:t>Os dados descritos até aqui mostram que: (i) existe, de fato, uma crise no setor automobilístico, que tem como catalisadores queda de demanda, aumento de custos, defasagem em relação à produção de veículos elétricos frente à China e, consequentemente, perda de competitividade e queda de lucratividade; (</w:t>
      </w:r>
      <w:proofErr w:type="spellStart"/>
      <w:r w:rsidRPr="00DA7A0B">
        <w:rPr>
          <w:sz w:val="24"/>
          <w:szCs w:val="24"/>
        </w:rPr>
        <w:t>ii</w:t>
      </w:r>
      <w:proofErr w:type="spellEnd"/>
      <w:r w:rsidRPr="00DA7A0B">
        <w:rPr>
          <w:sz w:val="24"/>
          <w:szCs w:val="24"/>
        </w:rPr>
        <w:t>) o avanço chinês encontra como barreiras as políticas de restrição de acesso aos mercados, especialmente na Europa e nos EUA, com um movimento retrógrado, no sentido de valorização das montadoras tradicionais, naquele país, bem como a resistência de veículos movidos a combustão de grande porte, os SUVs – dos quais apenas 5% dos que estão em circulação são elétricos (COZZI; PETROCOULOS, 2024).</w:t>
      </w:r>
    </w:p>
    <w:p w14:paraId="06F448E9" w14:textId="6112BF2E" w:rsidR="004F776F" w:rsidRPr="00F331C1" w:rsidRDefault="00016DBE" w:rsidP="00F331C1">
      <w:pPr>
        <w:spacing w:line="360" w:lineRule="auto"/>
        <w:ind w:firstLine="567"/>
        <w:jc w:val="both"/>
        <w:rPr>
          <w:rFonts w:eastAsia="Times New Roman"/>
          <w:color w:val="1A1A1A"/>
          <w:sz w:val="24"/>
          <w:szCs w:val="24"/>
        </w:rPr>
      </w:pPr>
      <w:r>
        <w:rPr>
          <w:rFonts w:eastAsia="Times New Roman"/>
          <w:color w:val="1A1A1A"/>
          <w:sz w:val="24"/>
          <w:szCs w:val="24"/>
        </w:rPr>
        <w:t>Partiu-se de um</w:t>
      </w:r>
      <w:r w:rsidRPr="00115A87">
        <w:rPr>
          <w:rFonts w:eastAsia="Times New Roman"/>
          <w:color w:val="1A1A1A"/>
          <w:sz w:val="24"/>
          <w:szCs w:val="24"/>
        </w:rPr>
        <w:t xml:space="preserve"> paradoxo revelado pela OCDE: enquanto a relocalização industrial reduziria o PIB global em até 12%, a dependência mútua entre as potências persist</w:t>
      </w:r>
      <w:r>
        <w:rPr>
          <w:rFonts w:eastAsia="Times New Roman"/>
          <w:color w:val="1A1A1A"/>
          <w:sz w:val="24"/>
          <w:szCs w:val="24"/>
        </w:rPr>
        <w:t xml:space="preserve">e; </w:t>
      </w:r>
      <w:r w:rsidRPr="00115A87">
        <w:rPr>
          <w:rFonts w:eastAsia="Times New Roman"/>
          <w:color w:val="1A1A1A"/>
          <w:sz w:val="24"/>
          <w:szCs w:val="24"/>
        </w:rPr>
        <w:t xml:space="preserve">a China responde por 30% das importações críticas dos países-membros da organização, ante 5% nos anos 1990. No caso dos </w:t>
      </w:r>
      <w:proofErr w:type="spellStart"/>
      <w:r w:rsidRPr="00115A87">
        <w:rPr>
          <w:rFonts w:eastAsia="Times New Roman"/>
          <w:color w:val="1A1A1A"/>
          <w:sz w:val="24"/>
          <w:szCs w:val="24"/>
        </w:rPr>
        <w:t>VEs</w:t>
      </w:r>
      <w:proofErr w:type="spellEnd"/>
      <w:r w:rsidRPr="00115A87">
        <w:rPr>
          <w:rFonts w:eastAsia="Times New Roman"/>
          <w:color w:val="1A1A1A"/>
          <w:sz w:val="24"/>
          <w:szCs w:val="24"/>
        </w:rPr>
        <w:t xml:space="preserve">, essa dinâmica é agravada pela disputa por minerais estratégicos (como lítio) e pela competição entre modelos de desenvolvimento: o planejamento estatal chinês, que elevou as vendas de </w:t>
      </w:r>
      <w:proofErr w:type="spellStart"/>
      <w:r w:rsidRPr="00115A87">
        <w:rPr>
          <w:rFonts w:eastAsia="Times New Roman"/>
          <w:color w:val="1A1A1A"/>
          <w:sz w:val="24"/>
          <w:szCs w:val="24"/>
        </w:rPr>
        <w:t>VEs</w:t>
      </w:r>
      <w:proofErr w:type="spellEnd"/>
      <w:r w:rsidRPr="00115A87">
        <w:rPr>
          <w:rFonts w:eastAsia="Times New Roman"/>
          <w:color w:val="1A1A1A"/>
          <w:sz w:val="24"/>
          <w:szCs w:val="24"/>
        </w:rPr>
        <w:t xml:space="preserve">, contrasta com o protecionismo seletivo dos EUA, onde o setor representa </w:t>
      </w:r>
      <w:r>
        <w:rPr>
          <w:rFonts w:eastAsia="Times New Roman"/>
          <w:color w:val="1A1A1A"/>
          <w:sz w:val="24"/>
          <w:szCs w:val="24"/>
        </w:rPr>
        <w:t>uma pequena fração d</w:t>
      </w:r>
      <w:r w:rsidRPr="00115A87">
        <w:rPr>
          <w:rFonts w:eastAsia="Times New Roman"/>
          <w:color w:val="1A1A1A"/>
          <w:sz w:val="24"/>
          <w:szCs w:val="24"/>
        </w:rPr>
        <w:t>o mercado.</w:t>
      </w:r>
    </w:p>
    <w:p w14:paraId="42007231" w14:textId="26298683" w:rsidR="00BA29BC" w:rsidRPr="001F399D" w:rsidRDefault="00BA29BC" w:rsidP="00545890">
      <w:pPr>
        <w:spacing w:line="240" w:lineRule="auto"/>
        <w:rPr>
          <w:b/>
          <w:color w:val="000000" w:themeColor="text1"/>
          <w:sz w:val="24"/>
          <w:szCs w:val="24"/>
        </w:rPr>
      </w:pPr>
      <w:r w:rsidRPr="001F399D">
        <w:rPr>
          <w:b/>
          <w:color w:val="000000" w:themeColor="text1"/>
          <w:sz w:val="24"/>
          <w:szCs w:val="24"/>
        </w:rPr>
        <w:lastRenderedPageBreak/>
        <w:t>REFERÊNCIAS</w:t>
      </w:r>
    </w:p>
    <w:p w14:paraId="5E332F79" w14:textId="77777777" w:rsidR="00BA29BC" w:rsidRPr="001F399D" w:rsidRDefault="00BA29BC" w:rsidP="00545890">
      <w:pPr>
        <w:spacing w:line="240" w:lineRule="auto"/>
        <w:rPr>
          <w:bCs/>
          <w:color w:val="000000" w:themeColor="text1"/>
          <w:sz w:val="24"/>
          <w:szCs w:val="24"/>
        </w:rPr>
      </w:pPr>
    </w:p>
    <w:p w14:paraId="244A7839" w14:textId="6368AEA2" w:rsidR="00545890" w:rsidRPr="001F399D" w:rsidRDefault="00106DD3" w:rsidP="00545890">
      <w:pPr>
        <w:spacing w:line="240" w:lineRule="auto"/>
        <w:rPr>
          <w:color w:val="000000" w:themeColor="text1"/>
          <w:sz w:val="24"/>
          <w:szCs w:val="24"/>
        </w:rPr>
      </w:pPr>
      <w:r w:rsidRPr="001F399D">
        <w:rPr>
          <w:bCs/>
          <w:color w:val="000000" w:themeColor="text1"/>
          <w:sz w:val="24"/>
          <w:szCs w:val="24"/>
        </w:rPr>
        <w:t xml:space="preserve">CESAR, </w:t>
      </w:r>
      <w:proofErr w:type="spellStart"/>
      <w:r w:rsidRPr="001F399D">
        <w:rPr>
          <w:bCs/>
          <w:color w:val="000000" w:themeColor="text1"/>
          <w:sz w:val="24"/>
          <w:szCs w:val="24"/>
        </w:rPr>
        <w:t>Julio</w:t>
      </w:r>
      <w:proofErr w:type="spellEnd"/>
      <w:r w:rsidRPr="001F399D">
        <w:rPr>
          <w:bCs/>
          <w:color w:val="000000" w:themeColor="text1"/>
          <w:sz w:val="24"/>
          <w:szCs w:val="24"/>
        </w:rPr>
        <w:t xml:space="preserve">. </w:t>
      </w:r>
      <w:r w:rsidR="009B053D" w:rsidRPr="001F399D">
        <w:rPr>
          <w:b/>
          <w:bCs/>
          <w:color w:val="000000" w:themeColor="text1"/>
          <w:sz w:val="24"/>
          <w:szCs w:val="24"/>
        </w:rPr>
        <w:t>China se aproxima da UE após tarifas dos EUA sobre veículos elétricos</w:t>
      </w:r>
      <w:r w:rsidR="009B053D" w:rsidRPr="001F399D">
        <w:rPr>
          <w:color w:val="000000" w:themeColor="text1"/>
          <w:sz w:val="24"/>
          <w:szCs w:val="24"/>
        </w:rPr>
        <w:t>. UOL. Abril. 2025. Disponível em:</w:t>
      </w:r>
      <w:r w:rsidR="003A4936" w:rsidRPr="001F399D">
        <w:rPr>
          <w:color w:val="000000" w:themeColor="text1"/>
          <w:sz w:val="24"/>
          <w:szCs w:val="24"/>
        </w:rPr>
        <w:t xml:space="preserve"> </w:t>
      </w:r>
      <w:hyperlink r:id="rId9" w:history="1">
        <w:r w:rsidR="003A4936" w:rsidRPr="001F399D">
          <w:rPr>
            <w:rStyle w:val="Hyperlink"/>
            <w:color w:val="000000" w:themeColor="text1"/>
            <w:sz w:val="24"/>
            <w:szCs w:val="24"/>
            <w:u w:val="none"/>
          </w:rPr>
          <w:t>https://insideevs.uol.com.br/news/756263/china-eua-guerra-carros-eletricos/</w:t>
        </w:r>
      </w:hyperlink>
      <w:r w:rsidR="003D17BA" w:rsidRPr="001F399D">
        <w:rPr>
          <w:color w:val="000000" w:themeColor="text1"/>
          <w:sz w:val="24"/>
          <w:szCs w:val="24"/>
        </w:rPr>
        <w:t>. Acesso em: 6 jun. 2025.</w:t>
      </w:r>
    </w:p>
    <w:p w14:paraId="5045F524" w14:textId="1E7FB4DE" w:rsidR="003D17BA" w:rsidRPr="001F399D" w:rsidRDefault="003D17BA" w:rsidP="00545890">
      <w:pPr>
        <w:spacing w:line="240" w:lineRule="auto"/>
        <w:rPr>
          <w:color w:val="000000" w:themeColor="text1"/>
          <w:sz w:val="24"/>
          <w:szCs w:val="24"/>
        </w:rPr>
      </w:pPr>
      <w:r w:rsidRPr="001F399D">
        <w:rPr>
          <w:color w:val="000000" w:themeColor="text1"/>
          <w:sz w:val="24"/>
          <w:szCs w:val="24"/>
        </w:rPr>
        <w:t xml:space="preserve"> </w:t>
      </w:r>
    </w:p>
    <w:p w14:paraId="26DA45C3" w14:textId="77777777" w:rsidR="003D17BA" w:rsidRPr="001F399D" w:rsidRDefault="003D17BA" w:rsidP="00545890">
      <w:pPr>
        <w:spacing w:after="200" w:line="240" w:lineRule="auto"/>
        <w:rPr>
          <w:color w:val="000000" w:themeColor="text1"/>
          <w:sz w:val="24"/>
          <w:szCs w:val="24"/>
        </w:rPr>
      </w:pPr>
      <w:r w:rsidRPr="001F399D">
        <w:rPr>
          <w:color w:val="000000" w:themeColor="text1"/>
          <w:sz w:val="24"/>
          <w:szCs w:val="24"/>
        </w:rPr>
        <w:t xml:space="preserve">CHINA. </w:t>
      </w:r>
      <w:proofErr w:type="spellStart"/>
      <w:r w:rsidRPr="001F399D">
        <w:rPr>
          <w:b/>
          <w:bCs/>
          <w:color w:val="000000" w:themeColor="text1"/>
          <w:sz w:val="24"/>
          <w:szCs w:val="24"/>
        </w:rPr>
        <w:t>International</w:t>
      </w:r>
      <w:proofErr w:type="spellEnd"/>
      <w:r w:rsidRPr="001F399D">
        <w:rPr>
          <w:b/>
          <w:bCs/>
          <w:color w:val="000000" w:themeColor="text1"/>
          <w:sz w:val="24"/>
          <w:szCs w:val="24"/>
        </w:rPr>
        <w:t xml:space="preserve"> Energy </w:t>
      </w:r>
      <w:proofErr w:type="spellStart"/>
      <w:r w:rsidRPr="001F399D">
        <w:rPr>
          <w:b/>
          <w:bCs/>
          <w:color w:val="000000" w:themeColor="text1"/>
          <w:sz w:val="24"/>
          <w:szCs w:val="24"/>
        </w:rPr>
        <w:t>Agency</w:t>
      </w:r>
      <w:proofErr w:type="spellEnd"/>
      <w:r w:rsidRPr="001F399D">
        <w:rPr>
          <w:b/>
          <w:bCs/>
          <w:color w:val="000000" w:themeColor="text1"/>
          <w:sz w:val="24"/>
          <w:szCs w:val="24"/>
        </w:rPr>
        <w:t xml:space="preserve"> (IEA)</w:t>
      </w:r>
      <w:r w:rsidRPr="001F399D">
        <w:rPr>
          <w:color w:val="000000" w:themeColor="text1"/>
          <w:sz w:val="24"/>
          <w:szCs w:val="24"/>
        </w:rPr>
        <w:t xml:space="preserve">. Disponível em: </w:t>
      </w:r>
      <w:hyperlink r:id="rId10" w:history="1">
        <w:r w:rsidRPr="001F399D">
          <w:rPr>
            <w:rStyle w:val="Hyperlink"/>
            <w:color w:val="000000" w:themeColor="text1"/>
            <w:sz w:val="24"/>
            <w:szCs w:val="24"/>
            <w:u w:val="none"/>
          </w:rPr>
          <w:t>https://www.iea.org/countries/china/emissions</w:t>
        </w:r>
      </w:hyperlink>
      <w:r w:rsidRPr="001F399D">
        <w:rPr>
          <w:color w:val="000000" w:themeColor="text1"/>
          <w:sz w:val="24"/>
          <w:szCs w:val="24"/>
        </w:rPr>
        <w:t>?. Acesso em: 26 jun. 2025.</w:t>
      </w:r>
    </w:p>
    <w:p w14:paraId="1EB321F5" w14:textId="77777777" w:rsidR="00F22699" w:rsidRPr="001F399D" w:rsidRDefault="00F22699" w:rsidP="00F22699">
      <w:pPr>
        <w:spacing w:line="240" w:lineRule="auto"/>
        <w:rPr>
          <w:rFonts w:eastAsia="Times New Roman"/>
          <w:color w:val="000000" w:themeColor="text1"/>
          <w:sz w:val="24"/>
          <w:szCs w:val="24"/>
          <w:lang w:val="en-US"/>
        </w:rPr>
      </w:pPr>
      <w:r w:rsidRPr="001F399D">
        <w:rPr>
          <w:rFonts w:eastAsia="Times New Roman"/>
          <w:color w:val="000000" w:themeColor="text1"/>
          <w:sz w:val="24"/>
          <w:szCs w:val="24"/>
        </w:rPr>
        <w:t>CNN.</w:t>
      </w:r>
      <w:r w:rsidRPr="001F399D">
        <w:rPr>
          <w:rFonts w:eastAsia="Times New Roman"/>
          <w:b/>
          <w:bCs/>
          <w:color w:val="000000" w:themeColor="text1"/>
          <w:sz w:val="24"/>
          <w:szCs w:val="24"/>
        </w:rPr>
        <w:t xml:space="preserve"> Ford tem tombo no lucro e suspende projeção de 2025. </w:t>
      </w:r>
      <w:r w:rsidRPr="001F399D">
        <w:rPr>
          <w:rFonts w:eastAsia="Times New Roman"/>
          <w:color w:val="000000" w:themeColor="text1"/>
          <w:sz w:val="24"/>
          <w:szCs w:val="24"/>
        </w:rPr>
        <w:t xml:space="preserve">5 mai. 2025. Disponível em: </w:t>
      </w:r>
      <w:hyperlink r:id="rId11" w:history="1">
        <w:r w:rsidRPr="001F399D">
          <w:rPr>
            <w:rStyle w:val="Hyperlink"/>
            <w:rFonts w:eastAsia="Times New Roman"/>
            <w:color w:val="000000" w:themeColor="text1"/>
            <w:sz w:val="24"/>
            <w:szCs w:val="24"/>
            <w:u w:val="none"/>
          </w:rPr>
          <w:t>https://www.cnnbrasil.com.br/economia/negocios/ford-tem-tombo-no-lucro-e-suspende-projecao-por-efeito-potencial-de-us-15-bi-com-tarifa/</w:t>
        </w:r>
      </w:hyperlink>
      <w:r w:rsidRPr="001F399D">
        <w:rPr>
          <w:rFonts w:eastAsia="Times New Roman"/>
          <w:color w:val="000000" w:themeColor="text1"/>
          <w:sz w:val="24"/>
          <w:szCs w:val="24"/>
        </w:rPr>
        <w:t xml:space="preserve">. </w:t>
      </w:r>
      <w:proofErr w:type="spellStart"/>
      <w:r w:rsidRPr="001F399D">
        <w:rPr>
          <w:rFonts w:eastAsia="Times New Roman"/>
          <w:color w:val="000000" w:themeColor="text1"/>
          <w:sz w:val="24"/>
          <w:szCs w:val="24"/>
          <w:lang w:val="en-US"/>
        </w:rPr>
        <w:t>Acesso</w:t>
      </w:r>
      <w:proofErr w:type="spellEnd"/>
      <w:r w:rsidRPr="001F399D">
        <w:rPr>
          <w:rFonts w:eastAsia="Times New Roman"/>
          <w:color w:val="000000" w:themeColor="text1"/>
          <w:sz w:val="24"/>
          <w:szCs w:val="24"/>
          <w:lang w:val="en-US"/>
        </w:rPr>
        <w:t xml:space="preserve"> </w:t>
      </w:r>
      <w:proofErr w:type="spellStart"/>
      <w:r w:rsidRPr="001F399D">
        <w:rPr>
          <w:rFonts w:eastAsia="Times New Roman"/>
          <w:color w:val="000000" w:themeColor="text1"/>
          <w:sz w:val="24"/>
          <w:szCs w:val="24"/>
          <w:lang w:val="en-US"/>
        </w:rPr>
        <w:t>em</w:t>
      </w:r>
      <w:proofErr w:type="spellEnd"/>
      <w:r w:rsidRPr="001F399D">
        <w:rPr>
          <w:rFonts w:eastAsia="Times New Roman"/>
          <w:color w:val="000000" w:themeColor="text1"/>
          <w:sz w:val="24"/>
          <w:szCs w:val="24"/>
          <w:lang w:val="en-US"/>
        </w:rPr>
        <w:t>: 6 jun. 2025</w:t>
      </w:r>
    </w:p>
    <w:p w14:paraId="1F3F9F00" w14:textId="77777777" w:rsidR="00F22699" w:rsidRPr="001F399D" w:rsidRDefault="00F22699" w:rsidP="00F22699">
      <w:pPr>
        <w:spacing w:line="240" w:lineRule="auto"/>
        <w:rPr>
          <w:rFonts w:eastAsia="Times New Roman"/>
          <w:color w:val="000000" w:themeColor="text1"/>
          <w:sz w:val="24"/>
          <w:szCs w:val="24"/>
          <w:lang w:val="en-US"/>
        </w:rPr>
      </w:pPr>
    </w:p>
    <w:p w14:paraId="592A7EDB" w14:textId="77777777" w:rsidR="00E83067" w:rsidRPr="001F399D" w:rsidRDefault="00E83067" w:rsidP="00545890">
      <w:pPr>
        <w:spacing w:line="240" w:lineRule="auto"/>
        <w:rPr>
          <w:color w:val="000000" w:themeColor="text1"/>
          <w:sz w:val="24"/>
          <w:szCs w:val="24"/>
          <w:lang w:val="en-US"/>
        </w:rPr>
      </w:pPr>
      <w:r w:rsidRPr="001F399D">
        <w:rPr>
          <w:color w:val="000000" w:themeColor="text1"/>
          <w:sz w:val="24"/>
          <w:szCs w:val="24"/>
          <w:lang w:val="en-US"/>
        </w:rPr>
        <w:t xml:space="preserve">COZZI, Laura; PETROPOULOS, Apostolos. </w:t>
      </w:r>
      <w:r w:rsidRPr="001F399D">
        <w:rPr>
          <w:b/>
          <w:bCs/>
          <w:color w:val="000000" w:themeColor="text1"/>
          <w:sz w:val="24"/>
          <w:szCs w:val="24"/>
          <w:lang w:val="en-US"/>
        </w:rPr>
        <w:t>SUVs are setting new sales records each year – and so are their emissions</w:t>
      </w:r>
      <w:r w:rsidRPr="001F399D">
        <w:rPr>
          <w:color w:val="000000" w:themeColor="text1"/>
          <w:sz w:val="24"/>
          <w:szCs w:val="24"/>
          <w:lang w:val="en-US"/>
        </w:rPr>
        <w:t xml:space="preserve">. </w:t>
      </w:r>
      <w:proofErr w:type="spellStart"/>
      <w:r w:rsidRPr="001F399D">
        <w:rPr>
          <w:b/>
          <w:bCs/>
          <w:color w:val="000000" w:themeColor="text1"/>
          <w:sz w:val="24"/>
          <w:szCs w:val="24"/>
        </w:rPr>
        <w:t>International</w:t>
      </w:r>
      <w:proofErr w:type="spellEnd"/>
      <w:r w:rsidRPr="001F399D">
        <w:rPr>
          <w:b/>
          <w:bCs/>
          <w:color w:val="000000" w:themeColor="text1"/>
          <w:sz w:val="24"/>
          <w:szCs w:val="24"/>
        </w:rPr>
        <w:t xml:space="preserve"> Energy </w:t>
      </w:r>
      <w:proofErr w:type="spellStart"/>
      <w:r w:rsidRPr="001F399D">
        <w:rPr>
          <w:b/>
          <w:bCs/>
          <w:color w:val="000000" w:themeColor="text1"/>
          <w:sz w:val="24"/>
          <w:szCs w:val="24"/>
        </w:rPr>
        <w:t>Agency</w:t>
      </w:r>
      <w:proofErr w:type="spellEnd"/>
      <w:r w:rsidRPr="001F399D">
        <w:rPr>
          <w:b/>
          <w:bCs/>
          <w:color w:val="000000" w:themeColor="text1"/>
          <w:sz w:val="24"/>
          <w:szCs w:val="24"/>
        </w:rPr>
        <w:t xml:space="preserve"> (IEA)</w:t>
      </w:r>
      <w:r w:rsidRPr="001F399D">
        <w:rPr>
          <w:color w:val="000000" w:themeColor="text1"/>
          <w:sz w:val="24"/>
          <w:szCs w:val="24"/>
        </w:rPr>
        <w:t xml:space="preserve">. Disponível em: </w:t>
      </w:r>
      <w:hyperlink r:id="rId12" w:history="1">
        <w:r w:rsidRPr="001F399D">
          <w:rPr>
            <w:rStyle w:val="Hyperlink"/>
            <w:color w:val="000000" w:themeColor="text1"/>
            <w:sz w:val="24"/>
            <w:szCs w:val="24"/>
            <w:u w:val="none"/>
          </w:rPr>
          <w:t>https://www.iea.org/commentaries/suvs-are-setting-new-sales-records-each-year-and-so-are-their-emissions</w:t>
        </w:r>
      </w:hyperlink>
      <w:r w:rsidRPr="001F399D">
        <w:rPr>
          <w:color w:val="000000" w:themeColor="text1"/>
          <w:sz w:val="24"/>
          <w:szCs w:val="24"/>
        </w:rPr>
        <w:t xml:space="preserve">. </w:t>
      </w:r>
      <w:proofErr w:type="spellStart"/>
      <w:r w:rsidRPr="001F399D">
        <w:rPr>
          <w:color w:val="000000" w:themeColor="text1"/>
          <w:sz w:val="24"/>
          <w:szCs w:val="24"/>
          <w:lang w:val="en-US"/>
        </w:rPr>
        <w:t>Acesso</w:t>
      </w:r>
      <w:proofErr w:type="spellEnd"/>
      <w:r w:rsidRPr="001F399D">
        <w:rPr>
          <w:color w:val="000000" w:themeColor="text1"/>
          <w:sz w:val="24"/>
          <w:szCs w:val="24"/>
          <w:lang w:val="en-US"/>
        </w:rPr>
        <w:t xml:space="preserve"> </w:t>
      </w:r>
      <w:proofErr w:type="spellStart"/>
      <w:r w:rsidRPr="001F399D">
        <w:rPr>
          <w:color w:val="000000" w:themeColor="text1"/>
          <w:sz w:val="24"/>
          <w:szCs w:val="24"/>
          <w:lang w:val="en-US"/>
        </w:rPr>
        <w:t>em</w:t>
      </w:r>
      <w:proofErr w:type="spellEnd"/>
      <w:r w:rsidRPr="001F399D">
        <w:rPr>
          <w:color w:val="000000" w:themeColor="text1"/>
          <w:sz w:val="24"/>
          <w:szCs w:val="24"/>
          <w:lang w:val="en-US"/>
        </w:rPr>
        <w:t>: 9 jun. 2025.</w:t>
      </w:r>
    </w:p>
    <w:p w14:paraId="75B5E031" w14:textId="77777777" w:rsidR="00545890" w:rsidRPr="001F399D" w:rsidRDefault="00545890" w:rsidP="00545890">
      <w:pPr>
        <w:spacing w:line="240" w:lineRule="auto"/>
        <w:rPr>
          <w:color w:val="000000" w:themeColor="text1"/>
          <w:sz w:val="24"/>
          <w:szCs w:val="24"/>
          <w:lang w:val="en-US"/>
        </w:rPr>
      </w:pPr>
    </w:p>
    <w:p w14:paraId="4E518301" w14:textId="77777777" w:rsidR="009176E9" w:rsidRPr="001F399D" w:rsidRDefault="009176E9" w:rsidP="00FB7DAE">
      <w:pPr>
        <w:spacing w:line="240" w:lineRule="auto"/>
        <w:rPr>
          <w:color w:val="000000" w:themeColor="text1"/>
          <w:sz w:val="24"/>
          <w:szCs w:val="24"/>
        </w:rPr>
      </w:pPr>
      <w:r w:rsidRPr="001F399D">
        <w:rPr>
          <w:color w:val="000000" w:themeColor="text1"/>
          <w:sz w:val="24"/>
          <w:szCs w:val="24"/>
          <w:lang w:val="en-US"/>
        </w:rPr>
        <w:t xml:space="preserve">DIRECTION GÉNÉRALE DU TRÉSOR; </w:t>
      </w:r>
      <w:r w:rsidR="00C67CC5" w:rsidRPr="001F399D">
        <w:rPr>
          <w:color w:val="000000" w:themeColor="text1"/>
          <w:sz w:val="24"/>
          <w:szCs w:val="24"/>
          <w:lang w:val="en-US"/>
        </w:rPr>
        <w:t>SERVICE ECONOMIQUE REGIONAL A PEKIN</w:t>
      </w:r>
      <w:r w:rsidRPr="001F399D">
        <w:rPr>
          <w:color w:val="000000" w:themeColor="text1"/>
          <w:sz w:val="24"/>
          <w:szCs w:val="24"/>
          <w:lang w:val="en-US"/>
        </w:rPr>
        <w:t xml:space="preserve">, </w:t>
      </w:r>
      <w:r w:rsidR="00540757" w:rsidRPr="001F399D">
        <w:rPr>
          <w:color w:val="000000" w:themeColor="text1"/>
          <w:sz w:val="24"/>
          <w:szCs w:val="24"/>
          <w:lang w:val="en-US"/>
        </w:rPr>
        <w:t>PÉQUIGNOT, Raphaël;</w:t>
      </w:r>
      <w:r w:rsidRPr="001F399D">
        <w:rPr>
          <w:color w:val="000000" w:themeColor="text1"/>
          <w:sz w:val="24"/>
          <w:szCs w:val="24"/>
          <w:lang w:val="en-US"/>
        </w:rPr>
        <w:t xml:space="preserve"> </w:t>
      </w:r>
      <w:r w:rsidR="00540757" w:rsidRPr="001F399D">
        <w:rPr>
          <w:color w:val="000000" w:themeColor="text1"/>
          <w:sz w:val="24"/>
          <w:szCs w:val="24"/>
          <w:lang w:val="en-US"/>
        </w:rPr>
        <w:t>GOUTTI Lia-Line</w:t>
      </w:r>
      <w:r w:rsidRPr="001F399D">
        <w:rPr>
          <w:color w:val="000000" w:themeColor="text1"/>
          <w:sz w:val="24"/>
          <w:szCs w:val="24"/>
          <w:lang w:val="en-US"/>
        </w:rPr>
        <w:t xml:space="preserve">. </w:t>
      </w:r>
      <w:r w:rsidR="00C85085" w:rsidRPr="001F399D">
        <w:rPr>
          <w:b/>
          <w:bCs/>
          <w:color w:val="000000" w:themeColor="text1"/>
          <w:sz w:val="24"/>
          <w:szCs w:val="24"/>
          <w:lang w:val="en-US"/>
        </w:rPr>
        <w:t xml:space="preserve">Le plan “Made in China 2025”. </w:t>
      </w:r>
      <w:r w:rsidR="00C85085" w:rsidRPr="001F399D">
        <w:rPr>
          <w:b/>
          <w:bCs/>
          <w:color w:val="000000" w:themeColor="text1"/>
          <w:sz w:val="24"/>
          <w:szCs w:val="24"/>
        </w:rPr>
        <w:t xml:space="preserve">Paris, </w:t>
      </w:r>
      <w:r w:rsidR="00F65FF0" w:rsidRPr="001F399D">
        <w:rPr>
          <w:b/>
          <w:bCs/>
          <w:color w:val="000000" w:themeColor="text1"/>
          <w:sz w:val="24"/>
          <w:szCs w:val="24"/>
        </w:rPr>
        <w:t xml:space="preserve">jun. 2015. </w:t>
      </w:r>
      <w:r w:rsidR="00F65FF0" w:rsidRPr="001F399D">
        <w:rPr>
          <w:color w:val="000000" w:themeColor="text1"/>
          <w:sz w:val="24"/>
          <w:szCs w:val="24"/>
        </w:rPr>
        <w:t xml:space="preserve">Disponível em: </w:t>
      </w:r>
      <w:hyperlink r:id="rId13" w:history="1">
        <w:r w:rsidR="00F65FF0" w:rsidRPr="001F399D">
          <w:rPr>
            <w:rStyle w:val="Hyperlink"/>
            <w:color w:val="000000" w:themeColor="text1"/>
            <w:sz w:val="24"/>
            <w:szCs w:val="24"/>
            <w:u w:val="none"/>
          </w:rPr>
          <w:t>https://www.tresor.economie.gouv.fr/Articles/2015/06/05/le-plan-made-in-china-2025</w:t>
        </w:r>
      </w:hyperlink>
      <w:r w:rsidR="00F65FF0" w:rsidRPr="001F399D">
        <w:rPr>
          <w:color w:val="000000" w:themeColor="text1"/>
          <w:sz w:val="24"/>
          <w:szCs w:val="24"/>
        </w:rPr>
        <w:t>. Acesso em: 24 jun. 2025</w:t>
      </w:r>
      <w:r w:rsidR="00FB7DAE" w:rsidRPr="001F399D">
        <w:rPr>
          <w:color w:val="000000" w:themeColor="text1"/>
          <w:sz w:val="24"/>
          <w:szCs w:val="24"/>
        </w:rPr>
        <w:t>.</w:t>
      </w:r>
    </w:p>
    <w:p w14:paraId="49F5815E" w14:textId="77777777" w:rsidR="00F22699" w:rsidRPr="001F399D" w:rsidRDefault="00F22699" w:rsidP="00FB7DAE">
      <w:pPr>
        <w:spacing w:line="240" w:lineRule="auto"/>
        <w:rPr>
          <w:color w:val="000000" w:themeColor="text1"/>
          <w:sz w:val="24"/>
          <w:szCs w:val="24"/>
        </w:rPr>
      </w:pPr>
    </w:p>
    <w:p w14:paraId="281BA956" w14:textId="77777777" w:rsidR="00F22699" w:rsidRPr="001F399D" w:rsidRDefault="00F22699" w:rsidP="00FB7DAE">
      <w:pPr>
        <w:spacing w:line="240" w:lineRule="auto"/>
        <w:rPr>
          <w:rFonts w:eastAsia="Times New Roman"/>
          <w:color w:val="000000" w:themeColor="text1"/>
          <w:sz w:val="24"/>
          <w:szCs w:val="24"/>
        </w:rPr>
      </w:pPr>
      <w:r w:rsidRPr="001F399D">
        <w:rPr>
          <w:rFonts w:eastAsia="Times New Roman"/>
          <w:color w:val="000000" w:themeColor="text1"/>
          <w:sz w:val="24"/>
          <w:szCs w:val="24"/>
        </w:rPr>
        <w:t>DW BRASIL</w:t>
      </w:r>
      <w:r w:rsidRPr="001F399D">
        <w:rPr>
          <w:rFonts w:eastAsia="Times New Roman"/>
          <w:b/>
          <w:bCs/>
          <w:color w:val="000000" w:themeColor="text1"/>
          <w:sz w:val="24"/>
          <w:szCs w:val="24"/>
        </w:rPr>
        <w:t>. Lucro líquido da Volkswagen caiu mais de 30% em 2024.</w:t>
      </w:r>
      <w:r w:rsidRPr="001F399D">
        <w:rPr>
          <w:rFonts w:eastAsia="Times New Roman"/>
          <w:color w:val="000000" w:themeColor="text1"/>
          <w:sz w:val="24"/>
          <w:szCs w:val="24"/>
        </w:rPr>
        <w:t xml:space="preserve"> Mar. 2025. Disponível em: </w:t>
      </w:r>
      <w:hyperlink r:id="rId14" w:history="1">
        <w:r w:rsidRPr="001F399D">
          <w:rPr>
            <w:rStyle w:val="Hyperlink"/>
            <w:rFonts w:eastAsia="Times New Roman"/>
            <w:color w:val="000000" w:themeColor="text1"/>
            <w:sz w:val="24"/>
            <w:szCs w:val="24"/>
            <w:u w:val="none"/>
          </w:rPr>
          <w:t>https://www.dw.com/pt-br/lucro-l%C3%ADquido-da-volkswagen-caiu-mais-de-30-em-2024/a-71888237</w:t>
        </w:r>
      </w:hyperlink>
      <w:r w:rsidRPr="001F399D">
        <w:rPr>
          <w:rFonts w:eastAsia="Times New Roman"/>
          <w:color w:val="000000" w:themeColor="text1"/>
          <w:sz w:val="24"/>
          <w:szCs w:val="24"/>
        </w:rPr>
        <w:t>. Acesso em: 6 jun. 2025.</w:t>
      </w:r>
    </w:p>
    <w:p w14:paraId="0404BCA1" w14:textId="77777777" w:rsidR="001C7D12" w:rsidRPr="001F399D" w:rsidRDefault="001C7D12" w:rsidP="00FB7DAE">
      <w:pPr>
        <w:spacing w:line="240" w:lineRule="auto"/>
        <w:rPr>
          <w:rFonts w:eastAsia="Times New Roman"/>
          <w:color w:val="000000" w:themeColor="text1"/>
          <w:sz w:val="24"/>
          <w:szCs w:val="24"/>
        </w:rPr>
      </w:pPr>
    </w:p>
    <w:p w14:paraId="483C1844" w14:textId="77777777" w:rsidR="007045E0" w:rsidRPr="001F399D" w:rsidRDefault="001C7D12" w:rsidP="00545890">
      <w:pPr>
        <w:spacing w:after="200" w:line="240" w:lineRule="auto"/>
        <w:rPr>
          <w:color w:val="000000" w:themeColor="text1"/>
          <w:sz w:val="24"/>
          <w:szCs w:val="24"/>
          <w:lang w:val="en-US"/>
        </w:rPr>
      </w:pPr>
      <w:r w:rsidRPr="001F399D">
        <w:rPr>
          <w:color w:val="000000" w:themeColor="text1"/>
          <w:sz w:val="24"/>
          <w:szCs w:val="24"/>
        </w:rPr>
        <w:t xml:space="preserve">ESTADÃO. </w:t>
      </w:r>
      <w:r w:rsidRPr="001F399D">
        <w:rPr>
          <w:b/>
          <w:bCs/>
          <w:color w:val="000000" w:themeColor="text1"/>
          <w:sz w:val="24"/>
          <w:szCs w:val="24"/>
        </w:rPr>
        <w:t>Volvo anuncia reestruturação global que envolve demissão de 3 mil empregados para reduzir custos</w:t>
      </w:r>
      <w:r w:rsidRPr="001F399D">
        <w:rPr>
          <w:color w:val="000000" w:themeColor="text1"/>
          <w:sz w:val="24"/>
          <w:szCs w:val="24"/>
        </w:rPr>
        <w:t xml:space="preserve">. 25 mai. 2025. Disponível em: </w:t>
      </w:r>
      <w:hyperlink r:id="rId15" w:history="1">
        <w:r w:rsidRPr="001F399D">
          <w:rPr>
            <w:rStyle w:val="Hyperlink"/>
            <w:color w:val="000000" w:themeColor="text1"/>
            <w:sz w:val="24"/>
            <w:szCs w:val="24"/>
            <w:u w:val="none"/>
          </w:rPr>
          <w:t>https://www.estadao.com.br/economia/volvo-anuncia-reestruturacao-global-que-envolve-demissao-de-3-mil-empregados-para-reduzir-custos-nprei/</w:t>
        </w:r>
      </w:hyperlink>
      <w:r w:rsidRPr="001F399D">
        <w:rPr>
          <w:color w:val="000000" w:themeColor="text1"/>
          <w:sz w:val="24"/>
          <w:szCs w:val="24"/>
        </w:rPr>
        <w:t xml:space="preserve">. </w:t>
      </w:r>
      <w:proofErr w:type="spellStart"/>
      <w:r w:rsidRPr="001F399D">
        <w:rPr>
          <w:color w:val="000000" w:themeColor="text1"/>
          <w:sz w:val="24"/>
          <w:szCs w:val="24"/>
          <w:lang w:val="en-US"/>
        </w:rPr>
        <w:t>Acesso</w:t>
      </w:r>
      <w:proofErr w:type="spellEnd"/>
      <w:r w:rsidRPr="001F399D">
        <w:rPr>
          <w:color w:val="000000" w:themeColor="text1"/>
          <w:sz w:val="24"/>
          <w:szCs w:val="24"/>
          <w:lang w:val="en-US"/>
        </w:rPr>
        <w:t xml:space="preserve"> </w:t>
      </w:r>
      <w:proofErr w:type="spellStart"/>
      <w:r w:rsidRPr="001F399D">
        <w:rPr>
          <w:color w:val="000000" w:themeColor="text1"/>
          <w:sz w:val="24"/>
          <w:szCs w:val="24"/>
          <w:lang w:val="en-US"/>
        </w:rPr>
        <w:t>em</w:t>
      </w:r>
      <w:proofErr w:type="spellEnd"/>
      <w:r w:rsidRPr="001F399D">
        <w:rPr>
          <w:color w:val="000000" w:themeColor="text1"/>
          <w:sz w:val="24"/>
          <w:szCs w:val="24"/>
          <w:lang w:val="en-US"/>
        </w:rPr>
        <w:t>: 6 jun. 2025.</w:t>
      </w:r>
    </w:p>
    <w:p w14:paraId="447BC23E" w14:textId="77777777" w:rsidR="00725279" w:rsidRPr="001F399D" w:rsidRDefault="00F749BB" w:rsidP="00FB7DAE">
      <w:pPr>
        <w:spacing w:line="240" w:lineRule="auto"/>
        <w:rPr>
          <w:rFonts w:eastAsia="Times New Roman"/>
          <w:color w:val="000000" w:themeColor="text1"/>
          <w:sz w:val="24"/>
          <w:szCs w:val="24"/>
          <w:lang w:val="en-US"/>
        </w:rPr>
      </w:pPr>
      <w:r w:rsidRPr="001F399D">
        <w:rPr>
          <w:rFonts w:eastAsia="Times New Roman"/>
          <w:color w:val="000000" w:themeColor="text1"/>
          <w:sz w:val="24"/>
          <w:szCs w:val="24"/>
          <w:lang w:val="en-US"/>
        </w:rPr>
        <w:t>EUROPEAN COMISSION.</w:t>
      </w:r>
      <w:r w:rsidR="00725279" w:rsidRPr="001F399D">
        <w:rPr>
          <w:rFonts w:eastAsia="Times New Roman"/>
          <w:color w:val="000000" w:themeColor="text1"/>
          <w:sz w:val="24"/>
          <w:szCs w:val="24"/>
          <w:lang w:val="en-US"/>
        </w:rPr>
        <w:t xml:space="preserve"> </w:t>
      </w:r>
      <w:r w:rsidR="00725279" w:rsidRPr="001F399D">
        <w:rPr>
          <w:rFonts w:eastAsia="Times New Roman"/>
          <w:b/>
          <w:bCs/>
          <w:color w:val="000000" w:themeColor="text1"/>
          <w:sz w:val="24"/>
          <w:szCs w:val="24"/>
          <w:lang w:val="en-US"/>
        </w:rPr>
        <w:t xml:space="preserve">Joint communication to the European parliament, the </w:t>
      </w:r>
      <w:proofErr w:type="spellStart"/>
      <w:r w:rsidR="00725279" w:rsidRPr="001F399D">
        <w:rPr>
          <w:rFonts w:eastAsia="Times New Roman"/>
          <w:b/>
          <w:bCs/>
          <w:color w:val="000000" w:themeColor="text1"/>
          <w:sz w:val="24"/>
          <w:szCs w:val="24"/>
          <w:lang w:val="en-US"/>
        </w:rPr>
        <w:t>european</w:t>
      </w:r>
      <w:proofErr w:type="spellEnd"/>
      <w:r w:rsidR="00725279" w:rsidRPr="001F399D">
        <w:rPr>
          <w:rFonts w:eastAsia="Times New Roman"/>
          <w:b/>
          <w:bCs/>
          <w:color w:val="000000" w:themeColor="text1"/>
          <w:sz w:val="24"/>
          <w:szCs w:val="24"/>
          <w:lang w:val="en-US"/>
        </w:rPr>
        <w:t xml:space="preserve"> council and the council EU-China</w:t>
      </w:r>
      <w:r w:rsidR="00DA55B2" w:rsidRPr="001F399D">
        <w:rPr>
          <w:rFonts w:eastAsia="Times New Roman"/>
          <w:color w:val="000000" w:themeColor="text1"/>
          <w:sz w:val="24"/>
          <w:szCs w:val="24"/>
          <w:lang w:val="en-US"/>
        </w:rPr>
        <w:t>:</w:t>
      </w:r>
      <w:r w:rsidR="00725279" w:rsidRPr="001F399D">
        <w:rPr>
          <w:rFonts w:eastAsia="Times New Roman"/>
          <w:color w:val="000000" w:themeColor="text1"/>
          <w:sz w:val="24"/>
          <w:szCs w:val="24"/>
          <w:lang w:val="en-US"/>
        </w:rPr>
        <w:t xml:space="preserve"> </w:t>
      </w:r>
      <w:r w:rsidR="00DA55B2" w:rsidRPr="001F399D">
        <w:rPr>
          <w:rFonts w:eastAsia="Times New Roman"/>
          <w:color w:val="000000" w:themeColor="text1"/>
          <w:sz w:val="24"/>
          <w:szCs w:val="24"/>
          <w:lang w:val="en-US"/>
        </w:rPr>
        <w:t>a</w:t>
      </w:r>
      <w:r w:rsidR="00725279" w:rsidRPr="001F399D">
        <w:rPr>
          <w:rFonts w:eastAsia="Times New Roman"/>
          <w:color w:val="000000" w:themeColor="text1"/>
          <w:sz w:val="24"/>
          <w:szCs w:val="24"/>
          <w:lang w:val="en-US"/>
        </w:rPr>
        <w:t xml:space="preserve"> strategic outlook.</w:t>
      </w:r>
      <w:r w:rsidR="001E76A4" w:rsidRPr="001F399D">
        <w:rPr>
          <w:rFonts w:eastAsia="Times New Roman"/>
          <w:color w:val="000000" w:themeColor="text1"/>
          <w:sz w:val="24"/>
          <w:szCs w:val="24"/>
          <w:lang w:val="en-US"/>
        </w:rPr>
        <w:t xml:space="preserve"> </w:t>
      </w:r>
      <w:r w:rsidR="001E76A4" w:rsidRPr="001F399D">
        <w:rPr>
          <w:rFonts w:eastAsia="Times New Roman"/>
          <w:color w:val="000000" w:themeColor="text1"/>
          <w:sz w:val="24"/>
          <w:szCs w:val="24"/>
        </w:rPr>
        <w:t xml:space="preserve">Strasbourg, mar. 2019. Disponível em: </w:t>
      </w:r>
      <w:hyperlink r:id="rId16" w:history="1">
        <w:r w:rsidR="00DA55B2" w:rsidRPr="001F399D">
          <w:rPr>
            <w:rStyle w:val="Hyperlink"/>
            <w:rFonts w:eastAsia="Times New Roman"/>
            <w:color w:val="000000" w:themeColor="text1"/>
            <w:sz w:val="24"/>
            <w:szCs w:val="24"/>
            <w:u w:val="none"/>
          </w:rPr>
          <w:t>https://commission.europa.eu/system/files/2019-03/communication-eu-china-a-strategic-outlook.pdf</w:t>
        </w:r>
      </w:hyperlink>
      <w:r w:rsidR="00DA55B2" w:rsidRPr="001F399D">
        <w:rPr>
          <w:rFonts w:eastAsia="Times New Roman"/>
          <w:color w:val="000000" w:themeColor="text1"/>
          <w:sz w:val="24"/>
          <w:szCs w:val="24"/>
        </w:rPr>
        <w:t xml:space="preserve">. </w:t>
      </w:r>
      <w:proofErr w:type="spellStart"/>
      <w:r w:rsidR="00DA55B2" w:rsidRPr="001F399D">
        <w:rPr>
          <w:rFonts w:eastAsia="Times New Roman"/>
          <w:color w:val="000000" w:themeColor="text1"/>
          <w:sz w:val="24"/>
          <w:szCs w:val="24"/>
          <w:lang w:val="en-US"/>
        </w:rPr>
        <w:t>Acesso</w:t>
      </w:r>
      <w:proofErr w:type="spellEnd"/>
      <w:r w:rsidR="00DA55B2" w:rsidRPr="001F399D">
        <w:rPr>
          <w:rFonts w:eastAsia="Times New Roman"/>
          <w:color w:val="000000" w:themeColor="text1"/>
          <w:sz w:val="24"/>
          <w:szCs w:val="24"/>
          <w:lang w:val="en-US"/>
        </w:rPr>
        <w:t xml:space="preserve"> </w:t>
      </w:r>
      <w:proofErr w:type="spellStart"/>
      <w:r w:rsidR="00DA55B2" w:rsidRPr="001F399D">
        <w:rPr>
          <w:rFonts w:eastAsia="Times New Roman"/>
          <w:color w:val="000000" w:themeColor="text1"/>
          <w:sz w:val="24"/>
          <w:szCs w:val="24"/>
          <w:lang w:val="en-US"/>
        </w:rPr>
        <w:t>em</w:t>
      </w:r>
      <w:proofErr w:type="spellEnd"/>
      <w:r w:rsidR="00DA55B2" w:rsidRPr="001F399D">
        <w:rPr>
          <w:rFonts w:eastAsia="Times New Roman"/>
          <w:color w:val="000000" w:themeColor="text1"/>
          <w:sz w:val="24"/>
          <w:szCs w:val="24"/>
          <w:lang w:val="en-US"/>
        </w:rPr>
        <w:t xml:space="preserve">: 30 </w:t>
      </w:r>
      <w:proofErr w:type="spellStart"/>
      <w:r w:rsidR="00DA55B2" w:rsidRPr="001F399D">
        <w:rPr>
          <w:rFonts w:eastAsia="Times New Roman"/>
          <w:color w:val="000000" w:themeColor="text1"/>
          <w:sz w:val="24"/>
          <w:szCs w:val="24"/>
          <w:lang w:val="en-US"/>
        </w:rPr>
        <w:t>maio</w:t>
      </w:r>
      <w:proofErr w:type="spellEnd"/>
      <w:r w:rsidR="00DA55B2" w:rsidRPr="001F399D">
        <w:rPr>
          <w:rFonts w:eastAsia="Times New Roman"/>
          <w:color w:val="000000" w:themeColor="text1"/>
          <w:sz w:val="24"/>
          <w:szCs w:val="24"/>
          <w:lang w:val="en-US"/>
        </w:rPr>
        <w:t xml:space="preserve"> 2025.</w:t>
      </w:r>
    </w:p>
    <w:p w14:paraId="65D73F4D" w14:textId="77777777" w:rsidR="00CD10EE" w:rsidRPr="001F399D" w:rsidRDefault="00CD10EE" w:rsidP="00FB7DAE">
      <w:pPr>
        <w:spacing w:line="240" w:lineRule="auto"/>
        <w:rPr>
          <w:rFonts w:eastAsia="Times New Roman"/>
          <w:color w:val="000000" w:themeColor="text1"/>
          <w:sz w:val="24"/>
          <w:szCs w:val="24"/>
          <w:lang w:val="en-US"/>
        </w:rPr>
      </w:pPr>
    </w:p>
    <w:p w14:paraId="5AD7A0AF" w14:textId="77777777" w:rsidR="003D17BA" w:rsidRPr="001F399D" w:rsidRDefault="003D17BA" w:rsidP="00545890">
      <w:pPr>
        <w:spacing w:line="240" w:lineRule="auto"/>
        <w:rPr>
          <w:color w:val="000000" w:themeColor="text1"/>
          <w:sz w:val="24"/>
          <w:szCs w:val="24"/>
          <w:lang w:val="en-US"/>
        </w:rPr>
      </w:pPr>
      <w:r w:rsidRPr="001F399D">
        <w:rPr>
          <w:color w:val="000000" w:themeColor="text1"/>
          <w:sz w:val="24"/>
          <w:szCs w:val="24"/>
          <w:lang w:val="en-US"/>
        </w:rPr>
        <w:lastRenderedPageBreak/>
        <w:t xml:space="preserve">FLEXER, V.; BASPINEIRO, C. F.; GALLI, C. I. Lithium recovery from brines: A vital raw material for green energies with potential environmental impact in its mining and processing. </w:t>
      </w:r>
      <w:r w:rsidRPr="001F399D">
        <w:rPr>
          <w:b/>
          <w:color w:val="000000" w:themeColor="text1"/>
          <w:sz w:val="24"/>
          <w:szCs w:val="24"/>
          <w:lang w:val="en-US"/>
        </w:rPr>
        <w:t>Science of The Total Environment</w:t>
      </w:r>
      <w:r w:rsidRPr="001F399D">
        <w:rPr>
          <w:color w:val="000000" w:themeColor="text1"/>
          <w:sz w:val="24"/>
          <w:szCs w:val="24"/>
          <w:lang w:val="en-US"/>
        </w:rPr>
        <w:t>, v. 639, p. 1188–1204, out. 2018.</w:t>
      </w:r>
    </w:p>
    <w:p w14:paraId="5A6DACA2" w14:textId="77777777" w:rsidR="00545890" w:rsidRPr="001F399D" w:rsidRDefault="00545890" w:rsidP="00545890">
      <w:pPr>
        <w:spacing w:line="240" w:lineRule="auto"/>
        <w:rPr>
          <w:color w:val="000000" w:themeColor="text1"/>
          <w:sz w:val="24"/>
          <w:szCs w:val="24"/>
          <w:lang w:val="en-US"/>
        </w:rPr>
      </w:pPr>
    </w:p>
    <w:p w14:paraId="1D3C4373" w14:textId="77777777" w:rsidR="0010489D" w:rsidRPr="001F399D" w:rsidRDefault="00CD10EE" w:rsidP="00545890">
      <w:pPr>
        <w:spacing w:after="200" w:line="240" w:lineRule="auto"/>
        <w:rPr>
          <w:color w:val="000000" w:themeColor="text1"/>
          <w:sz w:val="24"/>
          <w:szCs w:val="24"/>
        </w:rPr>
      </w:pPr>
      <w:r w:rsidRPr="001F399D">
        <w:rPr>
          <w:color w:val="000000" w:themeColor="text1"/>
          <w:sz w:val="24"/>
          <w:szCs w:val="24"/>
          <w:lang w:val="en-US"/>
        </w:rPr>
        <w:t>FOLHA DE SÃO PAULO.</w:t>
      </w:r>
      <w:r w:rsidRPr="001F399D">
        <w:rPr>
          <w:b/>
          <w:bCs/>
          <w:color w:val="000000" w:themeColor="text1"/>
          <w:sz w:val="24"/>
          <w:szCs w:val="24"/>
          <w:lang w:val="en-US"/>
        </w:rPr>
        <w:t xml:space="preserve"> </w:t>
      </w:r>
      <w:r w:rsidRPr="001F399D">
        <w:rPr>
          <w:b/>
          <w:bCs/>
          <w:color w:val="000000" w:themeColor="text1"/>
          <w:sz w:val="24"/>
          <w:szCs w:val="24"/>
        </w:rPr>
        <w:t xml:space="preserve">Veículos elétricos chineses </w:t>
      </w:r>
      <w:proofErr w:type="spellStart"/>
      <w:r w:rsidRPr="001F399D">
        <w:rPr>
          <w:b/>
          <w:bCs/>
          <w:color w:val="000000" w:themeColor="text1"/>
          <w:sz w:val="24"/>
          <w:szCs w:val="24"/>
        </w:rPr>
        <w:t>ultrabaratos</w:t>
      </w:r>
      <w:proofErr w:type="spellEnd"/>
      <w:r w:rsidRPr="001F399D">
        <w:rPr>
          <w:b/>
          <w:bCs/>
          <w:color w:val="000000" w:themeColor="text1"/>
          <w:sz w:val="24"/>
          <w:szCs w:val="24"/>
        </w:rPr>
        <w:t xml:space="preserve"> estão assustando a própria China</w:t>
      </w:r>
      <w:r w:rsidRPr="001F399D">
        <w:rPr>
          <w:color w:val="000000" w:themeColor="text1"/>
          <w:sz w:val="24"/>
          <w:szCs w:val="24"/>
        </w:rPr>
        <w:t xml:space="preserve">. Folha de São Paulo. Pequim, 6 jun. 2025. Disponível em: </w:t>
      </w:r>
      <w:r w:rsidRPr="001F399D">
        <w:rPr>
          <w:color w:val="000000" w:themeColor="text1"/>
        </w:rPr>
        <w:t>https://www1.folha.uol.com.br/mercado/2025/06/veiculos-eletricos-chineses-ultrabaratos-estao-assustando-a-propria-china.shtml. Acesso em 6 de junho de 2025.</w:t>
      </w:r>
    </w:p>
    <w:p w14:paraId="2BF45F81" w14:textId="77777777" w:rsidR="003D17BA" w:rsidRPr="001F399D" w:rsidRDefault="003D17BA" w:rsidP="00545890">
      <w:pPr>
        <w:spacing w:after="200" w:line="240" w:lineRule="auto"/>
        <w:rPr>
          <w:color w:val="000000" w:themeColor="text1"/>
          <w:sz w:val="24"/>
          <w:szCs w:val="24"/>
        </w:rPr>
      </w:pPr>
      <w:r w:rsidRPr="001F399D">
        <w:rPr>
          <w:color w:val="000000" w:themeColor="text1"/>
          <w:sz w:val="24"/>
          <w:szCs w:val="24"/>
        </w:rPr>
        <w:t xml:space="preserve">KAIDONG, Feng; JUNTING, Chen. </w:t>
      </w:r>
      <w:r w:rsidRPr="001F399D">
        <w:rPr>
          <w:b/>
          <w:bCs/>
          <w:color w:val="000000" w:themeColor="text1"/>
          <w:sz w:val="24"/>
          <w:szCs w:val="24"/>
        </w:rPr>
        <w:t xml:space="preserve">Uma nova máquina para mudar o mundo? A ascensão da indústria de veículos de nova energia da China e suas implicações globais. </w:t>
      </w:r>
      <w:proofErr w:type="spellStart"/>
      <w:r w:rsidRPr="001F399D">
        <w:rPr>
          <w:color w:val="000000" w:themeColor="text1"/>
          <w:sz w:val="24"/>
          <w:szCs w:val="24"/>
        </w:rPr>
        <w:t>Wenhua</w:t>
      </w:r>
      <w:proofErr w:type="spellEnd"/>
      <w:r w:rsidRPr="001F399D">
        <w:rPr>
          <w:color w:val="000000" w:themeColor="text1"/>
          <w:sz w:val="24"/>
          <w:szCs w:val="24"/>
        </w:rPr>
        <w:t xml:space="preserve"> </w:t>
      </w:r>
      <w:proofErr w:type="spellStart"/>
      <w:r w:rsidRPr="001F399D">
        <w:rPr>
          <w:color w:val="000000" w:themeColor="text1"/>
          <w:sz w:val="24"/>
          <w:szCs w:val="24"/>
        </w:rPr>
        <w:t>Zongheng</w:t>
      </w:r>
      <w:proofErr w:type="spellEnd"/>
      <w:r w:rsidRPr="001F399D">
        <w:rPr>
          <w:color w:val="000000" w:themeColor="text1"/>
          <w:sz w:val="24"/>
          <w:szCs w:val="24"/>
        </w:rPr>
        <w:t>, 2024. Disponível em: https://thetricontinental.org/pt-pt/wenhua-zongheng-2024-2-china-nova-energia-industria-veiculos/</w:t>
      </w:r>
    </w:p>
    <w:p w14:paraId="5900B1B3" w14:textId="592CDECC" w:rsidR="00D93443" w:rsidRPr="001F399D" w:rsidRDefault="00F03A61" w:rsidP="00545890">
      <w:pPr>
        <w:spacing w:after="200" w:line="240" w:lineRule="auto"/>
        <w:rPr>
          <w:color w:val="000000" w:themeColor="text1"/>
          <w:sz w:val="24"/>
          <w:szCs w:val="24"/>
        </w:rPr>
      </w:pPr>
      <w:r w:rsidRPr="001F399D">
        <w:rPr>
          <w:color w:val="000000" w:themeColor="text1"/>
          <w:sz w:val="24"/>
          <w:szCs w:val="24"/>
          <w:lang w:val="en-US"/>
        </w:rPr>
        <w:t xml:space="preserve">MYLLYVIRTA, </w:t>
      </w:r>
      <w:r w:rsidR="003D17BA" w:rsidRPr="001F399D">
        <w:rPr>
          <w:color w:val="000000" w:themeColor="text1"/>
          <w:sz w:val="24"/>
          <w:szCs w:val="24"/>
          <w:lang w:val="en-US"/>
        </w:rPr>
        <w:t>Lauri</w:t>
      </w:r>
      <w:r w:rsidRPr="001F399D">
        <w:rPr>
          <w:color w:val="000000" w:themeColor="text1"/>
          <w:sz w:val="24"/>
          <w:szCs w:val="24"/>
          <w:lang w:val="en-US"/>
        </w:rPr>
        <w:t xml:space="preserve">. </w:t>
      </w:r>
      <w:r w:rsidRPr="001F399D">
        <w:rPr>
          <w:b/>
          <w:bCs/>
          <w:color w:val="000000" w:themeColor="text1"/>
          <w:sz w:val="24"/>
          <w:szCs w:val="24"/>
          <w:lang w:val="en-US"/>
        </w:rPr>
        <w:t>Analysis: Clean energy contributed a record 10% of China’s GDP in 2024</w:t>
      </w:r>
      <w:r w:rsidRPr="001F399D">
        <w:rPr>
          <w:color w:val="000000" w:themeColor="text1"/>
          <w:sz w:val="24"/>
          <w:szCs w:val="24"/>
          <w:lang w:val="en-US"/>
        </w:rPr>
        <w:t xml:space="preserve">. </w:t>
      </w:r>
      <w:r w:rsidRPr="001F399D">
        <w:rPr>
          <w:color w:val="000000" w:themeColor="text1"/>
          <w:sz w:val="24"/>
          <w:szCs w:val="24"/>
        </w:rPr>
        <w:t xml:space="preserve">Carbon </w:t>
      </w:r>
      <w:proofErr w:type="spellStart"/>
      <w:r w:rsidRPr="001F399D">
        <w:rPr>
          <w:color w:val="000000" w:themeColor="text1"/>
          <w:sz w:val="24"/>
          <w:szCs w:val="24"/>
        </w:rPr>
        <w:t>Brief</w:t>
      </w:r>
      <w:proofErr w:type="spellEnd"/>
      <w:r w:rsidR="0097061E" w:rsidRPr="001F399D">
        <w:rPr>
          <w:color w:val="000000" w:themeColor="text1"/>
          <w:sz w:val="24"/>
          <w:szCs w:val="24"/>
        </w:rPr>
        <w:t xml:space="preserve">, 2025. Disponível em: </w:t>
      </w:r>
      <w:hyperlink r:id="rId17" w:history="1">
        <w:r w:rsidR="008E58C1" w:rsidRPr="001F399D">
          <w:rPr>
            <w:rStyle w:val="Hyperlink"/>
            <w:color w:val="000000" w:themeColor="text1"/>
            <w:sz w:val="24"/>
            <w:szCs w:val="24"/>
            <w:u w:val="none"/>
          </w:rPr>
          <w:t>https://www.carbonbrief.org/analysis-clean-energy-contributed-a-record-10-of-chinas-gdp-in-2024</w:t>
        </w:r>
      </w:hyperlink>
      <w:r w:rsidR="008E58C1" w:rsidRPr="001F399D">
        <w:rPr>
          <w:color w:val="000000" w:themeColor="text1"/>
          <w:sz w:val="24"/>
          <w:szCs w:val="24"/>
        </w:rPr>
        <w:t>. Acesso em: 15 jun. 2025.</w:t>
      </w:r>
    </w:p>
    <w:p w14:paraId="0AAE1811" w14:textId="77777777" w:rsidR="00D93443" w:rsidRPr="001F399D" w:rsidRDefault="00D93443" w:rsidP="00FB7DAE">
      <w:pPr>
        <w:spacing w:line="240" w:lineRule="auto"/>
        <w:rPr>
          <w:color w:val="000000" w:themeColor="text1"/>
          <w:sz w:val="24"/>
          <w:szCs w:val="24"/>
          <w:lang w:val="en-US"/>
        </w:rPr>
      </w:pPr>
      <w:r w:rsidRPr="001F399D">
        <w:rPr>
          <w:color w:val="000000" w:themeColor="text1"/>
          <w:sz w:val="24"/>
          <w:szCs w:val="24"/>
        </w:rPr>
        <w:t xml:space="preserve">MARX, Karl. </w:t>
      </w:r>
      <w:r w:rsidRPr="001F399D">
        <w:rPr>
          <w:b/>
          <w:bCs/>
          <w:color w:val="000000" w:themeColor="text1"/>
          <w:sz w:val="24"/>
          <w:szCs w:val="24"/>
        </w:rPr>
        <w:t>O Capital:</w:t>
      </w:r>
      <w:r w:rsidRPr="001F399D">
        <w:rPr>
          <w:color w:val="000000" w:themeColor="text1"/>
          <w:sz w:val="24"/>
          <w:szCs w:val="24"/>
        </w:rPr>
        <w:t xml:space="preserve"> crítica da economia política. </w:t>
      </w:r>
      <w:r w:rsidRPr="001F399D">
        <w:rPr>
          <w:color w:val="000000" w:themeColor="text1"/>
          <w:sz w:val="24"/>
          <w:szCs w:val="24"/>
          <w:lang w:val="en-US"/>
        </w:rPr>
        <w:t xml:space="preserve">São Paulo: </w:t>
      </w:r>
      <w:proofErr w:type="spellStart"/>
      <w:r w:rsidRPr="001F399D">
        <w:rPr>
          <w:color w:val="000000" w:themeColor="text1"/>
          <w:sz w:val="24"/>
          <w:szCs w:val="24"/>
          <w:lang w:val="en-US"/>
        </w:rPr>
        <w:t>Boitempo</w:t>
      </w:r>
      <w:proofErr w:type="spellEnd"/>
      <w:r w:rsidRPr="001F399D">
        <w:rPr>
          <w:color w:val="000000" w:themeColor="text1"/>
          <w:sz w:val="24"/>
          <w:szCs w:val="24"/>
          <w:lang w:val="en-US"/>
        </w:rPr>
        <w:t>, 2017. L. 3.</w:t>
      </w:r>
    </w:p>
    <w:p w14:paraId="1EF1797F" w14:textId="77777777" w:rsidR="00DA55B2" w:rsidRPr="001F399D" w:rsidRDefault="00DA55B2" w:rsidP="00FB7DAE">
      <w:pPr>
        <w:spacing w:line="240" w:lineRule="auto"/>
        <w:rPr>
          <w:color w:val="000000" w:themeColor="text1"/>
          <w:sz w:val="24"/>
          <w:szCs w:val="24"/>
          <w:lang w:val="en-US"/>
        </w:rPr>
      </w:pPr>
    </w:p>
    <w:p w14:paraId="53DDF733" w14:textId="77777777" w:rsidR="00D93443" w:rsidRPr="001F399D" w:rsidRDefault="00D93443" w:rsidP="00FB7DAE">
      <w:pPr>
        <w:spacing w:line="240" w:lineRule="auto"/>
        <w:rPr>
          <w:rFonts w:eastAsia="Times New Roman"/>
          <w:color w:val="000000" w:themeColor="text1"/>
          <w:sz w:val="24"/>
          <w:szCs w:val="24"/>
          <w:lang w:val="en-US"/>
        </w:rPr>
      </w:pPr>
      <w:r w:rsidRPr="001F399D">
        <w:rPr>
          <w:color w:val="000000" w:themeColor="text1"/>
          <w:sz w:val="24"/>
          <w:szCs w:val="24"/>
          <w:lang w:val="en-US"/>
        </w:rPr>
        <w:t xml:space="preserve">NATIONAL BUREAU OF STATISTICS OF CHINA. </w:t>
      </w:r>
      <w:r w:rsidRPr="001F399D">
        <w:rPr>
          <w:rFonts w:eastAsia="Aptos"/>
          <w:b/>
          <w:bCs/>
          <w:color w:val="000000" w:themeColor="text1"/>
          <w:sz w:val="24"/>
          <w:szCs w:val="24"/>
          <w:lang w:val="en-US"/>
        </w:rPr>
        <w:t xml:space="preserve">Industrial Production Operation in April 2025. </w:t>
      </w:r>
      <w:r w:rsidRPr="001F399D">
        <w:rPr>
          <w:rFonts w:eastAsia="Aptos"/>
          <w:color w:val="000000" w:themeColor="text1"/>
          <w:sz w:val="24"/>
          <w:szCs w:val="24"/>
        </w:rPr>
        <w:t xml:space="preserve">Beijing, 20 maio 2025. </w:t>
      </w:r>
      <w:r w:rsidRPr="001F399D">
        <w:rPr>
          <w:rFonts w:eastAsia="Aptos"/>
          <w:b/>
          <w:bCs/>
          <w:color w:val="000000" w:themeColor="text1"/>
          <w:sz w:val="24"/>
          <w:szCs w:val="24"/>
        </w:rPr>
        <w:t>Disponível em:</w:t>
      </w:r>
      <w:r w:rsidRPr="001F399D">
        <w:rPr>
          <w:rFonts w:eastAsia="Times New Roman"/>
          <w:color w:val="000000" w:themeColor="text1"/>
          <w:sz w:val="24"/>
          <w:szCs w:val="24"/>
        </w:rPr>
        <w:t xml:space="preserve"> </w:t>
      </w:r>
      <w:hyperlink r:id="rId18">
        <w:r w:rsidRPr="001F399D">
          <w:rPr>
            <w:rStyle w:val="Hyperlink"/>
            <w:rFonts w:eastAsia="Times New Roman"/>
            <w:color w:val="000000" w:themeColor="text1"/>
            <w:sz w:val="24"/>
            <w:szCs w:val="24"/>
            <w:u w:val="none"/>
          </w:rPr>
          <w:t>https://www.stats.gov.cn/english/PressRelease/202505/t20250526_1959952.html</w:t>
        </w:r>
      </w:hyperlink>
      <w:r w:rsidRPr="001F399D">
        <w:rPr>
          <w:rFonts w:eastAsia="Times New Roman"/>
          <w:color w:val="000000" w:themeColor="text1"/>
          <w:sz w:val="24"/>
          <w:szCs w:val="24"/>
        </w:rPr>
        <w:t xml:space="preserve">. </w:t>
      </w:r>
      <w:proofErr w:type="spellStart"/>
      <w:r w:rsidRPr="001F399D">
        <w:rPr>
          <w:rFonts w:eastAsia="Times New Roman"/>
          <w:color w:val="000000" w:themeColor="text1"/>
          <w:sz w:val="24"/>
          <w:szCs w:val="24"/>
          <w:lang w:val="en-US"/>
        </w:rPr>
        <w:t>Acesso</w:t>
      </w:r>
      <w:proofErr w:type="spellEnd"/>
      <w:r w:rsidRPr="001F399D">
        <w:rPr>
          <w:rFonts w:eastAsia="Times New Roman"/>
          <w:color w:val="000000" w:themeColor="text1"/>
          <w:sz w:val="24"/>
          <w:szCs w:val="24"/>
          <w:lang w:val="en-US"/>
        </w:rPr>
        <w:t xml:space="preserve"> </w:t>
      </w:r>
      <w:proofErr w:type="spellStart"/>
      <w:r w:rsidRPr="001F399D">
        <w:rPr>
          <w:rFonts w:eastAsia="Times New Roman"/>
          <w:color w:val="000000" w:themeColor="text1"/>
          <w:sz w:val="24"/>
          <w:szCs w:val="24"/>
          <w:lang w:val="en-US"/>
        </w:rPr>
        <w:t>em</w:t>
      </w:r>
      <w:proofErr w:type="spellEnd"/>
      <w:r w:rsidRPr="001F399D">
        <w:rPr>
          <w:rFonts w:eastAsia="Times New Roman"/>
          <w:color w:val="000000" w:themeColor="text1"/>
          <w:sz w:val="24"/>
          <w:szCs w:val="24"/>
          <w:lang w:val="en-US"/>
        </w:rPr>
        <w:t xml:space="preserve">: 02 jun. 2025. </w:t>
      </w:r>
    </w:p>
    <w:p w14:paraId="0711E96A" w14:textId="77777777" w:rsidR="00BD2EBE" w:rsidRPr="001F399D" w:rsidRDefault="00BD2EBE" w:rsidP="00FB7DAE">
      <w:pPr>
        <w:spacing w:line="240" w:lineRule="auto"/>
        <w:rPr>
          <w:rFonts w:eastAsia="Times New Roman"/>
          <w:color w:val="000000" w:themeColor="text1"/>
          <w:sz w:val="24"/>
          <w:szCs w:val="24"/>
          <w:lang w:val="en-US"/>
        </w:rPr>
      </w:pPr>
    </w:p>
    <w:p w14:paraId="0561541F" w14:textId="77777777" w:rsidR="003D17BA" w:rsidRPr="001F399D" w:rsidRDefault="003D17BA" w:rsidP="00545890">
      <w:pPr>
        <w:spacing w:after="200" w:line="240" w:lineRule="auto"/>
        <w:rPr>
          <w:color w:val="000000" w:themeColor="text1"/>
          <w:sz w:val="24"/>
          <w:szCs w:val="24"/>
        </w:rPr>
      </w:pPr>
      <w:r w:rsidRPr="001F399D">
        <w:rPr>
          <w:color w:val="000000" w:themeColor="text1"/>
          <w:sz w:val="24"/>
          <w:szCs w:val="24"/>
          <w:lang w:val="en-US"/>
        </w:rPr>
        <w:t xml:space="preserve">NAUGHTON, Barry. </w:t>
      </w:r>
      <w:r w:rsidRPr="001F399D">
        <w:rPr>
          <w:b/>
          <w:bCs/>
          <w:color w:val="000000" w:themeColor="text1"/>
          <w:sz w:val="24"/>
          <w:szCs w:val="24"/>
          <w:lang w:val="en-US"/>
        </w:rPr>
        <w:t>The rise of China’s industrial policy (1978 – 2020)</w:t>
      </w:r>
      <w:r w:rsidRPr="001F399D">
        <w:rPr>
          <w:color w:val="000000" w:themeColor="text1"/>
          <w:sz w:val="24"/>
          <w:szCs w:val="24"/>
          <w:lang w:val="en-US"/>
        </w:rPr>
        <w:t xml:space="preserve">. </w:t>
      </w:r>
      <w:r w:rsidRPr="001F399D">
        <w:rPr>
          <w:color w:val="000000" w:themeColor="text1"/>
          <w:sz w:val="24"/>
          <w:szCs w:val="24"/>
        </w:rPr>
        <w:t xml:space="preserve">México: </w:t>
      </w:r>
      <w:proofErr w:type="spellStart"/>
      <w:r w:rsidRPr="001F399D">
        <w:rPr>
          <w:color w:val="000000" w:themeColor="text1"/>
          <w:sz w:val="24"/>
          <w:szCs w:val="24"/>
        </w:rPr>
        <w:t>Universidad</w:t>
      </w:r>
      <w:proofErr w:type="spellEnd"/>
      <w:r w:rsidRPr="001F399D">
        <w:rPr>
          <w:color w:val="000000" w:themeColor="text1"/>
          <w:sz w:val="24"/>
          <w:szCs w:val="24"/>
        </w:rPr>
        <w:t xml:space="preserve"> Nacional Autónoma de México, 2021.</w:t>
      </w:r>
    </w:p>
    <w:p w14:paraId="01E4CEA8" w14:textId="77777777" w:rsidR="003D17BA" w:rsidRPr="001F399D" w:rsidRDefault="003D17BA" w:rsidP="00545890">
      <w:pPr>
        <w:spacing w:line="240" w:lineRule="auto"/>
        <w:rPr>
          <w:rFonts w:eastAsia="Times New Roman"/>
          <w:color w:val="000000" w:themeColor="text1"/>
          <w:sz w:val="24"/>
          <w:szCs w:val="24"/>
        </w:rPr>
      </w:pPr>
      <w:r w:rsidRPr="001F399D">
        <w:rPr>
          <w:rFonts w:eastAsia="Times New Roman"/>
          <w:color w:val="000000" w:themeColor="text1"/>
          <w:sz w:val="24"/>
          <w:szCs w:val="24"/>
        </w:rPr>
        <w:t xml:space="preserve">ORGANIZAÇÃO PARA A COOPERAÇÃO E DESENVOLVIMENTO ECONÔMICO (OCDE). </w:t>
      </w:r>
      <w:r w:rsidRPr="001F399D">
        <w:rPr>
          <w:rFonts w:eastAsia="Times New Roman"/>
          <w:b/>
          <w:bCs/>
          <w:color w:val="000000" w:themeColor="text1"/>
          <w:sz w:val="24"/>
          <w:szCs w:val="24"/>
        </w:rPr>
        <w:t xml:space="preserve">Perspectives </w:t>
      </w:r>
      <w:proofErr w:type="spellStart"/>
      <w:r w:rsidRPr="001F399D">
        <w:rPr>
          <w:rFonts w:eastAsia="Times New Roman"/>
          <w:b/>
          <w:bCs/>
          <w:color w:val="000000" w:themeColor="text1"/>
          <w:sz w:val="24"/>
          <w:szCs w:val="24"/>
        </w:rPr>
        <w:t>économiques</w:t>
      </w:r>
      <w:proofErr w:type="spellEnd"/>
      <w:r w:rsidRPr="001F399D">
        <w:rPr>
          <w:rFonts w:eastAsia="Times New Roman"/>
          <w:b/>
          <w:bCs/>
          <w:color w:val="000000" w:themeColor="text1"/>
          <w:sz w:val="24"/>
          <w:szCs w:val="24"/>
        </w:rPr>
        <w:t xml:space="preserve"> de </w:t>
      </w:r>
      <w:proofErr w:type="spellStart"/>
      <w:r w:rsidRPr="001F399D">
        <w:rPr>
          <w:rFonts w:eastAsia="Times New Roman"/>
          <w:b/>
          <w:bCs/>
          <w:color w:val="000000" w:themeColor="text1"/>
          <w:sz w:val="24"/>
          <w:szCs w:val="24"/>
        </w:rPr>
        <w:t>l’OCDE</w:t>
      </w:r>
      <w:proofErr w:type="spellEnd"/>
      <w:r w:rsidRPr="001F399D">
        <w:rPr>
          <w:rFonts w:eastAsia="Times New Roman"/>
          <w:b/>
          <w:bCs/>
          <w:color w:val="000000" w:themeColor="text1"/>
          <w:sz w:val="24"/>
          <w:szCs w:val="24"/>
        </w:rPr>
        <w:t xml:space="preserve">, </w:t>
      </w:r>
      <w:proofErr w:type="spellStart"/>
      <w:r w:rsidRPr="001F399D">
        <w:rPr>
          <w:rFonts w:eastAsia="Times New Roman"/>
          <w:b/>
          <w:bCs/>
          <w:color w:val="000000" w:themeColor="text1"/>
          <w:sz w:val="24"/>
          <w:szCs w:val="24"/>
        </w:rPr>
        <w:t>Rapport</w:t>
      </w:r>
      <w:proofErr w:type="spellEnd"/>
      <w:r w:rsidRPr="001F399D">
        <w:rPr>
          <w:rFonts w:eastAsia="Times New Roman"/>
          <w:b/>
          <w:bCs/>
          <w:color w:val="000000" w:themeColor="text1"/>
          <w:sz w:val="24"/>
          <w:szCs w:val="24"/>
        </w:rPr>
        <w:t xml:space="preserve"> </w:t>
      </w:r>
      <w:proofErr w:type="spellStart"/>
      <w:r w:rsidRPr="001F399D">
        <w:rPr>
          <w:rFonts w:eastAsia="Times New Roman"/>
          <w:b/>
          <w:bCs/>
          <w:color w:val="000000" w:themeColor="text1"/>
          <w:sz w:val="24"/>
          <w:szCs w:val="24"/>
        </w:rPr>
        <w:t>intermédiaire</w:t>
      </w:r>
      <w:proofErr w:type="spellEnd"/>
      <w:r w:rsidRPr="001F399D">
        <w:rPr>
          <w:rFonts w:eastAsia="Times New Roman"/>
          <w:b/>
          <w:bCs/>
          <w:color w:val="000000" w:themeColor="text1"/>
          <w:sz w:val="24"/>
          <w:szCs w:val="24"/>
        </w:rPr>
        <w:t xml:space="preserve">, </w:t>
      </w:r>
      <w:proofErr w:type="spellStart"/>
      <w:r w:rsidRPr="001F399D">
        <w:rPr>
          <w:rFonts w:eastAsia="Times New Roman"/>
          <w:b/>
          <w:bCs/>
          <w:color w:val="000000" w:themeColor="text1"/>
          <w:sz w:val="24"/>
          <w:szCs w:val="24"/>
        </w:rPr>
        <w:t>mars</w:t>
      </w:r>
      <w:proofErr w:type="spellEnd"/>
      <w:r w:rsidRPr="001F399D">
        <w:rPr>
          <w:rFonts w:eastAsia="Times New Roman"/>
          <w:b/>
          <w:bCs/>
          <w:color w:val="000000" w:themeColor="text1"/>
          <w:sz w:val="24"/>
          <w:szCs w:val="24"/>
        </w:rPr>
        <w:t xml:space="preserve"> 2025:</w:t>
      </w:r>
      <w:r w:rsidRPr="001F399D">
        <w:rPr>
          <w:rFonts w:eastAsia="Times New Roman"/>
          <w:color w:val="000000" w:themeColor="text1"/>
          <w:sz w:val="24"/>
          <w:szCs w:val="24"/>
        </w:rPr>
        <w:t xml:space="preserve"> </w:t>
      </w:r>
      <w:proofErr w:type="spellStart"/>
      <w:r w:rsidRPr="001F399D">
        <w:rPr>
          <w:rFonts w:eastAsia="Times New Roman"/>
          <w:color w:val="000000" w:themeColor="text1"/>
          <w:sz w:val="24"/>
          <w:szCs w:val="24"/>
        </w:rPr>
        <w:t>Garder</w:t>
      </w:r>
      <w:proofErr w:type="spellEnd"/>
      <w:r w:rsidRPr="001F399D">
        <w:rPr>
          <w:rFonts w:eastAsia="Times New Roman"/>
          <w:color w:val="000000" w:themeColor="text1"/>
          <w:sz w:val="24"/>
          <w:szCs w:val="24"/>
        </w:rPr>
        <w:t xml:space="preserve"> </w:t>
      </w:r>
      <w:proofErr w:type="spellStart"/>
      <w:r w:rsidRPr="001F399D">
        <w:rPr>
          <w:rFonts w:eastAsia="Times New Roman"/>
          <w:color w:val="000000" w:themeColor="text1"/>
          <w:sz w:val="24"/>
          <w:szCs w:val="24"/>
        </w:rPr>
        <w:t>le</w:t>
      </w:r>
      <w:proofErr w:type="spellEnd"/>
      <w:r w:rsidRPr="001F399D">
        <w:rPr>
          <w:rFonts w:eastAsia="Times New Roman"/>
          <w:color w:val="000000" w:themeColor="text1"/>
          <w:sz w:val="24"/>
          <w:szCs w:val="24"/>
        </w:rPr>
        <w:t xml:space="preserve"> cap </w:t>
      </w:r>
      <w:proofErr w:type="spellStart"/>
      <w:r w:rsidRPr="001F399D">
        <w:rPr>
          <w:rFonts w:eastAsia="Times New Roman"/>
          <w:color w:val="000000" w:themeColor="text1"/>
          <w:sz w:val="24"/>
          <w:szCs w:val="24"/>
        </w:rPr>
        <w:t>dans</w:t>
      </w:r>
      <w:proofErr w:type="spellEnd"/>
      <w:r w:rsidRPr="001F399D">
        <w:rPr>
          <w:rFonts w:eastAsia="Times New Roman"/>
          <w:color w:val="000000" w:themeColor="text1"/>
          <w:sz w:val="24"/>
          <w:szCs w:val="24"/>
        </w:rPr>
        <w:t xml:space="preserve"> </w:t>
      </w:r>
      <w:proofErr w:type="spellStart"/>
      <w:r w:rsidRPr="001F399D">
        <w:rPr>
          <w:rFonts w:eastAsia="Times New Roman"/>
          <w:color w:val="000000" w:themeColor="text1"/>
          <w:sz w:val="24"/>
          <w:szCs w:val="24"/>
        </w:rPr>
        <w:t>l’incertitude</w:t>
      </w:r>
      <w:proofErr w:type="spellEnd"/>
      <w:r w:rsidRPr="001F399D">
        <w:rPr>
          <w:rFonts w:eastAsia="Times New Roman"/>
          <w:color w:val="000000" w:themeColor="text1"/>
          <w:sz w:val="24"/>
          <w:szCs w:val="24"/>
        </w:rPr>
        <w:t xml:space="preserve">. Paris: </w:t>
      </w:r>
      <w:proofErr w:type="spellStart"/>
      <w:r w:rsidRPr="001F399D">
        <w:rPr>
          <w:rFonts w:eastAsia="Times New Roman"/>
          <w:color w:val="000000" w:themeColor="text1"/>
          <w:sz w:val="24"/>
          <w:szCs w:val="24"/>
        </w:rPr>
        <w:t>Éditions</w:t>
      </w:r>
      <w:proofErr w:type="spellEnd"/>
      <w:r w:rsidRPr="001F399D">
        <w:rPr>
          <w:rFonts w:eastAsia="Times New Roman"/>
          <w:color w:val="000000" w:themeColor="text1"/>
          <w:sz w:val="24"/>
          <w:szCs w:val="24"/>
        </w:rPr>
        <w:t xml:space="preserve"> OCDE. Disponível em: </w:t>
      </w:r>
      <w:hyperlink r:id="rId19">
        <w:r w:rsidRPr="001F399D">
          <w:rPr>
            <w:rStyle w:val="Hyperlink"/>
            <w:rFonts w:eastAsia="Times New Roman"/>
            <w:color w:val="000000" w:themeColor="text1"/>
            <w:sz w:val="24"/>
            <w:szCs w:val="24"/>
            <w:u w:val="none"/>
          </w:rPr>
          <w:t>https://doi.org/10.1787/092e5f31-fr</w:t>
        </w:r>
      </w:hyperlink>
      <w:r w:rsidRPr="001F399D">
        <w:rPr>
          <w:rFonts w:eastAsia="Times New Roman"/>
          <w:color w:val="000000" w:themeColor="text1"/>
          <w:sz w:val="24"/>
          <w:szCs w:val="24"/>
        </w:rPr>
        <w:t>. Acesso em: 12 maio 2025.</w:t>
      </w:r>
    </w:p>
    <w:p w14:paraId="41D8A8A5" w14:textId="77777777" w:rsidR="00D93443" w:rsidRPr="001F399D" w:rsidRDefault="00D93443" w:rsidP="00FB7DAE">
      <w:pPr>
        <w:spacing w:line="240" w:lineRule="auto"/>
        <w:rPr>
          <w:color w:val="000000" w:themeColor="text1"/>
          <w:sz w:val="24"/>
          <w:szCs w:val="24"/>
          <w:lang w:val="fr-FR"/>
        </w:rPr>
      </w:pPr>
      <w:r w:rsidRPr="001F399D">
        <w:rPr>
          <w:color w:val="000000" w:themeColor="text1"/>
          <w:sz w:val="24"/>
          <w:szCs w:val="24"/>
          <w:lang w:val="fr-FR"/>
        </w:rPr>
        <w:t xml:space="preserve">SERFATI, Claude. </w:t>
      </w:r>
      <w:r w:rsidRPr="001F399D">
        <w:rPr>
          <w:b/>
          <w:bCs/>
          <w:color w:val="000000" w:themeColor="text1"/>
          <w:sz w:val="24"/>
          <w:szCs w:val="24"/>
          <w:lang w:val="fr-FR"/>
        </w:rPr>
        <w:t>Un monde en guerres</w:t>
      </w:r>
      <w:r w:rsidRPr="001F399D">
        <w:rPr>
          <w:color w:val="000000" w:themeColor="text1"/>
          <w:sz w:val="24"/>
          <w:szCs w:val="24"/>
          <w:lang w:val="fr-FR"/>
        </w:rPr>
        <w:t>. Paris: Textuel, 2024. (Coleção “Petite encyclopédie critique”).</w:t>
      </w:r>
    </w:p>
    <w:p w14:paraId="4FBC27BC" w14:textId="77777777" w:rsidR="00D93443" w:rsidRPr="001F399D" w:rsidRDefault="00D93443" w:rsidP="00FB7DAE">
      <w:pPr>
        <w:spacing w:line="240" w:lineRule="auto"/>
        <w:rPr>
          <w:color w:val="000000" w:themeColor="text1"/>
          <w:sz w:val="24"/>
          <w:szCs w:val="24"/>
          <w:lang w:val="fr-FR"/>
        </w:rPr>
      </w:pPr>
    </w:p>
    <w:p w14:paraId="05AFEC90" w14:textId="35C7C6EB" w:rsidR="00EA09D3" w:rsidRPr="001F399D" w:rsidRDefault="00D93443" w:rsidP="008E58C1">
      <w:pPr>
        <w:spacing w:line="240" w:lineRule="auto"/>
        <w:rPr>
          <w:color w:val="000000" w:themeColor="text1"/>
          <w:sz w:val="24"/>
          <w:szCs w:val="24"/>
        </w:rPr>
      </w:pPr>
      <w:r w:rsidRPr="001F399D">
        <w:rPr>
          <w:color w:val="000000" w:themeColor="text1"/>
          <w:sz w:val="24"/>
          <w:szCs w:val="24"/>
          <w:lang w:val="en-US"/>
        </w:rPr>
        <w:t xml:space="preserve">THE STATE COUNCIL OF THE PEOPLE’S REPUBLIC OF CHINA. </w:t>
      </w:r>
      <w:r w:rsidRPr="001F399D">
        <w:rPr>
          <w:b/>
          <w:bCs/>
          <w:color w:val="000000" w:themeColor="text1"/>
          <w:sz w:val="24"/>
          <w:szCs w:val="24"/>
          <w:lang w:val="en-US"/>
        </w:rPr>
        <w:t>China’s int’l trade in goods, services value up 6 pct in April</w:t>
      </w:r>
      <w:r w:rsidRPr="001F399D">
        <w:rPr>
          <w:color w:val="000000" w:themeColor="text1"/>
          <w:sz w:val="24"/>
          <w:szCs w:val="24"/>
          <w:lang w:val="en-US"/>
        </w:rPr>
        <w:t xml:space="preserve">. </w:t>
      </w:r>
      <w:r w:rsidRPr="001F399D">
        <w:rPr>
          <w:color w:val="000000" w:themeColor="text1"/>
          <w:sz w:val="24"/>
          <w:szCs w:val="24"/>
        </w:rPr>
        <w:t xml:space="preserve">Beijing, 30 maio 2025. Disponível em: </w:t>
      </w:r>
      <w:r w:rsidRPr="001F399D">
        <w:rPr>
          <w:rFonts w:eastAsia="Times New Roman"/>
          <w:color w:val="000000" w:themeColor="text1"/>
          <w:sz w:val="24"/>
          <w:szCs w:val="24"/>
        </w:rPr>
        <w:t xml:space="preserve"> </w:t>
      </w:r>
      <w:hyperlink r:id="rId20">
        <w:r w:rsidRPr="001F399D">
          <w:rPr>
            <w:rStyle w:val="Hyperlink"/>
            <w:rFonts w:eastAsia="Times New Roman"/>
            <w:color w:val="000000" w:themeColor="text1"/>
            <w:sz w:val="24"/>
            <w:szCs w:val="24"/>
            <w:u w:val="none"/>
          </w:rPr>
          <w:t>https://english.www.gov.cn/archive/statistics/202505/30/content_WS68398ba2c6d0868f4e8f2fd5.html</w:t>
        </w:r>
      </w:hyperlink>
      <w:r w:rsidRPr="001F399D">
        <w:rPr>
          <w:rFonts w:eastAsia="Times New Roman"/>
          <w:color w:val="000000" w:themeColor="text1"/>
          <w:sz w:val="24"/>
          <w:szCs w:val="24"/>
        </w:rPr>
        <w:t xml:space="preserve">. </w:t>
      </w:r>
      <w:proofErr w:type="spellStart"/>
      <w:r w:rsidRPr="001F399D">
        <w:rPr>
          <w:rFonts w:eastAsia="Times New Roman"/>
          <w:color w:val="000000" w:themeColor="text1"/>
          <w:sz w:val="24"/>
          <w:szCs w:val="24"/>
          <w:lang w:val="en-US"/>
        </w:rPr>
        <w:t>Acesso</w:t>
      </w:r>
      <w:proofErr w:type="spellEnd"/>
      <w:r w:rsidRPr="001F399D">
        <w:rPr>
          <w:rFonts w:eastAsia="Times New Roman"/>
          <w:color w:val="000000" w:themeColor="text1"/>
          <w:sz w:val="24"/>
          <w:szCs w:val="24"/>
          <w:lang w:val="en-US"/>
        </w:rPr>
        <w:t xml:space="preserve"> </w:t>
      </w:r>
      <w:proofErr w:type="spellStart"/>
      <w:r w:rsidRPr="001F399D">
        <w:rPr>
          <w:rFonts w:eastAsia="Times New Roman"/>
          <w:color w:val="000000" w:themeColor="text1"/>
          <w:sz w:val="24"/>
          <w:szCs w:val="24"/>
          <w:lang w:val="en-US"/>
        </w:rPr>
        <w:t>em</w:t>
      </w:r>
      <w:proofErr w:type="spellEnd"/>
      <w:r w:rsidRPr="001F399D">
        <w:rPr>
          <w:rFonts w:eastAsia="Times New Roman"/>
          <w:color w:val="000000" w:themeColor="text1"/>
          <w:sz w:val="24"/>
          <w:szCs w:val="24"/>
          <w:lang w:val="en-US"/>
        </w:rPr>
        <w:t>: 02 jun. 2025.</w:t>
      </w:r>
    </w:p>
    <w:p w14:paraId="51ABAC5F" w14:textId="77777777" w:rsidR="00BC0455" w:rsidRPr="001F399D" w:rsidRDefault="00BC0455" w:rsidP="00545890">
      <w:pPr>
        <w:spacing w:after="200" w:line="240" w:lineRule="auto"/>
        <w:rPr>
          <w:rFonts w:ascii="Calibri" w:eastAsia="Calibri" w:hAnsi="Calibri" w:cs="Calibri"/>
          <w:color w:val="000000" w:themeColor="text1"/>
          <w:sz w:val="24"/>
          <w:szCs w:val="24"/>
        </w:rPr>
      </w:pPr>
    </w:p>
    <w:sectPr w:rsidR="00BC0455" w:rsidRPr="001F399D" w:rsidSect="00334AF4">
      <w:headerReference w:type="default" r:id="rId21"/>
      <w:footerReference w:type="default" r:id="rId22"/>
      <w:pgSz w:w="11909" w:h="16834"/>
      <w:pgMar w:top="1701" w:right="1134" w:bottom="1134" w:left="1701" w:header="3402"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DD029" w14:textId="77777777" w:rsidR="00E42FEB" w:rsidRDefault="00E42FEB">
      <w:pPr>
        <w:spacing w:line="240" w:lineRule="auto"/>
      </w:pPr>
      <w:r>
        <w:separator/>
      </w:r>
    </w:p>
  </w:endnote>
  <w:endnote w:type="continuationSeparator" w:id="0">
    <w:p w14:paraId="48507C0F" w14:textId="77777777" w:rsidR="00E42FEB" w:rsidRDefault="00E42F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E52E44B" w14:paraId="6F3D9A62" w14:textId="77777777" w:rsidTr="2E52E44B">
      <w:trPr>
        <w:trHeight w:val="300"/>
      </w:trPr>
      <w:tc>
        <w:tcPr>
          <w:tcW w:w="3020" w:type="dxa"/>
        </w:tcPr>
        <w:p w14:paraId="7E611826" w14:textId="35767448" w:rsidR="2E52E44B" w:rsidRDefault="2E52E44B" w:rsidP="2E52E44B">
          <w:pPr>
            <w:pStyle w:val="Cabealho"/>
            <w:ind w:left="-115"/>
          </w:pPr>
        </w:p>
      </w:tc>
      <w:tc>
        <w:tcPr>
          <w:tcW w:w="3020" w:type="dxa"/>
        </w:tcPr>
        <w:p w14:paraId="50C214F8" w14:textId="06F8D27F" w:rsidR="2E52E44B" w:rsidRDefault="2E52E44B" w:rsidP="2E52E44B">
          <w:pPr>
            <w:pStyle w:val="Cabealho"/>
            <w:jc w:val="center"/>
          </w:pPr>
        </w:p>
      </w:tc>
      <w:tc>
        <w:tcPr>
          <w:tcW w:w="3020" w:type="dxa"/>
        </w:tcPr>
        <w:p w14:paraId="78809AE2" w14:textId="0445D6E8" w:rsidR="2E52E44B" w:rsidRDefault="2E52E44B" w:rsidP="2E52E44B">
          <w:pPr>
            <w:pStyle w:val="Cabealho"/>
            <w:ind w:right="-115"/>
            <w:jc w:val="right"/>
          </w:pPr>
        </w:p>
      </w:tc>
    </w:tr>
  </w:tbl>
  <w:p w14:paraId="2B424111" w14:textId="2A53004D" w:rsidR="00D4711E" w:rsidRDefault="00D471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A4C9C" w14:textId="77777777" w:rsidR="00E42FEB" w:rsidRDefault="00E42FEB">
      <w:pPr>
        <w:spacing w:line="240" w:lineRule="auto"/>
      </w:pPr>
      <w:r>
        <w:separator/>
      </w:r>
    </w:p>
  </w:footnote>
  <w:footnote w:type="continuationSeparator" w:id="0">
    <w:p w14:paraId="6077E573" w14:textId="77777777" w:rsidR="00E42FEB" w:rsidRDefault="00E42FEB">
      <w:pPr>
        <w:spacing w:line="240" w:lineRule="auto"/>
      </w:pPr>
      <w:r>
        <w:continuationSeparator/>
      </w:r>
    </w:p>
  </w:footnote>
  <w:footnote w:id="1">
    <w:p w14:paraId="0DC2AB18" w14:textId="76FDF720" w:rsidR="003D5CA4" w:rsidRPr="003D5CA4" w:rsidRDefault="003D5CA4">
      <w:pPr>
        <w:pStyle w:val="Textodenotaderodap"/>
        <w:rPr>
          <w:rFonts w:ascii="Arial" w:hAnsi="Arial"/>
        </w:rPr>
      </w:pPr>
      <w:r w:rsidRPr="003D5CA4">
        <w:rPr>
          <w:rStyle w:val="Refdenotaderodap"/>
          <w:rFonts w:ascii="Arial" w:hAnsi="Arial"/>
        </w:rPr>
        <w:footnoteRef/>
      </w:r>
      <w:r w:rsidRPr="003D5CA4">
        <w:rPr>
          <w:rFonts w:ascii="Arial" w:hAnsi="Arial"/>
        </w:rPr>
        <w:t xml:space="preserve"> Universidade Federal de Goiás; Mestre em Relações Internacionais</w:t>
      </w:r>
      <w:r w:rsidR="00E143D1">
        <w:rPr>
          <w:rFonts w:ascii="Arial" w:hAnsi="Arial"/>
        </w:rPr>
        <w:t xml:space="preserve">; </w:t>
      </w:r>
      <w:r w:rsidR="00360A13">
        <w:rPr>
          <w:rFonts w:ascii="Arial" w:hAnsi="Arial"/>
        </w:rPr>
        <w:t>fernanda_a.r.s@hotmail.com.</w:t>
      </w:r>
    </w:p>
  </w:footnote>
  <w:footnote w:id="2">
    <w:p w14:paraId="21A5D8E1" w14:textId="07FE73A6" w:rsidR="003D5CA4" w:rsidRPr="003D5CA4" w:rsidRDefault="003D5CA4">
      <w:pPr>
        <w:pStyle w:val="Textodenotaderodap"/>
        <w:rPr>
          <w:rFonts w:ascii="Arial" w:hAnsi="Arial"/>
        </w:rPr>
      </w:pPr>
      <w:r w:rsidRPr="003D5CA4">
        <w:rPr>
          <w:rStyle w:val="Refdenotaderodap"/>
          <w:rFonts w:ascii="Arial" w:hAnsi="Arial"/>
        </w:rPr>
        <w:footnoteRef/>
      </w:r>
      <w:r w:rsidRPr="003D5CA4">
        <w:rPr>
          <w:rFonts w:ascii="Arial" w:hAnsi="Arial"/>
        </w:rPr>
        <w:t xml:space="preserve"> </w:t>
      </w:r>
      <w:r>
        <w:rPr>
          <w:rFonts w:ascii="Arial" w:hAnsi="Arial"/>
        </w:rPr>
        <w:t>Universidade Estadual do Rio de Janeiro; Doutora em Ciência Política</w:t>
      </w:r>
      <w:r w:rsidR="00E143D1">
        <w:rPr>
          <w:rFonts w:ascii="Arial" w:hAnsi="Arial"/>
        </w:rPr>
        <w:t>; j</w:t>
      </w:r>
      <w:r w:rsidR="00E143D1" w:rsidRPr="00E143D1">
        <w:rPr>
          <w:rFonts w:ascii="Arial" w:hAnsi="Arial"/>
        </w:rPr>
        <w:t>oyce.hfs87@gmail.com</w:t>
      </w:r>
      <w:r w:rsidR="00360A13">
        <w:rPr>
          <w:rFonts w:ascii="Arial" w:hAnsi="Arial"/>
        </w:rPr>
        <w:t>.</w:t>
      </w:r>
    </w:p>
  </w:footnote>
  <w:footnote w:id="3">
    <w:p w14:paraId="0E661745" w14:textId="47A765DF" w:rsidR="00E40685" w:rsidRPr="003D5CA4" w:rsidRDefault="003D5CA4">
      <w:pPr>
        <w:pStyle w:val="Textodenotaderodap"/>
        <w:rPr>
          <w:rFonts w:ascii="Arial" w:hAnsi="Arial"/>
        </w:rPr>
      </w:pPr>
      <w:r w:rsidRPr="003D5CA4">
        <w:rPr>
          <w:rStyle w:val="Refdenotaderodap"/>
          <w:rFonts w:ascii="Arial" w:hAnsi="Arial"/>
        </w:rPr>
        <w:footnoteRef/>
      </w:r>
      <w:r w:rsidRPr="003D5CA4">
        <w:rPr>
          <w:rFonts w:ascii="Arial" w:hAnsi="Arial"/>
        </w:rPr>
        <w:t xml:space="preserve"> </w:t>
      </w:r>
      <w:r w:rsidR="00E40685">
        <w:rPr>
          <w:rFonts w:ascii="Arial" w:hAnsi="Arial"/>
        </w:rPr>
        <w:t>Universidade Federal do Maranhão; Doutora em Políticas Públicas</w:t>
      </w:r>
      <w:r w:rsidR="00E143D1">
        <w:rPr>
          <w:rFonts w:ascii="Arial" w:hAnsi="Arial"/>
        </w:rPr>
        <w:t xml:space="preserve">; </w:t>
      </w:r>
      <w:r w:rsidR="00360A13" w:rsidRPr="00360A13">
        <w:rPr>
          <w:rFonts w:ascii="Arial" w:hAnsi="Arial"/>
        </w:rPr>
        <w:t>juliana.cmt@ufma.br</w:t>
      </w:r>
      <w:r w:rsidR="00360A13">
        <w:rPr>
          <w:rFonts w:ascii="Arial" w:hAnsi="Arial"/>
        </w:rPr>
        <w:t>.</w:t>
      </w:r>
    </w:p>
  </w:footnote>
  <w:footnote w:id="4">
    <w:p w14:paraId="773108C8" w14:textId="3B764961" w:rsidR="0040299A" w:rsidRPr="0040299A" w:rsidRDefault="0040299A" w:rsidP="0040299A">
      <w:pPr>
        <w:pStyle w:val="Textodenotaderodap"/>
        <w:jc w:val="both"/>
        <w:rPr>
          <w:rFonts w:ascii="Arial" w:hAnsi="Arial"/>
        </w:rPr>
      </w:pPr>
      <w:r w:rsidRPr="0040299A">
        <w:rPr>
          <w:rStyle w:val="Refdenotaderodap"/>
          <w:rFonts w:ascii="Arial" w:hAnsi="Arial"/>
        </w:rPr>
        <w:footnoteRef/>
      </w:r>
      <w:r w:rsidRPr="0040299A">
        <w:rPr>
          <w:rFonts w:ascii="Arial" w:hAnsi="Arial"/>
        </w:rPr>
        <w:t xml:space="preserve"> Publicado oficialmente pelo Conselho de Estado em 27 de março de 2015 e detalhado pelo mesmo Conselho em 19 de maio de 2015, o plano decenal “</w:t>
      </w:r>
      <w:proofErr w:type="spellStart"/>
      <w:r w:rsidRPr="0040299A">
        <w:rPr>
          <w:rFonts w:ascii="Arial" w:hAnsi="Arial"/>
        </w:rPr>
        <w:t>Made</w:t>
      </w:r>
      <w:proofErr w:type="spellEnd"/>
      <w:r w:rsidRPr="0040299A">
        <w:rPr>
          <w:rFonts w:ascii="Arial" w:hAnsi="Arial"/>
        </w:rPr>
        <w:t xml:space="preserve"> in China 2025” redefine as prioridades industriais da China</w:t>
      </w:r>
      <w:r w:rsidR="00AB47AF">
        <w:rPr>
          <w:rFonts w:ascii="Arial" w:hAnsi="Arial"/>
        </w:rPr>
        <w:t xml:space="preserve"> (</w:t>
      </w:r>
      <w:r w:rsidR="007030A3" w:rsidRPr="007030A3">
        <w:rPr>
          <w:rFonts w:ascii="Arial" w:hAnsi="Arial"/>
        </w:rPr>
        <w:t xml:space="preserve">DG </w:t>
      </w:r>
      <w:proofErr w:type="spellStart"/>
      <w:r w:rsidR="007030A3" w:rsidRPr="007030A3">
        <w:rPr>
          <w:rFonts w:ascii="Arial" w:hAnsi="Arial"/>
        </w:rPr>
        <w:t>Trésor</w:t>
      </w:r>
      <w:proofErr w:type="spellEnd"/>
      <w:r w:rsidR="007030A3">
        <w:rPr>
          <w:rFonts w:ascii="Arial" w:hAnsi="Arial"/>
        </w:rPr>
        <w:t>;</w:t>
      </w:r>
      <w:r w:rsidR="007030A3" w:rsidRPr="007030A3">
        <w:rPr>
          <w:rFonts w:ascii="Arial" w:hAnsi="Arial"/>
        </w:rPr>
        <w:t xml:space="preserve"> SER de </w:t>
      </w:r>
      <w:proofErr w:type="spellStart"/>
      <w:r w:rsidR="007030A3" w:rsidRPr="007030A3">
        <w:rPr>
          <w:rFonts w:ascii="Arial" w:hAnsi="Arial"/>
        </w:rPr>
        <w:t>Pékin</w:t>
      </w:r>
      <w:proofErr w:type="spellEnd"/>
      <w:r w:rsidR="007030A3">
        <w:rPr>
          <w:rFonts w:ascii="Arial" w:hAnsi="Arial"/>
        </w:rPr>
        <w:t xml:space="preserve">; </w:t>
      </w:r>
      <w:proofErr w:type="spellStart"/>
      <w:r w:rsidR="007030A3" w:rsidRPr="007030A3">
        <w:rPr>
          <w:rFonts w:ascii="Arial" w:hAnsi="Arial"/>
        </w:rPr>
        <w:t>Péquignot</w:t>
      </w:r>
      <w:proofErr w:type="spellEnd"/>
      <w:r w:rsidR="007030A3">
        <w:rPr>
          <w:rFonts w:ascii="Arial" w:hAnsi="Arial"/>
        </w:rPr>
        <w:t xml:space="preserve">; </w:t>
      </w:r>
      <w:proofErr w:type="spellStart"/>
      <w:r w:rsidR="007030A3" w:rsidRPr="007030A3">
        <w:rPr>
          <w:rFonts w:ascii="Arial" w:hAnsi="Arial"/>
        </w:rPr>
        <w:t>Goutti</w:t>
      </w:r>
      <w:proofErr w:type="spellEnd"/>
      <w:r w:rsidR="00933621">
        <w:rPr>
          <w:rFonts w:ascii="Arial" w:hAnsi="Arial"/>
        </w:rPr>
        <w:t>, 20</w:t>
      </w:r>
      <w:r w:rsidR="007030A3">
        <w:rPr>
          <w:rFonts w:ascii="Arial" w:hAnsi="Arial"/>
        </w:rPr>
        <w:t>15</w:t>
      </w:r>
      <w:r w:rsidR="00933621">
        <w:rPr>
          <w:rFonts w:ascii="Arial" w:hAnsi="Arial"/>
        </w:rPr>
        <w:t>)</w:t>
      </w:r>
      <w:r w:rsidR="007030A3">
        <w:rPr>
          <w:rFonts w:ascii="Arial" w:hAnsi="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0E00" w14:textId="76FCC8D6" w:rsidR="00FF4348" w:rsidRDefault="003C72D0">
    <w:r>
      <w:rPr>
        <w:noProof/>
      </w:rPr>
      <w:drawing>
        <wp:anchor distT="114300" distB="114300" distL="114300" distR="114300" simplePos="0" relativeHeight="251658240" behindDoc="1" locked="0" layoutInCell="1" allowOverlap="1" wp14:anchorId="7F0245EA" wp14:editId="193DE812">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C265E"/>
    <w:multiLevelType w:val="multilevel"/>
    <w:tmpl w:val="5AFA8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9120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5E40"/>
    <w:rsid w:val="00015B65"/>
    <w:rsid w:val="00016DBE"/>
    <w:rsid w:val="000247AF"/>
    <w:rsid w:val="0003259D"/>
    <w:rsid w:val="00042007"/>
    <w:rsid w:val="00043D80"/>
    <w:rsid w:val="00063253"/>
    <w:rsid w:val="000744EB"/>
    <w:rsid w:val="00075154"/>
    <w:rsid w:val="000902D1"/>
    <w:rsid w:val="00092A9D"/>
    <w:rsid w:val="00094314"/>
    <w:rsid w:val="00094E0E"/>
    <w:rsid w:val="000A2AD3"/>
    <w:rsid w:val="000A7194"/>
    <w:rsid w:val="000A7995"/>
    <w:rsid w:val="000B5384"/>
    <w:rsid w:val="000C390C"/>
    <w:rsid w:val="000E22B7"/>
    <w:rsid w:val="000F0FE5"/>
    <w:rsid w:val="000F1737"/>
    <w:rsid w:val="000F6005"/>
    <w:rsid w:val="000F784E"/>
    <w:rsid w:val="00101914"/>
    <w:rsid w:val="0010381E"/>
    <w:rsid w:val="0010489D"/>
    <w:rsid w:val="00106DD3"/>
    <w:rsid w:val="00114D68"/>
    <w:rsid w:val="00115A87"/>
    <w:rsid w:val="00126577"/>
    <w:rsid w:val="00131278"/>
    <w:rsid w:val="00147040"/>
    <w:rsid w:val="00147196"/>
    <w:rsid w:val="00151563"/>
    <w:rsid w:val="00151A8D"/>
    <w:rsid w:val="00157488"/>
    <w:rsid w:val="0016062E"/>
    <w:rsid w:val="0016223C"/>
    <w:rsid w:val="001625C8"/>
    <w:rsid w:val="00167D6D"/>
    <w:rsid w:val="00177653"/>
    <w:rsid w:val="001836E6"/>
    <w:rsid w:val="001908F9"/>
    <w:rsid w:val="001A06BF"/>
    <w:rsid w:val="001C3568"/>
    <w:rsid w:val="001C3F2E"/>
    <w:rsid w:val="001C7924"/>
    <w:rsid w:val="001C7D12"/>
    <w:rsid w:val="001E091C"/>
    <w:rsid w:val="001E2860"/>
    <w:rsid w:val="001E3327"/>
    <w:rsid w:val="001E735B"/>
    <w:rsid w:val="001E76A4"/>
    <w:rsid w:val="001F1169"/>
    <w:rsid w:val="001F399D"/>
    <w:rsid w:val="002002A0"/>
    <w:rsid w:val="00204447"/>
    <w:rsid w:val="0020563D"/>
    <w:rsid w:val="0021023E"/>
    <w:rsid w:val="00212093"/>
    <w:rsid w:val="00223139"/>
    <w:rsid w:val="002366FD"/>
    <w:rsid w:val="00246203"/>
    <w:rsid w:val="00251F5F"/>
    <w:rsid w:val="00265846"/>
    <w:rsid w:val="00266CD0"/>
    <w:rsid w:val="002746B1"/>
    <w:rsid w:val="00274D4B"/>
    <w:rsid w:val="00281557"/>
    <w:rsid w:val="00285A34"/>
    <w:rsid w:val="00292980"/>
    <w:rsid w:val="002929AF"/>
    <w:rsid w:val="00293820"/>
    <w:rsid w:val="002A1F1C"/>
    <w:rsid w:val="002A4096"/>
    <w:rsid w:val="002A4534"/>
    <w:rsid w:val="002A64D1"/>
    <w:rsid w:val="002B22E3"/>
    <w:rsid w:val="002B35D5"/>
    <w:rsid w:val="002B6EBD"/>
    <w:rsid w:val="002D5795"/>
    <w:rsid w:val="002D710F"/>
    <w:rsid w:val="002D7FF7"/>
    <w:rsid w:val="002E75A1"/>
    <w:rsid w:val="002F03F5"/>
    <w:rsid w:val="002F37C3"/>
    <w:rsid w:val="00300BB5"/>
    <w:rsid w:val="003016F2"/>
    <w:rsid w:val="00302D00"/>
    <w:rsid w:val="003050E6"/>
    <w:rsid w:val="003100CD"/>
    <w:rsid w:val="00312E37"/>
    <w:rsid w:val="003137E8"/>
    <w:rsid w:val="003161A4"/>
    <w:rsid w:val="00317F1B"/>
    <w:rsid w:val="003203C3"/>
    <w:rsid w:val="00324005"/>
    <w:rsid w:val="00327D99"/>
    <w:rsid w:val="00330BC3"/>
    <w:rsid w:val="00334AF4"/>
    <w:rsid w:val="00335187"/>
    <w:rsid w:val="0033639B"/>
    <w:rsid w:val="003436F3"/>
    <w:rsid w:val="00351CE2"/>
    <w:rsid w:val="00360A13"/>
    <w:rsid w:val="003636A7"/>
    <w:rsid w:val="00374945"/>
    <w:rsid w:val="003764E9"/>
    <w:rsid w:val="00376E7E"/>
    <w:rsid w:val="003803DB"/>
    <w:rsid w:val="00381FCC"/>
    <w:rsid w:val="0038704C"/>
    <w:rsid w:val="00390795"/>
    <w:rsid w:val="00390AAB"/>
    <w:rsid w:val="003A3AD0"/>
    <w:rsid w:val="003A4936"/>
    <w:rsid w:val="003A6D69"/>
    <w:rsid w:val="003B0C17"/>
    <w:rsid w:val="003C17C7"/>
    <w:rsid w:val="003C3F07"/>
    <w:rsid w:val="003C4189"/>
    <w:rsid w:val="003C72D0"/>
    <w:rsid w:val="003D17BA"/>
    <w:rsid w:val="003D20DB"/>
    <w:rsid w:val="003D3713"/>
    <w:rsid w:val="003D5CA4"/>
    <w:rsid w:val="003E39C2"/>
    <w:rsid w:val="003E629C"/>
    <w:rsid w:val="003E7BAE"/>
    <w:rsid w:val="003F1813"/>
    <w:rsid w:val="003F49A8"/>
    <w:rsid w:val="003F54DC"/>
    <w:rsid w:val="003F7042"/>
    <w:rsid w:val="0040299A"/>
    <w:rsid w:val="00415268"/>
    <w:rsid w:val="00426059"/>
    <w:rsid w:val="00426AF8"/>
    <w:rsid w:val="0043233C"/>
    <w:rsid w:val="00432942"/>
    <w:rsid w:val="0043306B"/>
    <w:rsid w:val="00442DBF"/>
    <w:rsid w:val="00443CD3"/>
    <w:rsid w:val="00443FE8"/>
    <w:rsid w:val="00444CE1"/>
    <w:rsid w:val="0045229F"/>
    <w:rsid w:val="00457C5B"/>
    <w:rsid w:val="00470FA8"/>
    <w:rsid w:val="0047247F"/>
    <w:rsid w:val="004A333F"/>
    <w:rsid w:val="004A46CE"/>
    <w:rsid w:val="004C15EB"/>
    <w:rsid w:val="004C3B8A"/>
    <w:rsid w:val="004C4DD4"/>
    <w:rsid w:val="004D2055"/>
    <w:rsid w:val="004E3913"/>
    <w:rsid w:val="004E43FD"/>
    <w:rsid w:val="004E4DE2"/>
    <w:rsid w:val="004F1490"/>
    <w:rsid w:val="004F776F"/>
    <w:rsid w:val="005014E5"/>
    <w:rsid w:val="00504F8A"/>
    <w:rsid w:val="00513750"/>
    <w:rsid w:val="005176DD"/>
    <w:rsid w:val="00536813"/>
    <w:rsid w:val="00540757"/>
    <w:rsid w:val="00545890"/>
    <w:rsid w:val="00546BA4"/>
    <w:rsid w:val="0056603D"/>
    <w:rsid w:val="00571AA6"/>
    <w:rsid w:val="0057399D"/>
    <w:rsid w:val="00574CF8"/>
    <w:rsid w:val="005913DD"/>
    <w:rsid w:val="0059387C"/>
    <w:rsid w:val="005B32B3"/>
    <w:rsid w:val="005B5420"/>
    <w:rsid w:val="005B56B2"/>
    <w:rsid w:val="005B6841"/>
    <w:rsid w:val="005C200B"/>
    <w:rsid w:val="005C392A"/>
    <w:rsid w:val="005C4655"/>
    <w:rsid w:val="005D53DE"/>
    <w:rsid w:val="005E4041"/>
    <w:rsid w:val="005F45A0"/>
    <w:rsid w:val="00602CA6"/>
    <w:rsid w:val="00614D56"/>
    <w:rsid w:val="00622F61"/>
    <w:rsid w:val="00627673"/>
    <w:rsid w:val="0063534F"/>
    <w:rsid w:val="006362C3"/>
    <w:rsid w:val="006506A6"/>
    <w:rsid w:val="00652EC6"/>
    <w:rsid w:val="006553F1"/>
    <w:rsid w:val="00662B1E"/>
    <w:rsid w:val="006649F5"/>
    <w:rsid w:val="0066653B"/>
    <w:rsid w:val="00671BF9"/>
    <w:rsid w:val="0068050B"/>
    <w:rsid w:val="0068129E"/>
    <w:rsid w:val="00683B6F"/>
    <w:rsid w:val="00697193"/>
    <w:rsid w:val="006A2FA0"/>
    <w:rsid w:val="006A7389"/>
    <w:rsid w:val="006B4F69"/>
    <w:rsid w:val="006C4AC9"/>
    <w:rsid w:val="006D28DC"/>
    <w:rsid w:val="006D4650"/>
    <w:rsid w:val="006E043C"/>
    <w:rsid w:val="006E2F6F"/>
    <w:rsid w:val="006E4553"/>
    <w:rsid w:val="006E5159"/>
    <w:rsid w:val="006E71D9"/>
    <w:rsid w:val="006E7B28"/>
    <w:rsid w:val="006F0EA9"/>
    <w:rsid w:val="006F7CA7"/>
    <w:rsid w:val="007030A3"/>
    <w:rsid w:val="007038BF"/>
    <w:rsid w:val="007045E0"/>
    <w:rsid w:val="00711AAD"/>
    <w:rsid w:val="00711CAA"/>
    <w:rsid w:val="00713B4F"/>
    <w:rsid w:val="00721D14"/>
    <w:rsid w:val="0072218A"/>
    <w:rsid w:val="00725279"/>
    <w:rsid w:val="00725831"/>
    <w:rsid w:val="007342A0"/>
    <w:rsid w:val="007401D6"/>
    <w:rsid w:val="0074030A"/>
    <w:rsid w:val="007414CE"/>
    <w:rsid w:val="00742CCD"/>
    <w:rsid w:val="00743FF4"/>
    <w:rsid w:val="00745929"/>
    <w:rsid w:val="00747295"/>
    <w:rsid w:val="007476CA"/>
    <w:rsid w:val="0075582D"/>
    <w:rsid w:val="0076264A"/>
    <w:rsid w:val="00763990"/>
    <w:rsid w:val="0076413D"/>
    <w:rsid w:val="00765834"/>
    <w:rsid w:val="007659F6"/>
    <w:rsid w:val="00766BC9"/>
    <w:rsid w:val="00773412"/>
    <w:rsid w:val="00777B7C"/>
    <w:rsid w:val="0078335C"/>
    <w:rsid w:val="00790360"/>
    <w:rsid w:val="007A76AA"/>
    <w:rsid w:val="007B1CBF"/>
    <w:rsid w:val="007B2937"/>
    <w:rsid w:val="007B397D"/>
    <w:rsid w:val="007B4B6B"/>
    <w:rsid w:val="007C4049"/>
    <w:rsid w:val="007C6368"/>
    <w:rsid w:val="007C6AE8"/>
    <w:rsid w:val="007D20AD"/>
    <w:rsid w:val="007D245D"/>
    <w:rsid w:val="007D65B9"/>
    <w:rsid w:val="007E23F2"/>
    <w:rsid w:val="007E2620"/>
    <w:rsid w:val="007E7B6B"/>
    <w:rsid w:val="007F1465"/>
    <w:rsid w:val="007F3253"/>
    <w:rsid w:val="007F4CE3"/>
    <w:rsid w:val="007F7BBA"/>
    <w:rsid w:val="008004E3"/>
    <w:rsid w:val="00800752"/>
    <w:rsid w:val="00830EC6"/>
    <w:rsid w:val="00831338"/>
    <w:rsid w:val="008318B9"/>
    <w:rsid w:val="00832973"/>
    <w:rsid w:val="008330A4"/>
    <w:rsid w:val="008439F2"/>
    <w:rsid w:val="008528C0"/>
    <w:rsid w:val="00863255"/>
    <w:rsid w:val="008639E8"/>
    <w:rsid w:val="00863B74"/>
    <w:rsid w:val="00877047"/>
    <w:rsid w:val="0088034B"/>
    <w:rsid w:val="008809D2"/>
    <w:rsid w:val="00882B8C"/>
    <w:rsid w:val="00894FB3"/>
    <w:rsid w:val="008A022F"/>
    <w:rsid w:val="008A2C28"/>
    <w:rsid w:val="008A3297"/>
    <w:rsid w:val="008A3B32"/>
    <w:rsid w:val="008C59A0"/>
    <w:rsid w:val="008D24E2"/>
    <w:rsid w:val="008D2A33"/>
    <w:rsid w:val="008E1E92"/>
    <w:rsid w:val="008E2DEC"/>
    <w:rsid w:val="008E58C1"/>
    <w:rsid w:val="008E64B1"/>
    <w:rsid w:val="008F1905"/>
    <w:rsid w:val="008F1DDB"/>
    <w:rsid w:val="008F605A"/>
    <w:rsid w:val="00900844"/>
    <w:rsid w:val="00904D0A"/>
    <w:rsid w:val="009054E6"/>
    <w:rsid w:val="00906039"/>
    <w:rsid w:val="00907D61"/>
    <w:rsid w:val="0091240B"/>
    <w:rsid w:val="00912504"/>
    <w:rsid w:val="009176E9"/>
    <w:rsid w:val="009208C9"/>
    <w:rsid w:val="00920C5E"/>
    <w:rsid w:val="00933621"/>
    <w:rsid w:val="0095152A"/>
    <w:rsid w:val="00951CF1"/>
    <w:rsid w:val="00961CB0"/>
    <w:rsid w:val="0097061E"/>
    <w:rsid w:val="00970F59"/>
    <w:rsid w:val="00972C34"/>
    <w:rsid w:val="00974BC9"/>
    <w:rsid w:val="00975644"/>
    <w:rsid w:val="00980713"/>
    <w:rsid w:val="00983935"/>
    <w:rsid w:val="00983AFD"/>
    <w:rsid w:val="009862B7"/>
    <w:rsid w:val="00987648"/>
    <w:rsid w:val="009878D9"/>
    <w:rsid w:val="009941B8"/>
    <w:rsid w:val="00996315"/>
    <w:rsid w:val="009A1DBD"/>
    <w:rsid w:val="009A6759"/>
    <w:rsid w:val="009B053D"/>
    <w:rsid w:val="009B0F78"/>
    <w:rsid w:val="009C3E63"/>
    <w:rsid w:val="009D3311"/>
    <w:rsid w:val="009D4C80"/>
    <w:rsid w:val="009E3BCC"/>
    <w:rsid w:val="009E4B86"/>
    <w:rsid w:val="009E786E"/>
    <w:rsid w:val="009F4969"/>
    <w:rsid w:val="00A04EF8"/>
    <w:rsid w:val="00A11B41"/>
    <w:rsid w:val="00A15D0F"/>
    <w:rsid w:val="00A17C1B"/>
    <w:rsid w:val="00A253FA"/>
    <w:rsid w:val="00A26806"/>
    <w:rsid w:val="00A27022"/>
    <w:rsid w:val="00A271DC"/>
    <w:rsid w:val="00A32339"/>
    <w:rsid w:val="00A32FBE"/>
    <w:rsid w:val="00A34C86"/>
    <w:rsid w:val="00A414D4"/>
    <w:rsid w:val="00A44481"/>
    <w:rsid w:val="00A5250E"/>
    <w:rsid w:val="00A60284"/>
    <w:rsid w:val="00A6085A"/>
    <w:rsid w:val="00A62ED9"/>
    <w:rsid w:val="00A640DD"/>
    <w:rsid w:val="00A669C2"/>
    <w:rsid w:val="00A7020E"/>
    <w:rsid w:val="00A70F8C"/>
    <w:rsid w:val="00A81F50"/>
    <w:rsid w:val="00A83B34"/>
    <w:rsid w:val="00A9590E"/>
    <w:rsid w:val="00AA46B8"/>
    <w:rsid w:val="00AA4855"/>
    <w:rsid w:val="00AB47AF"/>
    <w:rsid w:val="00AC00C1"/>
    <w:rsid w:val="00AD53DF"/>
    <w:rsid w:val="00AD622A"/>
    <w:rsid w:val="00AD7D53"/>
    <w:rsid w:val="00AE3522"/>
    <w:rsid w:val="00AF197F"/>
    <w:rsid w:val="00AF30D1"/>
    <w:rsid w:val="00AF3371"/>
    <w:rsid w:val="00AF6D27"/>
    <w:rsid w:val="00AF7F76"/>
    <w:rsid w:val="00B02334"/>
    <w:rsid w:val="00B10682"/>
    <w:rsid w:val="00B119C8"/>
    <w:rsid w:val="00B11E2A"/>
    <w:rsid w:val="00B120BA"/>
    <w:rsid w:val="00B2006C"/>
    <w:rsid w:val="00B2187A"/>
    <w:rsid w:val="00B25FC0"/>
    <w:rsid w:val="00B3048F"/>
    <w:rsid w:val="00B33319"/>
    <w:rsid w:val="00B41050"/>
    <w:rsid w:val="00B43B31"/>
    <w:rsid w:val="00B46BC7"/>
    <w:rsid w:val="00B512B2"/>
    <w:rsid w:val="00B54794"/>
    <w:rsid w:val="00B54AFE"/>
    <w:rsid w:val="00B6000C"/>
    <w:rsid w:val="00B6169F"/>
    <w:rsid w:val="00B652F6"/>
    <w:rsid w:val="00B671D2"/>
    <w:rsid w:val="00B74E30"/>
    <w:rsid w:val="00B761D6"/>
    <w:rsid w:val="00B77265"/>
    <w:rsid w:val="00B80304"/>
    <w:rsid w:val="00B8392B"/>
    <w:rsid w:val="00B927F0"/>
    <w:rsid w:val="00BA07F3"/>
    <w:rsid w:val="00BA29BC"/>
    <w:rsid w:val="00BA4F6B"/>
    <w:rsid w:val="00BB06AC"/>
    <w:rsid w:val="00BB0F3F"/>
    <w:rsid w:val="00BB37B5"/>
    <w:rsid w:val="00BC0455"/>
    <w:rsid w:val="00BC3EAB"/>
    <w:rsid w:val="00BC7315"/>
    <w:rsid w:val="00BC7C70"/>
    <w:rsid w:val="00BD0ABD"/>
    <w:rsid w:val="00BD2EBE"/>
    <w:rsid w:val="00BD2F7F"/>
    <w:rsid w:val="00BD77B3"/>
    <w:rsid w:val="00BE1638"/>
    <w:rsid w:val="00BE4A4C"/>
    <w:rsid w:val="00BF22C4"/>
    <w:rsid w:val="00BF30D7"/>
    <w:rsid w:val="00C03BDC"/>
    <w:rsid w:val="00C17177"/>
    <w:rsid w:val="00C17F9B"/>
    <w:rsid w:val="00C20F62"/>
    <w:rsid w:val="00C213C1"/>
    <w:rsid w:val="00C21B13"/>
    <w:rsid w:val="00C35944"/>
    <w:rsid w:val="00C4114F"/>
    <w:rsid w:val="00C52AFA"/>
    <w:rsid w:val="00C57B83"/>
    <w:rsid w:val="00C64DD7"/>
    <w:rsid w:val="00C64F38"/>
    <w:rsid w:val="00C64FE1"/>
    <w:rsid w:val="00C65360"/>
    <w:rsid w:val="00C6741B"/>
    <w:rsid w:val="00C67CC5"/>
    <w:rsid w:val="00C701CF"/>
    <w:rsid w:val="00C71A11"/>
    <w:rsid w:val="00C7552F"/>
    <w:rsid w:val="00C85085"/>
    <w:rsid w:val="00C923FA"/>
    <w:rsid w:val="00C93E5A"/>
    <w:rsid w:val="00CA54F2"/>
    <w:rsid w:val="00CA5F58"/>
    <w:rsid w:val="00CB7DD4"/>
    <w:rsid w:val="00CC1DA4"/>
    <w:rsid w:val="00CD10EE"/>
    <w:rsid w:val="00CD3ADE"/>
    <w:rsid w:val="00CD65A0"/>
    <w:rsid w:val="00CD7BAC"/>
    <w:rsid w:val="00CE2495"/>
    <w:rsid w:val="00CE277D"/>
    <w:rsid w:val="00CF177C"/>
    <w:rsid w:val="00CF37FA"/>
    <w:rsid w:val="00D02BED"/>
    <w:rsid w:val="00D04EC3"/>
    <w:rsid w:val="00D0577E"/>
    <w:rsid w:val="00D13F17"/>
    <w:rsid w:val="00D166B9"/>
    <w:rsid w:val="00D21A88"/>
    <w:rsid w:val="00D2245D"/>
    <w:rsid w:val="00D237F5"/>
    <w:rsid w:val="00D254EF"/>
    <w:rsid w:val="00D2687D"/>
    <w:rsid w:val="00D443AF"/>
    <w:rsid w:val="00D46528"/>
    <w:rsid w:val="00D4711E"/>
    <w:rsid w:val="00D52CF9"/>
    <w:rsid w:val="00D61C21"/>
    <w:rsid w:val="00D62D9E"/>
    <w:rsid w:val="00D6549A"/>
    <w:rsid w:val="00D75249"/>
    <w:rsid w:val="00D82D82"/>
    <w:rsid w:val="00D84D95"/>
    <w:rsid w:val="00D85DB3"/>
    <w:rsid w:val="00D93443"/>
    <w:rsid w:val="00D94C65"/>
    <w:rsid w:val="00DA55B2"/>
    <w:rsid w:val="00DA5D3F"/>
    <w:rsid w:val="00DA623E"/>
    <w:rsid w:val="00DB3886"/>
    <w:rsid w:val="00DB3DAE"/>
    <w:rsid w:val="00DB53E7"/>
    <w:rsid w:val="00DC14A6"/>
    <w:rsid w:val="00DC75E8"/>
    <w:rsid w:val="00DC7CC9"/>
    <w:rsid w:val="00DE0631"/>
    <w:rsid w:val="00DE2E62"/>
    <w:rsid w:val="00DF2881"/>
    <w:rsid w:val="00DF5CD0"/>
    <w:rsid w:val="00E0051F"/>
    <w:rsid w:val="00E03A13"/>
    <w:rsid w:val="00E03D3D"/>
    <w:rsid w:val="00E07483"/>
    <w:rsid w:val="00E12828"/>
    <w:rsid w:val="00E13A99"/>
    <w:rsid w:val="00E143D1"/>
    <w:rsid w:val="00E152DF"/>
    <w:rsid w:val="00E27069"/>
    <w:rsid w:val="00E306B6"/>
    <w:rsid w:val="00E31BC8"/>
    <w:rsid w:val="00E40685"/>
    <w:rsid w:val="00E42843"/>
    <w:rsid w:val="00E42FEB"/>
    <w:rsid w:val="00E44465"/>
    <w:rsid w:val="00E54C29"/>
    <w:rsid w:val="00E5656E"/>
    <w:rsid w:val="00E56BB0"/>
    <w:rsid w:val="00E574E0"/>
    <w:rsid w:val="00E61FEA"/>
    <w:rsid w:val="00E62238"/>
    <w:rsid w:val="00E633BA"/>
    <w:rsid w:val="00E636BC"/>
    <w:rsid w:val="00E64E46"/>
    <w:rsid w:val="00E65162"/>
    <w:rsid w:val="00E73024"/>
    <w:rsid w:val="00E73B66"/>
    <w:rsid w:val="00E82700"/>
    <w:rsid w:val="00E83067"/>
    <w:rsid w:val="00E845B7"/>
    <w:rsid w:val="00E84A53"/>
    <w:rsid w:val="00E84C6E"/>
    <w:rsid w:val="00E91D23"/>
    <w:rsid w:val="00E91F77"/>
    <w:rsid w:val="00E920A9"/>
    <w:rsid w:val="00E9718B"/>
    <w:rsid w:val="00EA09D3"/>
    <w:rsid w:val="00EA204D"/>
    <w:rsid w:val="00EB39F0"/>
    <w:rsid w:val="00EB4D8C"/>
    <w:rsid w:val="00EB7433"/>
    <w:rsid w:val="00EC0DD3"/>
    <w:rsid w:val="00EC7070"/>
    <w:rsid w:val="00EC7359"/>
    <w:rsid w:val="00EC7A6C"/>
    <w:rsid w:val="00EC7C42"/>
    <w:rsid w:val="00ED13A2"/>
    <w:rsid w:val="00ED45D7"/>
    <w:rsid w:val="00ED5814"/>
    <w:rsid w:val="00EE04E9"/>
    <w:rsid w:val="00EE1F53"/>
    <w:rsid w:val="00EF3CC2"/>
    <w:rsid w:val="00F00F22"/>
    <w:rsid w:val="00F03889"/>
    <w:rsid w:val="00F03A61"/>
    <w:rsid w:val="00F07F2C"/>
    <w:rsid w:val="00F20D3D"/>
    <w:rsid w:val="00F22699"/>
    <w:rsid w:val="00F23C44"/>
    <w:rsid w:val="00F2735F"/>
    <w:rsid w:val="00F27732"/>
    <w:rsid w:val="00F320EC"/>
    <w:rsid w:val="00F331C1"/>
    <w:rsid w:val="00F3744A"/>
    <w:rsid w:val="00F419FB"/>
    <w:rsid w:val="00F44CC0"/>
    <w:rsid w:val="00F45794"/>
    <w:rsid w:val="00F46D47"/>
    <w:rsid w:val="00F529C2"/>
    <w:rsid w:val="00F53FAE"/>
    <w:rsid w:val="00F63D70"/>
    <w:rsid w:val="00F650F2"/>
    <w:rsid w:val="00F65FF0"/>
    <w:rsid w:val="00F7220E"/>
    <w:rsid w:val="00F743E9"/>
    <w:rsid w:val="00F749BB"/>
    <w:rsid w:val="00F8221B"/>
    <w:rsid w:val="00F86200"/>
    <w:rsid w:val="00F86DC0"/>
    <w:rsid w:val="00F90677"/>
    <w:rsid w:val="00F9510F"/>
    <w:rsid w:val="00F95B3A"/>
    <w:rsid w:val="00FA5EA8"/>
    <w:rsid w:val="00FB70F8"/>
    <w:rsid w:val="00FB7DAE"/>
    <w:rsid w:val="00FC0455"/>
    <w:rsid w:val="00FD22B1"/>
    <w:rsid w:val="00FE1527"/>
    <w:rsid w:val="00FE1680"/>
    <w:rsid w:val="00FE6559"/>
    <w:rsid w:val="00FE7C74"/>
    <w:rsid w:val="00FE7F52"/>
    <w:rsid w:val="00FF30B0"/>
    <w:rsid w:val="00FF4348"/>
    <w:rsid w:val="00FF69BC"/>
    <w:rsid w:val="00FF7550"/>
    <w:rsid w:val="0A11DCB0"/>
    <w:rsid w:val="0A9CBB9B"/>
    <w:rsid w:val="0C069D39"/>
    <w:rsid w:val="0CB5E36B"/>
    <w:rsid w:val="16C7BC43"/>
    <w:rsid w:val="1A2627A4"/>
    <w:rsid w:val="1F9568B9"/>
    <w:rsid w:val="2005C870"/>
    <w:rsid w:val="2A50D903"/>
    <w:rsid w:val="2C60C5B8"/>
    <w:rsid w:val="2D0D68FB"/>
    <w:rsid w:val="2DB1CFAD"/>
    <w:rsid w:val="2E52E44B"/>
    <w:rsid w:val="2FBC29E1"/>
    <w:rsid w:val="3C45B99E"/>
    <w:rsid w:val="3E75B563"/>
    <w:rsid w:val="470FE86A"/>
    <w:rsid w:val="48F7C839"/>
    <w:rsid w:val="492E7383"/>
    <w:rsid w:val="4A411C98"/>
    <w:rsid w:val="57756DA5"/>
    <w:rsid w:val="57A06C1F"/>
    <w:rsid w:val="599E246D"/>
    <w:rsid w:val="5C3037EC"/>
    <w:rsid w:val="5CF49FC7"/>
    <w:rsid w:val="5F962922"/>
    <w:rsid w:val="60BB2F43"/>
    <w:rsid w:val="64DF1C58"/>
    <w:rsid w:val="672DA005"/>
    <w:rsid w:val="69F64280"/>
    <w:rsid w:val="6DC20FBB"/>
    <w:rsid w:val="6E2AF68B"/>
    <w:rsid w:val="6FFB0EAB"/>
    <w:rsid w:val="7604091B"/>
    <w:rsid w:val="7AFFCE3F"/>
    <w:rsid w:val="7BDD1919"/>
    <w:rsid w:val="7F1BD786"/>
    <w:rsid w:val="7F57DD0F"/>
    <w:rsid w:val="7F6D0583"/>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2918C"/>
  <w15:docId w15:val="{CB7A060E-1685-44A9-9809-E1C300F8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eastAsia="pt-BR"/>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D93443"/>
    <w:rPr>
      <w:color w:val="467886"/>
      <w:u w:val="single"/>
    </w:rPr>
  </w:style>
  <w:style w:type="paragraph" w:styleId="Textodenotaderodap">
    <w:name w:val="footnote text"/>
    <w:basedOn w:val="Normal"/>
    <w:link w:val="TextodenotaderodapChar"/>
    <w:uiPriority w:val="99"/>
    <w:semiHidden/>
    <w:unhideWhenUsed/>
    <w:rsid w:val="00D93443"/>
    <w:pPr>
      <w:spacing w:line="240" w:lineRule="auto"/>
    </w:pPr>
    <w:rPr>
      <w:rFonts w:ascii="Aptos" w:eastAsia="Aptos" w:hAnsi="Aptos"/>
      <w:sz w:val="20"/>
      <w:szCs w:val="20"/>
      <w:lang w:eastAsia="en-US"/>
    </w:rPr>
  </w:style>
  <w:style w:type="character" w:customStyle="1" w:styleId="TextodenotaderodapChar">
    <w:name w:val="Texto de nota de rodapé Char"/>
    <w:link w:val="Textodenotaderodap"/>
    <w:uiPriority w:val="99"/>
    <w:semiHidden/>
    <w:rsid w:val="00D93443"/>
    <w:rPr>
      <w:rFonts w:ascii="Aptos" w:eastAsia="Aptos" w:hAnsi="Aptos"/>
      <w:lang w:eastAsia="en-US"/>
    </w:rPr>
  </w:style>
  <w:style w:type="character" w:styleId="Refdenotaderodap">
    <w:name w:val="footnote reference"/>
    <w:uiPriority w:val="99"/>
    <w:semiHidden/>
    <w:unhideWhenUsed/>
    <w:rsid w:val="00D93443"/>
    <w:rPr>
      <w:vertAlign w:val="superscript"/>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lang w:eastAsia="pt-BR"/>
    </w:rPr>
  </w:style>
  <w:style w:type="character" w:styleId="Refdecomentrio">
    <w:name w:val="annotation reference"/>
    <w:basedOn w:val="Fontepargpadro"/>
    <w:uiPriority w:val="99"/>
    <w:semiHidden/>
    <w:unhideWhenUsed/>
    <w:rPr>
      <w:sz w:val="16"/>
      <w:szCs w:val="16"/>
    </w:rPr>
  </w:style>
  <w:style w:type="table" w:customStyle="1" w:styleId="TableNormal1">
    <w:name w:val="Table Normal1"/>
    <w:rsid w:val="00D21A88"/>
    <w:pPr>
      <w:spacing w:line="276" w:lineRule="auto"/>
    </w:pPr>
    <w:rPr>
      <w:sz w:val="22"/>
      <w:szCs w:val="22"/>
      <w:lang w:eastAsia="pt-BR"/>
    </w:rPr>
    <w:tblPr>
      <w:tblCellMar>
        <w:top w:w="0" w:type="dxa"/>
        <w:left w:w="0" w:type="dxa"/>
        <w:bottom w:w="0" w:type="dxa"/>
        <w:right w:w="0" w:type="dxa"/>
      </w:tblCellMar>
    </w:tbl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oPendente">
    <w:name w:val="Unresolved Mention"/>
    <w:basedOn w:val="Fontepargpadro"/>
    <w:uiPriority w:val="99"/>
    <w:semiHidden/>
    <w:unhideWhenUsed/>
    <w:rsid w:val="00016DBE"/>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697193"/>
    <w:rPr>
      <w:b/>
      <w:bCs/>
    </w:rPr>
  </w:style>
  <w:style w:type="character" w:customStyle="1" w:styleId="AssuntodocomentrioChar">
    <w:name w:val="Assunto do comentário Char"/>
    <w:basedOn w:val="TextodecomentrioChar"/>
    <w:link w:val="Assuntodocomentrio"/>
    <w:uiPriority w:val="99"/>
    <w:semiHidden/>
    <w:rsid w:val="00697193"/>
    <w:rPr>
      <w:b/>
      <w:bCs/>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8414">
      <w:bodyDiv w:val="1"/>
      <w:marLeft w:val="0"/>
      <w:marRight w:val="0"/>
      <w:marTop w:val="0"/>
      <w:marBottom w:val="0"/>
      <w:divBdr>
        <w:top w:val="none" w:sz="0" w:space="0" w:color="auto"/>
        <w:left w:val="none" w:sz="0" w:space="0" w:color="auto"/>
        <w:bottom w:val="none" w:sz="0" w:space="0" w:color="auto"/>
        <w:right w:val="none" w:sz="0" w:space="0" w:color="auto"/>
      </w:divBdr>
    </w:div>
    <w:div w:id="98527210">
      <w:bodyDiv w:val="1"/>
      <w:marLeft w:val="0"/>
      <w:marRight w:val="0"/>
      <w:marTop w:val="0"/>
      <w:marBottom w:val="0"/>
      <w:divBdr>
        <w:top w:val="none" w:sz="0" w:space="0" w:color="auto"/>
        <w:left w:val="none" w:sz="0" w:space="0" w:color="auto"/>
        <w:bottom w:val="none" w:sz="0" w:space="0" w:color="auto"/>
        <w:right w:val="none" w:sz="0" w:space="0" w:color="auto"/>
      </w:divBdr>
    </w:div>
    <w:div w:id="160312263">
      <w:bodyDiv w:val="1"/>
      <w:marLeft w:val="0"/>
      <w:marRight w:val="0"/>
      <w:marTop w:val="0"/>
      <w:marBottom w:val="0"/>
      <w:divBdr>
        <w:top w:val="none" w:sz="0" w:space="0" w:color="auto"/>
        <w:left w:val="none" w:sz="0" w:space="0" w:color="auto"/>
        <w:bottom w:val="none" w:sz="0" w:space="0" w:color="auto"/>
        <w:right w:val="none" w:sz="0" w:space="0" w:color="auto"/>
      </w:divBdr>
    </w:div>
    <w:div w:id="246353007">
      <w:bodyDiv w:val="1"/>
      <w:marLeft w:val="0"/>
      <w:marRight w:val="0"/>
      <w:marTop w:val="0"/>
      <w:marBottom w:val="0"/>
      <w:divBdr>
        <w:top w:val="none" w:sz="0" w:space="0" w:color="auto"/>
        <w:left w:val="none" w:sz="0" w:space="0" w:color="auto"/>
        <w:bottom w:val="none" w:sz="0" w:space="0" w:color="auto"/>
        <w:right w:val="none" w:sz="0" w:space="0" w:color="auto"/>
      </w:divBdr>
    </w:div>
    <w:div w:id="443036663">
      <w:bodyDiv w:val="1"/>
      <w:marLeft w:val="0"/>
      <w:marRight w:val="0"/>
      <w:marTop w:val="0"/>
      <w:marBottom w:val="0"/>
      <w:divBdr>
        <w:top w:val="none" w:sz="0" w:space="0" w:color="auto"/>
        <w:left w:val="none" w:sz="0" w:space="0" w:color="auto"/>
        <w:bottom w:val="none" w:sz="0" w:space="0" w:color="auto"/>
        <w:right w:val="none" w:sz="0" w:space="0" w:color="auto"/>
      </w:divBdr>
    </w:div>
    <w:div w:id="487671297">
      <w:bodyDiv w:val="1"/>
      <w:marLeft w:val="0"/>
      <w:marRight w:val="0"/>
      <w:marTop w:val="0"/>
      <w:marBottom w:val="0"/>
      <w:divBdr>
        <w:top w:val="none" w:sz="0" w:space="0" w:color="auto"/>
        <w:left w:val="none" w:sz="0" w:space="0" w:color="auto"/>
        <w:bottom w:val="none" w:sz="0" w:space="0" w:color="auto"/>
        <w:right w:val="none" w:sz="0" w:space="0" w:color="auto"/>
      </w:divBdr>
    </w:div>
    <w:div w:id="634527611">
      <w:bodyDiv w:val="1"/>
      <w:marLeft w:val="0"/>
      <w:marRight w:val="0"/>
      <w:marTop w:val="0"/>
      <w:marBottom w:val="0"/>
      <w:divBdr>
        <w:top w:val="none" w:sz="0" w:space="0" w:color="auto"/>
        <w:left w:val="none" w:sz="0" w:space="0" w:color="auto"/>
        <w:bottom w:val="none" w:sz="0" w:space="0" w:color="auto"/>
        <w:right w:val="none" w:sz="0" w:space="0" w:color="auto"/>
      </w:divBdr>
    </w:div>
    <w:div w:id="664087327">
      <w:bodyDiv w:val="1"/>
      <w:marLeft w:val="0"/>
      <w:marRight w:val="0"/>
      <w:marTop w:val="0"/>
      <w:marBottom w:val="0"/>
      <w:divBdr>
        <w:top w:val="none" w:sz="0" w:space="0" w:color="auto"/>
        <w:left w:val="none" w:sz="0" w:space="0" w:color="auto"/>
        <w:bottom w:val="none" w:sz="0" w:space="0" w:color="auto"/>
        <w:right w:val="none" w:sz="0" w:space="0" w:color="auto"/>
      </w:divBdr>
    </w:div>
    <w:div w:id="667175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7706">
          <w:marLeft w:val="0"/>
          <w:marRight w:val="0"/>
          <w:marTop w:val="0"/>
          <w:marBottom w:val="0"/>
          <w:divBdr>
            <w:top w:val="none" w:sz="0" w:space="0" w:color="auto"/>
            <w:left w:val="none" w:sz="0" w:space="0" w:color="auto"/>
            <w:bottom w:val="none" w:sz="0" w:space="0" w:color="auto"/>
            <w:right w:val="none" w:sz="0" w:space="0" w:color="auto"/>
          </w:divBdr>
          <w:divsChild>
            <w:div w:id="6808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8486">
      <w:bodyDiv w:val="1"/>
      <w:marLeft w:val="0"/>
      <w:marRight w:val="0"/>
      <w:marTop w:val="0"/>
      <w:marBottom w:val="0"/>
      <w:divBdr>
        <w:top w:val="none" w:sz="0" w:space="0" w:color="auto"/>
        <w:left w:val="none" w:sz="0" w:space="0" w:color="auto"/>
        <w:bottom w:val="none" w:sz="0" w:space="0" w:color="auto"/>
        <w:right w:val="none" w:sz="0" w:space="0" w:color="auto"/>
      </w:divBdr>
    </w:div>
    <w:div w:id="763691802">
      <w:bodyDiv w:val="1"/>
      <w:marLeft w:val="0"/>
      <w:marRight w:val="0"/>
      <w:marTop w:val="0"/>
      <w:marBottom w:val="0"/>
      <w:divBdr>
        <w:top w:val="none" w:sz="0" w:space="0" w:color="auto"/>
        <w:left w:val="none" w:sz="0" w:space="0" w:color="auto"/>
        <w:bottom w:val="none" w:sz="0" w:space="0" w:color="auto"/>
        <w:right w:val="none" w:sz="0" w:space="0" w:color="auto"/>
      </w:divBdr>
    </w:div>
    <w:div w:id="820081161">
      <w:bodyDiv w:val="1"/>
      <w:marLeft w:val="0"/>
      <w:marRight w:val="0"/>
      <w:marTop w:val="0"/>
      <w:marBottom w:val="0"/>
      <w:divBdr>
        <w:top w:val="none" w:sz="0" w:space="0" w:color="auto"/>
        <w:left w:val="none" w:sz="0" w:space="0" w:color="auto"/>
        <w:bottom w:val="none" w:sz="0" w:space="0" w:color="auto"/>
        <w:right w:val="none" w:sz="0" w:space="0" w:color="auto"/>
      </w:divBdr>
    </w:div>
    <w:div w:id="908150251">
      <w:bodyDiv w:val="1"/>
      <w:marLeft w:val="0"/>
      <w:marRight w:val="0"/>
      <w:marTop w:val="0"/>
      <w:marBottom w:val="0"/>
      <w:divBdr>
        <w:top w:val="none" w:sz="0" w:space="0" w:color="auto"/>
        <w:left w:val="none" w:sz="0" w:space="0" w:color="auto"/>
        <w:bottom w:val="none" w:sz="0" w:space="0" w:color="auto"/>
        <w:right w:val="none" w:sz="0" w:space="0" w:color="auto"/>
      </w:divBdr>
      <w:divsChild>
        <w:div w:id="891186902">
          <w:marLeft w:val="0"/>
          <w:marRight w:val="0"/>
          <w:marTop w:val="0"/>
          <w:marBottom w:val="0"/>
          <w:divBdr>
            <w:top w:val="none" w:sz="0" w:space="0" w:color="auto"/>
            <w:left w:val="none" w:sz="0" w:space="0" w:color="auto"/>
            <w:bottom w:val="none" w:sz="0" w:space="0" w:color="auto"/>
            <w:right w:val="none" w:sz="0" w:space="0" w:color="auto"/>
          </w:divBdr>
          <w:divsChild>
            <w:div w:id="9839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538">
      <w:bodyDiv w:val="1"/>
      <w:marLeft w:val="0"/>
      <w:marRight w:val="0"/>
      <w:marTop w:val="0"/>
      <w:marBottom w:val="0"/>
      <w:divBdr>
        <w:top w:val="none" w:sz="0" w:space="0" w:color="auto"/>
        <w:left w:val="none" w:sz="0" w:space="0" w:color="auto"/>
        <w:bottom w:val="none" w:sz="0" w:space="0" w:color="auto"/>
        <w:right w:val="none" w:sz="0" w:space="0" w:color="auto"/>
      </w:divBdr>
    </w:div>
    <w:div w:id="1123110315">
      <w:bodyDiv w:val="1"/>
      <w:marLeft w:val="0"/>
      <w:marRight w:val="0"/>
      <w:marTop w:val="0"/>
      <w:marBottom w:val="0"/>
      <w:divBdr>
        <w:top w:val="none" w:sz="0" w:space="0" w:color="auto"/>
        <w:left w:val="none" w:sz="0" w:space="0" w:color="auto"/>
        <w:bottom w:val="none" w:sz="0" w:space="0" w:color="auto"/>
        <w:right w:val="none" w:sz="0" w:space="0" w:color="auto"/>
      </w:divBdr>
    </w:div>
    <w:div w:id="1156343587">
      <w:bodyDiv w:val="1"/>
      <w:marLeft w:val="0"/>
      <w:marRight w:val="0"/>
      <w:marTop w:val="0"/>
      <w:marBottom w:val="0"/>
      <w:divBdr>
        <w:top w:val="none" w:sz="0" w:space="0" w:color="auto"/>
        <w:left w:val="none" w:sz="0" w:space="0" w:color="auto"/>
        <w:bottom w:val="none" w:sz="0" w:space="0" w:color="auto"/>
        <w:right w:val="none" w:sz="0" w:space="0" w:color="auto"/>
      </w:divBdr>
    </w:div>
    <w:div w:id="1176336112">
      <w:bodyDiv w:val="1"/>
      <w:marLeft w:val="0"/>
      <w:marRight w:val="0"/>
      <w:marTop w:val="0"/>
      <w:marBottom w:val="0"/>
      <w:divBdr>
        <w:top w:val="none" w:sz="0" w:space="0" w:color="auto"/>
        <w:left w:val="none" w:sz="0" w:space="0" w:color="auto"/>
        <w:bottom w:val="none" w:sz="0" w:space="0" w:color="auto"/>
        <w:right w:val="none" w:sz="0" w:space="0" w:color="auto"/>
      </w:divBdr>
    </w:div>
    <w:div w:id="1287346226">
      <w:bodyDiv w:val="1"/>
      <w:marLeft w:val="0"/>
      <w:marRight w:val="0"/>
      <w:marTop w:val="0"/>
      <w:marBottom w:val="0"/>
      <w:divBdr>
        <w:top w:val="none" w:sz="0" w:space="0" w:color="auto"/>
        <w:left w:val="none" w:sz="0" w:space="0" w:color="auto"/>
        <w:bottom w:val="none" w:sz="0" w:space="0" w:color="auto"/>
        <w:right w:val="none" w:sz="0" w:space="0" w:color="auto"/>
      </w:divBdr>
    </w:div>
    <w:div w:id="1307130822">
      <w:bodyDiv w:val="1"/>
      <w:marLeft w:val="0"/>
      <w:marRight w:val="0"/>
      <w:marTop w:val="0"/>
      <w:marBottom w:val="0"/>
      <w:divBdr>
        <w:top w:val="none" w:sz="0" w:space="0" w:color="auto"/>
        <w:left w:val="none" w:sz="0" w:space="0" w:color="auto"/>
        <w:bottom w:val="none" w:sz="0" w:space="0" w:color="auto"/>
        <w:right w:val="none" w:sz="0" w:space="0" w:color="auto"/>
      </w:divBdr>
    </w:div>
    <w:div w:id="1339650340">
      <w:bodyDiv w:val="1"/>
      <w:marLeft w:val="0"/>
      <w:marRight w:val="0"/>
      <w:marTop w:val="0"/>
      <w:marBottom w:val="0"/>
      <w:divBdr>
        <w:top w:val="none" w:sz="0" w:space="0" w:color="auto"/>
        <w:left w:val="none" w:sz="0" w:space="0" w:color="auto"/>
        <w:bottom w:val="none" w:sz="0" w:space="0" w:color="auto"/>
        <w:right w:val="none" w:sz="0" w:space="0" w:color="auto"/>
      </w:divBdr>
    </w:div>
    <w:div w:id="1394356259">
      <w:bodyDiv w:val="1"/>
      <w:marLeft w:val="0"/>
      <w:marRight w:val="0"/>
      <w:marTop w:val="0"/>
      <w:marBottom w:val="0"/>
      <w:divBdr>
        <w:top w:val="none" w:sz="0" w:space="0" w:color="auto"/>
        <w:left w:val="none" w:sz="0" w:space="0" w:color="auto"/>
        <w:bottom w:val="none" w:sz="0" w:space="0" w:color="auto"/>
        <w:right w:val="none" w:sz="0" w:space="0" w:color="auto"/>
      </w:divBdr>
    </w:div>
    <w:div w:id="1425876764">
      <w:bodyDiv w:val="1"/>
      <w:marLeft w:val="0"/>
      <w:marRight w:val="0"/>
      <w:marTop w:val="0"/>
      <w:marBottom w:val="0"/>
      <w:divBdr>
        <w:top w:val="none" w:sz="0" w:space="0" w:color="auto"/>
        <w:left w:val="none" w:sz="0" w:space="0" w:color="auto"/>
        <w:bottom w:val="none" w:sz="0" w:space="0" w:color="auto"/>
        <w:right w:val="none" w:sz="0" w:space="0" w:color="auto"/>
      </w:divBdr>
    </w:div>
    <w:div w:id="1554078808">
      <w:bodyDiv w:val="1"/>
      <w:marLeft w:val="0"/>
      <w:marRight w:val="0"/>
      <w:marTop w:val="0"/>
      <w:marBottom w:val="0"/>
      <w:divBdr>
        <w:top w:val="none" w:sz="0" w:space="0" w:color="auto"/>
        <w:left w:val="none" w:sz="0" w:space="0" w:color="auto"/>
        <w:bottom w:val="none" w:sz="0" w:space="0" w:color="auto"/>
        <w:right w:val="none" w:sz="0" w:space="0" w:color="auto"/>
      </w:divBdr>
    </w:div>
    <w:div w:id="1681392506">
      <w:bodyDiv w:val="1"/>
      <w:marLeft w:val="0"/>
      <w:marRight w:val="0"/>
      <w:marTop w:val="0"/>
      <w:marBottom w:val="0"/>
      <w:divBdr>
        <w:top w:val="none" w:sz="0" w:space="0" w:color="auto"/>
        <w:left w:val="none" w:sz="0" w:space="0" w:color="auto"/>
        <w:bottom w:val="none" w:sz="0" w:space="0" w:color="auto"/>
        <w:right w:val="none" w:sz="0" w:space="0" w:color="auto"/>
      </w:divBdr>
    </w:div>
    <w:div w:id="1688601290">
      <w:bodyDiv w:val="1"/>
      <w:marLeft w:val="0"/>
      <w:marRight w:val="0"/>
      <w:marTop w:val="0"/>
      <w:marBottom w:val="0"/>
      <w:divBdr>
        <w:top w:val="none" w:sz="0" w:space="0" w:color="auto"/>
        <w:left w:val="none" w:sz="0" w:space="0" w:color="auto"/>
        <w:bottom w:val="none" w:sz="0" w:space="0" w:color="auto"/>
        <w:right w:val="none" w:sz="0" w:space="0" w:color="auto"/>
      </w:divBdr>
    </w:div>
    <w:div w:id="1733431569">
      <w:bodyDiv w:val="1"/>
      <w:marLeft w:val="0"/>
      <w:marRight w:val="0"/>
      <w:marTop w:val="0"/>
      <w:marBottom w:val="0"/>
      <w:divBdr>
        <w:top w:val="none" w:sz="0" w:space="0" w:color="auto"/>
        <w:left w:val="none" w:sz="0" w:space="0" w:color="auto"/>
        <w:bottom w:val="none" w:sz="0" w:space="0" w:color="auto"/>
        <w:right w:val="none" w:sz="0" w:space="0" w:color="auto"/>
      </w:divBdr>
    </w:div>
    <w:div w:id="1759593951">
      <w:bodyDiv w:val="1"/>
      <w:marLeft w:val="0"/>
      <w:marRight w:val="0"/>
      <w:marTop w:val="0"/>
      <w:marBottom w:val="0"/>
      <w:divBdr>
        <w:top w:val="none" w:sz="0" w:space="0" w:color="auto"/>
        <w:left w:val="none" w:sz="0" w:space="0" w:color="auto"/>
        <w:bottom w:val="none" w:sz="0" w:space="0" w:color="auto"/>
        <w:right w:val="none" w:sz="0" w:space="0" w:color="auto"/>
      </w:divBdr>
    </w:div>
    <w:div w:id="1862205631">
      <w:bodyDiv w:val="1"/>
      <w:marLeft w:val="0"/>
      <w:marRight w:val="0"/>
      <w:marTop w:val="0"/>
      <w:marBottom w:val="0"/>
      <w:divBdr>
        <w:top w:val="none" w:sz="0" w:space="0" w:color="auto"/>
        <w:left w:val="none" w:sz="0" w:space="0" w:color="auto"/>
        <w:bottom w:val="none" w:sz="0" w:space="0" w:color="auto"/>
        <w:right w:val="none" w:sz="0" w:space="0" w:color="auto"/>
      </w:divBdr>
    </w:div>
    <w:div w:id="1933315112">
      <w:bodyDiv w:val="1"/>
      <w:marLeft w:val="0"/>
      <w:marRight w:val="0"/>
      <w:marTop w:val="0"/>
      <w:marBottom w:val="0"/>
      <w:divBdr>
        <w:top w:val="none" w:sz="0" w:space="0" w:color="auto"/>
        <w:left w:val="none" w:sz="0" w:space="0" w:color="auto"/>
        <w:bottom w:val="none" w:sz="0" w:space="0" w:color="auto"/>
        <w:right w:val="none" w:sz="0" w:space="0" w:color="auto"/>
      </w:divBdr>
    </w:div>
    <w:div w:id="1960867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esor.economie.gouv.fr/Articles/2015/06/05/le-plan-made-in-china-2025" TargetMode="External"/><Relationship Id="rId18" Type="http://schemas.openxmlformats.org/officeDocument/2006/relationships/hyperlink" Target="https://www.stats.gov.cn/english/PressRelease/202505/t20250526_1959952.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ea.org/commentaries/suvs-are-setting-new-sales-records-each-year-and-so-are-their-emissions" TargetMode="External"/><Relationship Id="rId17" Type="http://schemas.openxmlformats.org/officeDocument/2006/relationships/hyperlink" Target="https://www.carbonbrief.org/analysis-clean-energy-contributed-a-record-10-of-chinas-gdp-in-2024" TargetMode="External"/><Relationship Id="rId2" Type="http://schemas.openxmlformats.org/officeDocument/2006/relationships/numbering" Target="numbering.xml"/><Relationship Id="rId16" Type="http://schemas.openxmlformats.org/officeDocument/2006/relationships/hyperlink" Target="https://commission.europa.eu/system/files/2019-03/communication-eu-china-a-strategic-outlook.pdf" TargetMode="External"/><Relationship Id="rId20" Type="http://schemas.openxmlformats.org/officeDocument/2006/relationships/hyperlink" Target="https://english.www.gov.cn/archive/statistics/202505/30/content_WS68398ba2c6d0868f4e8f2fd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nbrasil.com.br/economia/negocios/ford-tem-tombo-no-lucro-e-suspende-projecao-por-efeito-potencial-de-us-15-bi-com-tarif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stadao.com.br/economia/volvo-anuncia-reestruturacao-global-que-envolve-demissao-de-3-mil-empregados-para-reduzir-custos-nprei/" TargetMode="External"/><Relationship Id="rId23" Type="http://schemas.openxmlformats.org/officeDocument/2006/relationships/fontTable" Target="fontTable.xml"/><Relationship Id="rId10" Type="http://schemas.openxmlformats.org/officeDocument/2006/relationships/hyperlink" Target="https://www.iea.org/countries/china/emissions" TargetMode="External"/><Relationship Id="rId19" Type="http://schemas.openxmlformats.org/officeDocument/2006/relationships/hyperlink" Target="https://doi.org/10.1787/092e5f31-fr" TargetMode="External"/><Relationship Id="rId4" Type="http://schemas.openxmlformats.org/officeDocument/2006/relationships/settings" Target="settings.xml"/><Relationship Id="rId9" Type="http://schemas.openxmlformats.org/officeDocument/2006/relationships/hyperlink" Target="https://insideevs.uol.com.br/news/756263/china-eua-guerra-carros-eletricos/" TargetMode="External"/><Relationship Id="rId14" Type="http://schemas.openxmlformats.org/officeDocument/2006/relationships/hyperlink" Target="https://www.dw.com/pt-br/lucro-l%C3%ADquido-da-volkswagen-caiu-mais-de-30-em-2024/a-71888237"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DC6A7-D754-44EC-A59E-80C50CCD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3884</Words>
  <Characters>20978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24813</CharactersWithSpaces>
  <SharedDoc>false</SharedDoc>
  <HLinks>
    <vt:vector size="60" baseType="variant">
      <vt:variant>
        <vt:i4>5373995</vt:i4>
      </vt:variant>
      <vt:variant>
        <vt:i4>12</vt:i4>
      </vt:variant>
      <vt:variant>
        <vt:i4>0</vt:i4>
      </vt:variant>
      <vt:variant>
        <vt:i4>5</vt:i4>
      </vt:variant>
      <vt:variant>
        <vt:lpwstr>https://english.www.gov.cn/archive/statistics/202505/30/content_WS68398ba2c6d0868f4e8f2fd5.html</vt:lpwstr>
      </vt:variant>
      <vt:variant>
        <vt:lpwstr/>
      </vt:variant>
      <vt:variant>
        <vt:i4>3670036</vt:i4>
      </vt:variant>
      <vt:variant>
        <vt:i4>9</vt:i4>
      </vt:variant>
      <vt:variant>
        <vt:i4>0</vt:i4>
      </vt:variant>
      <vt:variant>
        <vt:i4>5</vt:i4>
      </vt:variant>
      <vt:variant>
        <vt:lpwstr>https://www.stats.gov.cn/english/PressRelease/202505/t20250526_1959952.html</vt:lpwstr>
      </vt:variant>
      <vt:variant>
        <vt:lpwstr/>
      </vt:variant>
      <vt:variant>
        <vt:i4>7733363</vt:i4>
      </vt:variant>
      <vt:variant>
        <vt:i4>6</vt:i4>
      </vt:variant>
      <vt:variant>
        <vt:i4>0</vt:i4>
      </vt:variant>
      <vt:variant>
        <vt:i4>5</vt:i4>
      </vt:variant>
      <vt:variant>
        <vt:lpwstr>https://doi.org/10.1787/092e5f31-fr</vt:lpwstr>
      </vt:variant>
      <vt:variant>
        <vt:lpwstr/>
      </vt:variant>
      <vt:variant>
        <vt:i4>1703954</vt:i4>
      </vt:variant>
      <vt:variant>
        <vt:i4>3</vt:i4>
      </vt:variant>
      <vt:variant>
        <vt:i4>0</vt:i4>
      </vt:variant>
      <vt:variant>
        <vt:i4>5</vt:i4>
      </vt:variant>
      <vt:variant>
        <vt:lpwstr>https://commission.europa.eu/system/files/2019-03/communication-eu-china-a-strategic-outlook.pdf</vt:lpwstr>
      </vt:variant>
      <vt:variant>
        <vt:lpwstr/>
      </vt:variant>
      <vt:variant>
        <vt:i4>8323114</vt:i4>
      </vt:variant>
      <vt:variant>
        <vt:i4>0</vt:i4>
      </vt:variant>
      <vt:variant>
        <vt:i4>0</vt:i4>
      </vt:variant>
      <vt:variant>
        <vt:i4>5</vt:i4>
      </vt:variant>
      <vt:variant>
        <vt:lpwstr>https://www.tresor.economie.gouv.fr/Articles/2015/06/05/le-plan-made-in-china-2025</vt:lpwstr>
      </vt:variant>
      <vt:variant>
        <vt:lpwstr/>
      </vt:variant>
      <vt:variant>
        <vt:i4>8257586</vt:i4>
      </vt:variant>
      <vt:variant>
        <vt:i4>12</vt:i4>
      </vt:variant>
      <vt:variant>
        <vt:i4>0</vt:i4>
      </vt:variant>
      <vt:variant>
        <vt:i4>5</vt:i4>
      </vt:variant>
      <vt:variant>
        <vt:lpwstr>https://www.estadao.com.br/economia/volvo-anuncia-reestruturacao-global-que-envolve-demissao-de-3-mil-empregados-para-reduzir-custos-nprei/</vt:lpwstr>
      </vt:variant>
      <vt:variant>
        <vt:lpwstr/>
      </vt:variant>
      <vt:variant>
        <vt:i4>7536700</vt:i4>
      </vt:variant>
      <vt:variant>
        <vt:i4>9</vt:i4>
      </vt:variant>
      <vt:variant>
        <vt:i4>0</vt:i4>
      </vt:variant>
      <vt:variant>
        <vt:i4>5</vt:i4>
      </vt:variant>
      <vt:variant>
        <vt:lpwstr>https://www.cnnbrasil.com.br/economia/negocios/ford-tem-tombo-no-lucro-e-suspende-projecao-por-efeito-potencial-de-us-15-bi-com-tarifa/</vt:lpwstr>
      </vt:variant>
      <vt:variant>
        <vt:lpwstr/>
      </vt:variant>
      <vt:variant>
        <vt:i4>524303</vt:i4>
      </vt:variant>
      <vt:variant>
        <vt:i4>6</vt:i4>
      </vt:variant>
      <vt:variant>
        <vt:i4>0</vt:i4>
      </vt:variant>
      <vt:variant>
        <vt:i4>5</vt:i4>
      </vt:variant>
      <vt:variant>
        <vt:lpwstr>https://www.dw.com/pt-br/lucro-l%C3%ADquido-da-volkswagen-caiu-mais-de-30-em-2024/a-71888237</vt:lpwstr>
      </vt:variant>
      <vt:variant>
        <vt:lpwstr/>
      </vt:variant>
      <vt:variant>
        <vt:i4>4980783</vt:i4>
      </vt:variant>
      <vt:variant>
        <vt:i4>3</vt:i4>
      </vt:variant>
      <vt:variant>
        <vt:i4>0</vt:i4>
      </vt:variant>
      <vt:variant>
        <vt:i4>5</vt:i4>
      </vt:variant>
      <vt:variant>
        <vt:lpwstr>https://www.cnnbrasil.com.br/economia/macroeconomia/carros-eletricos-china-solicita-painel-na-omc-para-disputar-taxas-da-ue/</vt:lpwstr>
      </vt:variant>
      <vt:variant>
        <vt:lpwstr>goog_rewarded</vt:lpwstr>
      </vt:variant>
      <vt:variant>
        <vt:i4>6422635</vt:i4>
      </vt:variant>
      <vt:variant>
        <vt:i4>0</vt:i4>
      </vt:variant>
      <vt:variant>
        <vt:i4>0</vt:i4>
      </vt:variant>
      <vt:variant>
        <vt:i4>5</vt:i4>
      </vt:variant>
      <vt:variant>
        <vt:lpwstr>https://www.dw.com/pt-br/ue-aprova-imposi%C3%A7%C3%A3o-de-novas-tarifas-sobre-carros-el%C3%A9tricos-chineses/a-70408407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Fernanda Alves Rodrigues da Silva</cp:lastModifiedBy>
  <cp:revision>2</cp:revision>
  <cp:lastPrinted>2025-07-05T18:52:00Z</cp:lastPrinted>
  <dcterms:created xsi:type="dcterms:W3CDTF">2025-07-06T13:07:00Z</dcterms:created>
  <dcterms:modified xsi:type="dcterms:W3CDTF">2025-07-06T13:07:00Z</dcterms:modified>
</cp:coreProperties>
</file>