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43A1F1" w14:textId="77777777" w:rsidR="005D6C56" w:rsidRDefault="00B218FB">
      <w:pPr>
        <w:spacing w:line="360" w:lineRule="auto"/>
        <w:jc w:val="center"/>
        <w:rPr>
          <w:sz w:val="24"/>
          <w:szCs w:val="24"/>
        </w:rPr>
      </w:pPr>
      <w:r>
        <w:rPr>
          <w:b/>
        </w:rPr>
        <w:t>O USO DO RECONHECIMENTO FACIAL COMO ESTRATÉGIA DE CONTROLE E PUNIÇÃO SELETIVA</w:t>
      </w:r>
    </w:p>
    <w:p w14:paraId="486002B3" w14:textId="77777777" w:rsidR="00B26301" w:rsidRDefault="00B26301" w:rsidP="00B26301">
      <w:pPr>
        <w:spacing w:line="240" w:lineRule="auto"/>
        <w:ind w:left="2835"/>
        <w:jc w:val="right"/>
        <w:rPr>
          <w:sz w:val="20"/>
          <w:szCs w:val="20"/>
        </w:rPr>
      </w:pPr>
    </w:p>
    <w:p w14:paraId="62A89CD9" w14:textId="4EB9C8FA" w:rsidR="005D6C56" w:rsidRDefault="00A330DB" w:rsidP="00B26301">
      <w:pPr>
        <w:spacing w:line="240" w:lineRule="auto"/>
        <w:ind w:left="2835"/>
        <w:jc w:val="right"/>
        <w:rPr>
          <w:sz w:val="20"/>
          <w:szCs w:val="20"/>
        </w:rPr>
      </w:pPr>
      <w:r>
        <w:rPr>
          <w:sz w:val="20"/>
          <w:szCs w:val="20"/>
        </w:rPr>
        <w:t>Alejandra Pastorini</w:t>
      </w:r>
      <w:r w:rsidR="008C3E3E">
        <w:rPr>
          <w:rStyle w:val="Refdenotaderodap"/>
          <w:sz w:val="20"/>
          <w:szCs w:val="20"/>
        </w:rPr>
        <w:footnoteReference w:id="1"/>
      </w:r>
    </w:p>
    <w:p w14:paraId="7508A564" w14:textId="2F8BC037" w:rsidR="008C3E3E" w:rsidRDefault="008C3E3E" w:rsidP="00B26301">
      <w:pPr>
        <w:spacing w:line="240" w:lineRule="auto"/>
        <w:ind w:left="2835"/>
        <w:jc w:val="right"/>
        <w:rPr>
          <w:sz w:val="20"/>
          <w:szCs w:val="20"/>
        </w:rPr>
      </w:pPr>
      <w:r>
        <w:rPr>
          <w:sz w:val="20"/>
          <w:szCs w:val="20"/>
        </w:rPr>
        <w:t>Gabriele Gomes Faria</w:t>
      </w:r>
      <w:r>
        <w:rPr>
          <w:rStyle w:val="Refdenotaderodap"/>
          <w:sz w:val="20"/>
          <w:szCs w:val="20"/>
        </w:rPr>
        <w:footnoteReference w:id="2"/>
      </w:r>
    </w:p>
    <w:p w14:paraId="236FB8E1" w14:textId="34B75CD9" w:rsidR="008C3E3E" w:rsidRDefault="008C3E3E" w:rsidP="00B26301">
      <w:pPr>
        <w:spacing w:line="240" w:lineRule="auto"/>
        <w:ind w:left="2835"/>
        <w:jc w:val="right"/>
        <w:rPr>
          <w:sz w:val="20"/>
          <w:szCs w:val="20"/>
        </w:rPr>
      </w:pPr>
      <w:r>
        <w:rPr>
          <w:sz w:val="20"/>
          <w:szCs w:val="20"/>
        </w:rPr>
        <w:t>Karen</w:t>
      </w:r>
      <w:r w:rsidR="00E41EAB">
        <w:rPr>
          <w:sz w:val="20"/>
          <w:szCs w:val="20"/>
        </w:rPr>
        <w:t xml:space="preserve"> </w:t>
      </w:r>
      <w:proofErr w:type="spellStart"/>
      <w:r w:rsidR="00E41EAB">
        <w:rPr>
          <w:sz w:val="20"/>
          <w:szCs w:val="20"/>
        </w:rPr>
        <w:t>Talyssa</w:t>
      </w:r>
      <w:proofErr w:type="spellEnd"/>
      <w:r w:rsidR="00E41EAB">
        <w:rPr>
          <w:sz w:val="20"/>
          <w:szCs w:val="20"/>
        </w:rPr>
        <w:t xml:space="preserve"> da Silva Vidal</w:t>
      </w:r>
      <w:r w:rsidR="00E41EAB">
        <w:rPr>
          <w:rStyle w:val="Refdenotaderodap"/>
          <w:sz w:val="20"/>
          <w:szCs w:val="20"/>
        </w:rPr>
        <w:footnoteReference w:id="3"/>
      </w:r>
    </w:p>
    <w:p w14:paraId="568BB3AE" w14:textId="23E3C6AB" w:rsidR="00E41EAB" w:rsidRDefault="00E41EAB" w:rsidP="00B26301">
      <w:pPr>
        <w:spacing w:line="240" w:lineRule="auto"/>
        <w:ind w:left="2835"/>
        <w:jc w:val="right"/>
        <w:rPr>
          <w:sz w:val="20"/>
          <w:szCs w:val="20"/>
        </w:rPr>
      </w:pPr>
      <w:r>
        <w:rPr>
          <w:sz w:val="20"/>
          <w:szCs w:val="20"/>
        </w:rPr>
        <w:t xml:space="preserve">Mylena Pacheco </w:t>
      </w:r>
      <w:proofErr w:type="spellStart"/>
      <w:r>
        <w:rPr>
          <w:sz w:val="20"/>
          <w:szCs w:val="20"/>
        </w:rPr>
        <w:t>Santolin</w:t>
      </w:r>
      <w:proofErr w:type="spellEnd"/>
      <w:r>
        <w:rPr>
          <w:sz w:val="20"/>
          <w:szCs w:val="20"/>
        </w:rPr>
        <w:t xml:space="preserve"> de Oliveira</w:t>
      </w:r>
      <w:r>
        <w:rPr>
          <w:rStyle w:val="Refdenotaderodap"/>
          <w:sz w:val="20"/>
          <w:szCs w:val="20"/>
        </w:rPr>
        <w:footnoteReference w:id="4"/>
      </w:r>
    </w:p>
    <w:p w14:paraId="2684C657" w14:textId="77777777" w:rsidR="00B26301" w:rsidRDefault="00B26301">
      <w:pPr>
        <w:spacing w:line="240" w:lineRule="auto"/>
        <w:ind w:left="2835"/>
        <w:jc w:val="both"/>
        <w:rPr>
          <w:b/>
          <w:color w:val="000000" w:themeColor="text1"/>
          <w:sz w:val="20"/>
          <w:szCs w:val="20"/>
        </w:rPr>
      </w:pPr>
    </w:p>
    <w:p w14:paraId="79962C29" w14:textId="50C812C4" w:rsidR="005D6C56" w:rsidRPr="00985E87" w:rsidRDefault="00B218FB">
      <w:pPr>
        <w:spacing w:line="240" w:lineRule="auto"/>
        <w:ind w:left="2835"/>
        <w:jc w:val="both"/>
        <w:rPr>
          <w:color w:val="000000" w:themeColor="text1"/>
          <w:sz w:val="20"/>
          <w:szCs w:val="20"/>
        </w:rPr>
      </w:pPr>
      <w:r w:rsidRPr="00985E87">
        <w:rPr>
          <w:b/>
          <w:color w:val="000000" w:themeColor="text1"/>
          <w:sz w:val="20"/>
          <w:szCs w:val="20"/>
        </w:rPr>
        <w:t>Resumo</w:t>
      </w:r>
    </w:p>
    <w:p w14:paraId="1129205A" w14:textId="327C6677" w:rsidR="005D6C56" w:rsidRPr="00985E87" w:rsidRDefault="00B218FB">
      <w:pPr>
        <w:spacing w:line="240" w:lineRule="auto"/>
        <w:ind w:left="2835"/>
        <w:jc w:val="both"/>
        <w:rPr>
          <w:color w:val="000000" w:themeColor="text1"/>
          <w:sz w:val="20"/>
          <w:szCs w:val="20"/>
        </w:rPr>
      </w:pPr>
      <w:r w:rsidRPr="00985E87">
        <w:rPr>
          <w:color w:val="000000" w:themeColor="text1"/>
          <w:sz w:val="20"/>
          <w:szCs w:val="20"/>
        </w:rPr>
        <w:t>Nos últimos anos</w:t>
      </w:r>
      <w:r w:rsidR="00985E87" w:rsidRPr="00985E87">
        <w:rPr>
          <w:color w:val="000000" w:themeColor="text1"/>
          <w:sz w:val="20"/>
          <w:szCs w:val="20"/>
        </w:rPr>
        <w:t>,</w:t>
      </w:r>
      <w:r w:rsidRPr="00985E87">
        <w:rPr>
          <w:color w:val="000000" w:themeColor="text1"/>
          <w:sz w:val="20"/>
          <w:szCs w:val="20"/>
        </w:rPr>
        <w:t xml:space="preserve"> a política de segurança pública brasileira amplia de forma intensa a utilização da tecnologia de reconhecimento facial como instrumento fundamental para organizar, implementar e gerir suas ações. Para analisar esse processo, o presente trabalho busca se aproximar dos impactos, nas populações mais pauperizadas, provocados pela expansão do uso do reconhecimento facial na política de segurança pública. Trata-se de uma investigação que partiu de uma revisão bibliográfica e pesquisa documental, guiada pelo objetivo de desvendar as possíveis relações existentes entre a expansão da utilização dessa tecnologia e fortalecimento da estratégia de controle e punição seletiva que se direciona, especialmente, para a população negra e moradora das periferias.</w:t>
      </w:r>
    </w:p>
    <w:p w14:paraId="71CACF1F" w14:textId="77777777" w:rsidR="005D6C56" w:rsidRPr="00985E87" w:rsidRDefault="00B218FB">
      <w:pPr>
        <w:spacing w:line="240" w:lineRule="auto"/>
        <w:ind w:left="2835"/>
        <w:jc w:val="both"/>
        <w:rPr>
          <w:color w:val="000000" w:themeColor="text1"/>
          <w:sz w:val="20"/>
          <w:szCs w:val="20"/>
        </w:rPr>
      </w:pPr>
      <w:r w:rsidRPr="00985E87">
        <w:rPr>
          <w:b/>
          <w:color w:val="000000" w:themeColor="text1"/>
          <w:sz w:val="20"/>
          <w:szCs w:val="20"/>
        </w:rPr>
        <w:t>Palavras-chave</w:t>
      </w:r>
      <w:r w:rsidRPr="00985E87">
        <w:rPr>
          <w:color w:val="000000" w:themeColor="text1"/>
          <w:sz w:val="20"/>
          <w:szCs w:val="20"/>
        </w:rPr>
        <w:t>: Novas Tecnologias; Segurança Pública; Reconhecimento Facial; Punitivismo.</w:t>
      </w:r>
    </w:p>
    <w:p w14:paraId="0C78BB78" w14:textId="77777777" w:rsidR="005D6C56" w:rsidRPr="00985E87" w:rsidRDefault="005D6C56">
      <w:pPr>
        <w:spacing w:line="240" w:lineRule="auto"/>
        <w:ind w:left="2835"/>
        <w:jc w:val="both"/>
        <w:rPr>
          <w:color w:val="000000" w:themeColor="text1"/>
          <w:sz w:val="20"/>
          <w:szCs w:val="20"/>
        </w:rPr>
      </w:pPr>
    </w:p>
    <w:p w14:paraId="655B11C2" w14:textId="77777777" w:rsidR="00A50CF1" w:rsidRPr="00A50CF1" w:rsidRDefault="00A50CF1" w:rsidP="00A50CF1">
      <w:pPr>
        <w:spacing w:line="240" w:lineRule="auto"/>
        <w:ind w:left="2835"/>
        <w:jc w:val="both"/>
        <w:rPr>
          <w:bCs/>
          <w:color w:val="000000" w:themeColor="text1"/>
          <w:sz w:val="20"/>
          <w:szCs w:val="20"/>
          <w:lang w:val="en-US"/>
        </w:rPr>
      </w:pPr>
      <w:r w:rsidRPr="00A50CF1">
        <w:rPr>
          <w:bCs/>
          <w:color w:val="000000" w:themeColor="text1"/>
          <w:sz w:val="20"/>
          <w:szCs w:val="20"/>
          <w:lang w:val="en-US"/>
        </w:rPr>
        <w:t>Abstract</w:t>
      </w:r>
    </w:p>
    <w:p w14:paraId="71C52168" w14:textId="77777777" w:rsidR="00A50CF1" w:rsidRPr="00A50CF1" w:rsidRDefault="00A50CF1" w:rsidP="00A50CF1">
      <w:pPr>
        <w:spacing w:line="240" w:lineRule="auto"/>
        <w:ind w:left="2835"/>
        <w:jc w:val="both"/>
        <w:rPr>
          <w:bCs/>
          <w:color w:val="000000" w:themeColor="text1"/>
          <w:sz w:val="20"/>
          <w:szCs w:val="20"/>
          <w:lang w:val="en-US"/>
        </w:rPr>
      </w:pPr>
      <w:r w:rsidRPr="00A50CF1">
        <w:rPr>
          <w:bCs/>
          <w:color w:val="000000" w:themeColor="text1"/>
          <w:sz w:val="20"/>
          <w:szCs w:val="20"/>
          <w:lang w:val="en-US"/>
        </w:rPr>
        <w:t>In recent years, Brazilian public security policy has intensively expanded the use of facial recognition technology as a fundamental instrument to organize, implement, and manage its actions. To analyze this process, this paper seeks to address the impacts on the most impoverished populations caused by the expansion of the use of facial recognition in public security policy. This research was based on a bibliographic and documentary review aimed at unveiling the possible relationships between the expansion of the use of this technology and the strengthening of the strategy of control and selective punishment that is directed, especially, at the black population and residents of the peripheries.</w:t>
      </w:r>
    </w:p>
    <w:p w14:paraId="329F7C22" w14:textId="77777777" w:rsidR="00A50CF1" w:rsidRPr="00A50CF1" w:rsidRDefault="00A50CF1" w:rsidP="00A50CF1">
      <w:pPr>
        <w:spacing w:line="240" w:lineRule="auto"/>
        <w:ind w:left="2835"/>
        <w:jc w:val="both"/>
        <w:rPr>
          <w:bCs/>
          <w:color w:val="000000" w:themeColor="text1"/>
          <w:sz w:val="20"/>
          <w:szCs w:val="20"/>
          <w:lang w:val="en-US"/>
        </w:rPr>
      </w:pPr>
      <w:r w:rsidRPr="00A50CF1">
        <w:rPr>
          <w:bCs/>
          <w:color w:val="000000" w:themeColor="text1"/>
          <w:sz w:val="20"/>
          <w:szCs w:val="20"/>
          <w:lang w:val="en-US"/>
        </w:rPr>
        <w:t xml:space="preserve">Keywords: New Technologies; Public safety; Facial Recognition; </w:t>
      </w:r>
      <w:proofErr w:type="spellStart"/>
      <w:r w:rsidRPr="00A50CF1">
        <w:rPr>
          <w:bCs/>
          <w:color w:val="000000" w:themeColor="text1"/>
          <w:sz w:val="20"/>
          <w:szCs w:val="20"/>
          <w:lang w:val="en-US"/>
        </w:rPr>
        <w:t>Punitivism</w:t>
      </w:r>
      <w:proofErr w:type="spellEnd"/>
      <w:r w:rsidRPr="00A50CF1">
        <w:rPr>
          <w:bCs/>
          <w:color w:val="000000" w:themeColor="text1"/>
          <w:sz w:val="20"/>
          <w:szCs w:val="20"/>
          <w:lang w:val="en-US"/>
        </w:rPr>
        <w:t>.</w:t>
      </w:r>
    </w:p>
    <w:p w14:paraId="0FB5FBEB" w14:textId="77777777" w:rsidR="00B26301" w:rsidRPr="00A50CF1" w:rsidRDefault="00B26301">
      <w:pPr>
        <w:spacing w:line="360" w:lineRule="auto"/>
        <w:jc w:val="both"/>
        <w:rPr>
          <w:bCs/>
          <w:sz w:val="24"/>
          <w:szCs w:val="24"/>
          <w:lang w:val="en-US"/>
        </w:rPr>
      </w:pPr>
    </w:p>
    <w:p w14:paraId="0D817A54" w14:textId="6FB012A4" w:rsidR="005D6C56" w:rsidRDefault="00B218FB">
      <w:pPr>
        <w:spacing w:line="360" w:lineRule="auto"/>
        <w:rPr>
          <w:sz w:val="24"/>
          <w:szCs w:val="24"/>
        </w:rPr>
      </w:pPr>
      <w:r>
        <w:rPr>
          <w:b/>
          <w:sz w:val="24"/>
          <w:szCs w:val="24"/>
        </w:rPr>
        <w:t>1</w:t>
      </w:r>
      <w:r>
        <w:rPr>
          <w:b/>
          <w:sz w:val="24"/>
          <w:szCs w:val="24"/>
        </w:rPr>
        <w:tab/>
        <w:t>INTRODUÇÃO</w:t>
      </w:r>
    </w:p>
    <w:p w14:paraId="3B3EA9DB" w14:textId="77777777" w:rsidR="005D6C56" w:rsidRDefault="005D6C56">
      <w:pPr>
        <w:spacing w:line="360" w:lineRule="auto"/>
        <w:jc w:val="both"/>
        <w:rPr>
          <w:sz w:val="24"/>
          <w:szCs w:val="24"/>
        </w:rPr>
      </w:pPr>
    </w:p>
    <w:p w14:paraId="6E06F904" w14:textId="2DCCEA8C" w:rsidR="005D6C56" w:rsidRPr="006B6552" w:rsidRDefault="00B218FB">
      <w:pPr>
        <w:spacing w:line="360" w:lineRule="auto"/>
        <w:ind w:firstLine="709"/>
        <w:jc w:val="both"/>
        <w:rPr>
          <w:sz w:val="24"/>
          <w:szCs w:val="24"/>
        </w:rPr>
      </w:pPr>
      <w:r w:rsidRPr="006B6552">
        <w:rPr>
          <w:sz w:val="24"/>
          <w:szCs w:val="24"/>
        </w:rPr>
        <w:lastRenderedPageBreak/>
        <w:t xml:space="preserve">Nas últimas décadas, com o advento das novas tecnologias de informação e comunicação (TICs), presenciamos diversas mudanças na organização da produção, nas condições de contratação e formas de gestão do trabalho, no funcionamento da máquina pública, bem como nos recursos e ferramentas tecnológicas e comunicacionais que passam a ser amplamente incorporadas na gestão das políticas públicas. Essas transformações, necessárias ao processo de valorização do capital, estão intrinsecamente ligadas aos avanços técnicos e tecnológicos que caracterizam uma “nova fase” da revolução industrial. Parte dessas inovações científicas, técnicas e tecnológicas foram sendo testadas no âmbito da produção e circulação de mercadorias, mas é possível constatar que, nas últimas décadas com a implementação da reforma do Estado, elas expandem-se </w:t>
      </w:r>
      <w:r w:rsidR="00107E83">
        <w:rPr>
          <w:sz w:val="24"/>
          <w:szCs w:val="24"/>
        </w:rPr>
        <w:t>rapidamente</w:t>
      </w:r>
      <w:r w:rsidRPr="006B6552">
        <w:rPr>
          <w:sz w:val="24"/>
          <w:szCs w:val="24"/>
        </w:rPr>
        <w:t xml:space="preserve"> para </w:t>
      </w:r>
      <w:r w:rsidR="00107E83">
        <w:rPr>
          <w:sz w:val="24"/>
          <w:szCs w:val="24"/>
        </w:rPr>
        <w:t xml:space="preserve">o </w:t>
      </w:r>
      <w:r w:rsidRPr="006B6552">
        <w:rPr>
          <w:sz w:val="24"/>
          <w:szCs w:val="24"/>
        </w:rPr>
        <w:t>espaço público</w:t>
      </w:r>
      <w:r w:rsidR="00107E83">
        <w:rPr>
          <w:sz w:val="24"/>
          <w:szCs w:val="24"/>
        </w:rPr>
        <w:t>,</w:t>
      </w:r>
      <w:r w:rsidRPr="006B6552">
        <w:rPr>
          <w:sz w:val="24"/>
          <w:szCs w:val="24"/>
        </w:rPr>
        <w:t xml:space="preserve"> na busca por impor uma nova dinâmica de gestão e controle dos recursos humanos, assim como uma suposta modernização, tecnificação da gestão e celeridade na prestação dos serviços e benefícios sociais.</w:t>
      </w:r>
    </w:p>
    <w:p w14:paraId="1C8C1314" w14:textId="0517761D" w:rsidR="005D6C56" w:rsidRPr="006B6552" w:rsidRDefault="00B218FB">
      <w:pPr>
        <w:spacing w:line="360" w:lineRule="auto"/>
        <w:ind w:firstLine="709"/>
        <w:jc w:val="both"/>
        <w:rPr>
          <w:sz w:val="24"/>
          <w:szCs w:val="24"/>
        </w:rPr>
      </w:pPr>
      <w:r w:rsidRPr="006B6552">
        <w:rPr>
          <w:sz w:val="24"/>
          <w:szCs w:val="24"/>
        </w:rPr>
        <w:t xml:space="preserve">O presente trabalho, resultado de uma pesquisa bibliográfica e documental, traz como preocupação central as formas de incorporação e utilização das novas tecnologias no âmbito da política de segurança pública, no intuito de aproximar-nos dos impactos </w:t>
      </w:r>
      <w:r w:rsidR="004C1B24">
        <w:rPr>
          <w:sz w:val="24"/>
          <w:szCs w:val="24"/>
        </w:rPr>
        <w:t xml:space="preserve">do uso da tecnologia de reconhecimento facial </w:t>
      </w:r>
      <w:r w:rsidRPr="006B6552">
        <w:rPr>
          <w:sz w:val="24"/>
          <w:szCs w:val="24"/>
        </w:rPr>
        <w:t xml:space="preserve">no cotidiano das populações mais pauperizadas. Assim, busca-se desvendar as possíveis relações existentes entre a expansão da utilização dessa tecnologia e o fortalecimento da estratégia de controle e punição seletiva que se direciona, especialmente, para a população negra e moradora das periferias. </w:t>
      </w:r>
    </w:p>
    <w:p w14:paraId="44C4AD39" w14:textId="2AB737F1" w:rsidR="005D6C56" w:rsidRPr="006B6552" w:rsidRDefault="00B218FB">
      <w:pPr>
        <w:spacing w:line="360" w:lineRule="auto"/>
        <w:ind w:firstLine="709"/>
        <w:jc w:val="both"/>
        <w:rPr>
          <w:sz w:val="24"/>
          <w:szCs w:val="24"/>
        </w:rPr>
      </w:pPr>
      <w:r w:rsidRPr="006B6552">
        <w:rPr>
          <w:sz w:val="24"/>
          <w:szCs w:val="24"/>
        </w:rPr>
        <w:t>Para expor os resultados da pesquisa, as reflexões foram organizadas em duas sessões e as considerações finais. O trabalho inicia com a análise do processo de incorporação da tecnologia de reconhecimento facial no âmbito da política de segurança pública brasileira; para em um segundo momento tecer algumas reflexões acerca d</w:t>
      </w:r>
      <w:r w:rsidR="00640854">
        <w:rPr>
          <w:sz w:val="24"/>
          <w:szCs w:val="24"/>
        </w:rPr>
        <w:t>e seu</w:t>
      </w:r>
      <w:r w:rsidRPr="006B6552">
        <w:rPr>
          <w:sz w:val="24"/>
          <w:szCs w:val="24"/>
        </w:rPr>
        <w:t>s impactos, nas populações mais pauperizadas e moradoras das periferias, provocados pelo processo de expansão da utilização do reconhecimento facial pela política de segurança pública.</w:t>
      </w:r>
    </w:p>
    <w:p w14:paraId="48363E12" w14:textId="77777777" w:rsidR="005D6C56" w:rsidRDefault="005D6C56">
      <w:pPr>
        <w:spacing w:line="360" w:lineRule="auto"/>
        <w:jc w:val="both"/>
        <w:rPr>
          <w:sz w:val="24"/>
          <w:szCs w:val="24"/>
        </w:rPr>
      </w:pPr>
    </w:p>
    <w:p w14:paraId="63F814A0" w14:textId="76887039" w:rsidR="005D6C56" w:rsidRPr="00097C8B" w:rsidRDefault="00B218FB">
      <w:pPr>
        <w:spacing w:line="360" w:lineRule="auto"/>
        <w:jc w:val="both"/>
        <w:rPr>
          <w:sz w:val="24"/>
          <w:szCs w:val="24"/>
        </w:rPr>
      </w:pPr>
      <w:r>
        <w:rPr>
          <w:b/>
          <w:sz w:val="24"/>
          <w:szCs w:val="24"/>
        </w:rPr>
        <w:t>2</w:t>
      </w:r>
      <w:r>
        <w:rPr>
          <w:b/>
          <w:sz w:val="24"/>
          <w:szCs w:val="24"/>
        </w:rPr>
        <w:tab/>
      </w:r>
      <w:r w:rsidRPr="00097C8B">
        <w:rPr>
          <w:b/>
          <w:smallCaps/>
          <w:sz w:val="24"/>
          <w:szCs w:val="24"/>
        </w:rPr>
        <w:t>A INCORPORAÇÃO DA TECNOLOGIA DE RECONHECIMENTO FACIAL NA POLÍTICA DE SEGURANÇA PÚBLICA</w:t>
      </w:r>
    </w:p>
    <w:p w14:paraId="3F3C2108" w14:textId="77777777" w:rsidR="005D6C56" w:rsidRDefault="005D6C56">
      <w:pPr>
        <w:spacing w:line="360" w:lineRule="auto"/>
        <w:jc w:val="both"/>
        <w:rPr>
          <w:sz w:val="24"/>
          <w:szCs w:val="24"/>
        </w:rPr>
      </w:pPr>
    </w:p>
    <w:p w14:paraId="00CC00C2" w14:textId="05A5B658" w:rsidR="005D6C56" w:rsidRPr="006B6552" w:rsidRDefault="00B218FB">
      <w:pPr>
        <w:spacing w:line="360" w:lineRule="auto"/>
        <w:ind w:firstLine="709"/>
        <w:jc w:val="both"/>
        <w:rPr>
          <w:sz w:val="24"/>
          <w:szCs w:val="24"/>
        </w:rPr>
      </w:pPr>
      <w:r w:rsidRPr="006B6552">
        <w:rPr>
          <w:sz w:val="24"/>
          <w:szCs w:val="24"/>
        </w:rPr>
        <w:t xml:space="preserve">A política de segurança pública no Brasil, a partir do ano de 2019, inicia um processo de incorporação massificada de novos métodos de vigilância, monitoramento e controle, mediados pela utilização de novas tecnologias. O alargamento do uso das TICs nessa política acontece de forma simultânea à intensificação dos discursos oficiais sobre o aumento da criminalidade e da violência no país; também, nos últimos anos o tema assume protagonismo na grande imprensa corporativa. </w:t>
      </w:r>
      <w:r w:rsidR="004504B8">
        <w:rPr>
          <w:sz w:val="24"/>
          <w:szCs w:val="24"/>
        </w:rPr>
        <w:t>A popularização de</w:t>
      </w:r>
      <w:r w:rsidRPr="006B6552">
        <w:rPr>
          <w:sz w:val="24"/>
          <w:szCs w:val="24"/>
        </w:rPr>
        <w:t>s</w:t>
      </w:r>
      <w:r w:rsidR="004504B8">
        <w:rPr>
          <w:sz w:val="24"/>
          <w:szCs w:val="24"/>
        </w:rPr>
        <w:t>s</w:t>
      </w:r>
      <w:r w:rsidRPr="006B6552">
        <w:rPr>
          <w:sz w:val="24"/>
          <w:szCs w:val="24"/>
        </w:rPr>
        <w:t>es discursos</w:t>
      </w:r>
      <w:r w:rsidR="006B7925">
        <w:rPr>
          <w:sz w:val="24"/>
          <w:szCs w:val="24"/>
        </w:rPr>
        <w:t>, por sua vez,</w:t>
      </w:r>
      <w:r w:rsidRPr="006B6552">
        <w:rPr>
          <w:sz w:val="24"/>
          <w:szCs w:val="24"/>
        </w:rPr>
        <w:t xml:space="preserve"> fo</w:t>
      </w:r>
      <w:r w:rsidR="006B7925">
        <w:rPr>
          <w:sz w:val="24"/>
          <w:szCs w:val="24"/>
        </w:rPr>
        <w:t>i</w:t>
      </w:r>
      <w:r w:rsidRPr="006B6552">
        <w:rPr>
          <w:sz w:val="24"/>
          <w:szCs w:val="24"/>
        </w:rPr>
        <w:t xml:space="preserve"> determinante para a construção da cultura do medo e da sensação de insegurança da população brasileira, principalmente nos grandes centros urbanos. Também essas ideais foram um importante combustível para as campanhas político partidárias e a promoção de políticos conservadores, principalmente da extrema-direita, que sustentam narrativas de</w:t>
      </w:r>
      <w:r w:rsidR="00BA7D04">
        <w:rPr>
          <w:sz w:val="24"/>
          <w:szCs w:val="24"/>
        </w:rPr>
        <w:t xml:space="preserve"> que</w:t>
      </w:r>
      <w:r w:rsidRPr="006B6552">
        <w:rPr>
          <w:sz w:val="24"/>
          <w:szCs w:val="24"/>
        </w:rPr>
        <w:t xml:space="preserve"> </w:t>
      </w:r>
      <w:r w:rsidR="003671BE">
        <w:rPr>
          <w:sz w:val="24"/>
          <w:szCs w:val="24"/>
        </w:rPr>
        <w:t xml:space="preserve">a ampliação do </w:t>
      </w:r>
      <w:r w:rsidRPr="006B6552">
        <w:rPr>
          <w:sz w:val="24"/>
          <w:szCs w:val="24"/>
        </w:rPr>
        <w:t>orçamento destinado</w:t>
      </w:r>
      <w:r w:rsidR="00720980">
        <w:rPr>
          <w:sz w:val="24"/>
          <w:szCs w:val="24"/>
        </w:rPr>
        <w:t xml:space="preserve"> à</w:t>
      </w:r>
      <w:r w:rsidRPr="006B6552">
        <w:rPr>
          <w:sz w:val="24"/>
          <w:szCs w:val="24"/>
        </w:rPr>
        <w:t xml:space="preserve"> segurança pública – utilizados na compra de tecnologias de vigilância, monitoramento, controle e repressão – seria o caminho para reduzir a criminalidade e a violência.</w:t>
      </w:r>
    </w:p>
    <w:p w14:paraId="2D45C594" w14:textId="2BBA38BE" w:rsidR="005D6C56" w:rsidRPr="006B6552" w:rsidRDefault="00B218FB">
      <w:pPr>
        <w:spacing w:line="360" w:lineRule="auto"/>
        <w:ind w:firstLine="709"/>
        <w:jc w:val="both"/>
        <w:rPr>
          <w:sz w:val="24"/>
          <w:szCs w:val="24"/>
        </w:rPr>
      </w:pPr>
      <w:r w:rsidRPr="006B6552">
        <w:rPr>
          <w:sz w:val="24"/>
          <w:szCs w:val="24"/>
        </w:rPr>
        <w:t xml:space="preserve">Nesse contexto, observa-se um crescimento dos investimentos públicos em todo o Brasil destinados à aquisição de tecnologias de vigilância e monitoramento, tais como: câmeras corporais, videomonitoramento, drones, sensores de movimento entre outras, que fazem uso de inteligência artificial (IA) e algoritmos, como é o caso da tecnologia de reconhecimento facial utilizada no âmbito da segurança pública e preocupação central deste texto. Esta tecnologia biométrica realiza um processo automatizado de reconhecimento de pontos da face de seres humanos, capturados por câmeras instaladas em espaços públicos e privados – estádios, aeroportos, terminais rodoviários, vias públicas, prédios comerciais, shows na praia etc. – ou nos uniformes e carros policiais, dentre outros. Através de análise desenvolvida por meio de um sistema algorítmico das imagens adquiridas pelos equipamentos de </w:t>
      </w:r>
      <w:r w:rsidRPr="006B6552">
        <w:rPr>
          <w:sz w:val="24"/>
          <w:szCs w:val="24"/>
        </w:rPr>
        <w:lastRenderedPageBreak/>
        <w:t xml:space="preserve">reconhecimento facial, constroem-se gigantescas bases de dados, </w:t>
      </w:r>
      <w:r w:rsidR="00BA7D04" w:rsidRPr="006B6552">
        <w:rPr>
          <w:sz w:val="24"/>
          <w:szCs w:val="24"/>
        </w:rPr>
        <w:t>utilizadas pelas</w:t>
      </w:r>
      <w:r w:rsidRPr="006B6552">
        <w:rPr>
          <w:sz w:val="24"/>
          <w:szCs w:val="24"/>
        </w:rPr>
        <w:t xml:space="preserve"> polícias e demais órgãos de controle e segurança, para identificar pessoas que cometeram crimes, que se encontram foragidas da justiça, procuradas pela polícia etc. Essa identificação é realizada através da comparação entre imagens capturadas por câmeras e a imagem ou fotografia de referência contida em banco de dados, com a finalidade de determinar o grau de correspondência ou similaridade entre o rosto analisado e as imagens previamente arquivadas pela polícia, Interpol etc. (Brandão </w:t>
      </w:r>
      <w:r w:rsidRPr="006B6552">
        <w:rPr>
          <w:i/>
          <w:sz w:val="24"/>
          <w:szCs w:val="24"/>
        </w:rPr>
        <w:t>in</w:t>
      </w:r>
      <w:r w:rsidRPr="006B6552">
        <w:rPr>
          <w:sz w:val="24"/>
          <w:szCs w:val="24"/>
        </w:rPr>
        <w:t xml:space="preserve"> Duarte; Ceia, 2022, p. 124).</w:t>
      </w:r>
    </w:p>
    <w:p w14:paraId="68B993F5" w14:textId="1AAEDF0E" w:rsidR="005D6C56" w:rsidRPr="006B6552" w:rsidRDefault="00B218FB">
      <w:pPr>
        <w:spacing w:line="360" w:lineRule="auto"/>
        <w:ind w:firstLine="709"/>
        <w:jc w:val="both"/>
        <w:rPr>
          <w:sz w:val="24"/>
          <w:szCs w:val="24"/>
        </w:rPr>
      </w:pPr>
      <w:r w:rsidRPr="006B6552">
        <w:rPr>
          <w:sz w:val="24"/>
          <w:szCs w:val="24"/>
        </w:rPr>
        <w:t xml:space="preserve">No entanto, diversos investigadores têm demonstrado que, a depender da qualidade das capturas – determinada pelas condições ambientais e técnicas, existência de luz e sombra, sujeira ou vibrações dos equipamentos, chuva, baixa resolução, movimentação corporal dos sujeitos observados –, as imagens enlaçadas podem dificultar o índice de precisão dessa correspondência, afetando a exatidão da comparação, podendo tornar esse reconhecimento pouco eficaz ou errôneo (Leslie </w:t>
      </w:r>
      <w:r w:rsidRPr="006B6552">
        <w:rPr>
          <w:i/>
          <w:sz w:val="24"/>
          <w:szCs w:val="24"/>
        </w:rPr>
        <w:t>in</w:t>
      </w:r>
      <w:r w:rsidRPr="006B6552">
        <w:rPr>
          <w:sz w:val="24"/>
          <w:szCs w:val="24"/>
        </w:rPr>
        <w:t xml:space="preserve"> Duarte; Ceia, 2022, p. 23-24), produzindo os denominados falsos positivos, ou seja, identificações equivocadas e falsos alertas.</w:t>
      </w:r>
      <w:r w:rsidR="0016463A">
        <w:rPr>
          <w:rStyle w:val="Refdenotaderodap"/>
          <w:sz w:val="24"/>
          <w:szCs w:val="24"/>
        </w:rPr>
        <w:footnoteReference w:id="5"/>
      </w:r>
      <w:r w:rsidRPr="006B6552">
        <w:rPr>
          <w:sz w:val="24"/>
          <w:szCs w:val="24"/>
        </w:rPr>
        <w:t xml:space="preserve"> É crescente os casos de pessoas presas, punidas, investigadas sem que haja padronização do monitoramento e informações claras acessíveis sobre o uso destes dados biométricos, extraídos muitas vezes sem autorização, e compartilhados por diversas instituições, indicando ausência de transparência e brechas a uma série de violações.</w:t>
      </w:r>
    </w:p>
    <w:p w14:paraId="326E1780" w14:textId="6A376820" w:rsidR="005D6C56" w:rsidRPr="006B6552" w:rsidRDefault="006B6552">
      <w:pPr>
        <w:spacing w:line="360" w:lineRule="auto"/>
        <w:ind w:firstLine="709"/>
        <w:jc w:val="both"/>
        <w:rPr>
          <w:color w:val="000000" w:themeColor="text1"/>
          <w:sz w:val="24"/>
          <w:szCs w:val="24"/>
        </w:rPr>
      </w:pPr>
      <w:r w:rsidRPr="00BA7D04">
        <w:rPr>
          <w:color w:val="000000" w:themeColor="text1"/>
          <w:sz w:val="24"/>
          <w:szCs w:val="24"/>
        </w:rPr>
        <w:t xml:space="preserve">É importante mencionar também que </w:t>
      </w:r>
      <w:r w:rsidRPr="006B6552">
        <w:rPr>
          <w:sz w:val="24"/>
          <w:szCs w:val="24"/>
        </w:rPr>
        <w:t xml:space="preserve">esses processos automatizados e sistemas algorítmicos são elaborados e treinados com dados e informações identificadas </w:t>
      </w:r>
      <w:r w:rsidR="00E10166">
        <w:rPr>
          <w:sz w:val="24"/>
          <w:szCs w:val="24"/>
        </w:rPr>
        <w:t>e/</w:t>
      </w:r>
      <w:r w:rsidRPr="006B6552">
        <w:rPr>
          <w:sz w:val="24"/>
          <w:szCs w:val="24"/>
        </w:rPr>
        <w:t xml:space="preserve">ou selecionadas como importantes e hierarquizadas por seres humanos. Neste sentido, </w:t>
      </w:r>
      <w:r w:rsidR="00277E02">
        <w:rPr>
          <w:sz w:val="24"/>
          <w:szCs w:val="24"/>
        </w:rPr>
        <w:t>reproduzem-se n</w:t>
      </w:r>
      <w:r w:rsidRPr="006B6552">
        <w:rPr>
          <w:sz w:val="24"/>
          <w:szCs w:val="24"/>
        </w:rPr>
        <w:t xml:space="preserve">a tecnologia de reconhecimento facial os </w:t>
      </w:r>
      <w:r w:rsidRPr="006B6552">
        <w:rPr>
          <w:sz w:val="24"/>
          <w:szCs w:val="24"/>
        </w:rPr>
        <w:lastRenderedPageBreak/>
        <w:t xml:space="preserve">estereótipos, visões de mundo, valores, preconceitos etc. dos seus criadores, dos sujeitos que alimentam as bases de dados, daqueles que </w:t>
      </w:r>
      <w:r w:rsidRPr="006B6552">
        <w:rPr>
          <w:color w:val="000000" w:themeColor="text1"/>
          <w:sz w:val="24"/>
          <w:szCs w:val="24"/>
        </w:rPr>
        <w:t>manipulam as informações e que colocam em funcionamento as tecnologias. Assim, a composição dos bancos de dados e as análises realizadas com a utilização de algoritmos não são ações puramente técnicas e neutras, nem livres de interferência humana. Por esse motivo afirmamos que</w:t>
      </w:r>
      <w:r w:rsidR="0018273E">
        <w:rPr>
          <w:color w:val="000000" w:themeColor="text1"/>
          <w:sz w:val="24"/>
          <w:szCs w:val="24"/>
        </w:rPr>
        <w:t xml:space="preserve">, </w:t>
      </w:r>
      <w:r w:rsidRPr="006B6552">
        <w:rPr>
          <w:color w:val="000000" w:themeColor="text1"/>
          <w:sz w:val="24"/>
          <w:szCs w:val="24"/>
        </w:rPr>
        <w:t>os sistemas de reconhecimento facial tend</w:t>
      </w:r>
      <w:r w:rsidR="00D13025">
        <w:rPr>
          <w:color w:val="000000" w:themeColor="text1"/>
          <w:sz w:val="24"/>
          <w:szCs w:val="24"/>
        </w:rPr>
        <w:t>em</w:t>
      </w:r>
      <w:r w:rsidRPr="006B6552">
        <w:rPr>
          <w:color w:val="000000" w:themeColor="text1"/>
          <w:sz w:val="24"/>
          <w:szCs w:val="24"/>
        </w:rPr>
        <w:t xml:space="preserve"> a reproduzir padrões sociais já existentes reforça</w:t>
      </w:r>
      <w:r w:rsidR="00306372">
        <w:rPr>
          <w:color w:val="000000" w:themeColor="text1"/>
          <w:sz w:val="24"/>
          <w:szCs w:val="24"/>
        </w:rPr>
        <w:t xml:space="preserve">ndo </w:t>
      </w:r>
      <w:r w:rsidRPr="006B6552">
        <w:rPr>
          <w:color w:val="000000" w:themeColor="text1"/>
          <w:sz w:val="24"/>
          <w:szCs w:val="24"/>
        </w:rPr>
        <w:t xml:space="preserve">estereótipos, preconceitos e estigmas sociais que atingem, de forma negativa, </w:t>
      </w:r>
      <w:r w:rsidR="00044A24">
        <w:rPr>
          <w:color w:val="000000" w:themeColor="text1"/>
          <w:sz w:val="24"/>
          <w:szCs w:val="24"/>
        </w:rPr>
        <w:t>historicamente</w:t>
      </w:r>
      <w:r w:rsidRPr="006B6552">
        <w:rPr>
          <w:color w:val="000000" w:themeColor="text1"/>
          <w:sz w:val="24"/>
          <w:szCs w:val="24"/>
        </w:rPr>
        <w:t xml:space="preserve"> consideradas como “alvos” das ações desenvolvidas pela segurança pública. Dessa forma, a utilização desta tecnologia biométrica no âmbito desta política contribui com a intensificação da segregação, discriminação e criminalização de grupos socialmente estigmatizados, especialmente pessoas não brancas, mais pauperizadas e moradoras das periferias urbanas.</w:t>
      </w:r>
    </w:p>
    <w:p w14:paraId="44886477" w14:textId="32F60FD6" w:rsidR="005D6C56" w:rsidRPr="006B6552" w:rsidRDefault="00B218FB">
      <w:pPr>
        <w:spacing w:line="360" w:lineRule="auto"/>
        <w:ind w:firstLine="709"/>
        <w:jc w:val="both"/>
        <w:rPr>
          <w:color w:val="000000" w:themeColor="text1"/>
          <w:sz w:val="24"/>
          <w:szCs w:val="24"/>
        </w:rPr>
      </w:pPr>
      <w:r w:rsidRPr="006B6552">
        <w:rPr>
          <w:color w:val="000000" w:themeColor="text1"/>
          <w:sz w:val="24"/>
          <w:szCs w:val="24"/>
        </w:rPr>
        <w:t>Diversos estudos realizados por O Panóptico (2023 e 2024) indicam que a utilização desses sistemas de reconhecimento facial produz resultados enviesados, que reforçam as desigualdades de classe, gênero e raça, contribuindo com o aumento do encarceramento de pessoas negras e pobres. Esses vieses se expressam, por exemplo, na escassez de diversidade étnico-racial presente nos bancos de dados utilizados pelas tecnologias de reconhecimento facial para identificação de pessoas que cometem crimes ou que são procuradas pelas polícias.</w:t>
      </w:r>
    </w:p>
    <w:p w14:paraId="3F82F056" w14:textId="24CA5C7C" w:rsidR="005D6C56" w:rsidRPr="006B6552" w:rsidRDefault="00B218FB">
      <w:pPr>
        <w:spacing w:line="360" w:lineRule="auto"/>
        <w:ind w:firstLine="709"/>
        <w:jc w:val="both"/>
        <w:rPr>
          <w:color w:val="000000" w:themeColor="text1"/>
          <w:sz w:val="24"/>
          <w:szCs w:val="24"/>
        </w:rPr>
      </w:pPr>
      <w:r w:rsidRPr="006B6552">
        <w:rPr>
          <w:color w:val="000000" w:themeColor="text1"/>
          <w:sz w:val="24"/>
          <w:szCs w:val="24"/>
        </w:rPr>
        <w:t xml:space="preserve">Entendemos que a introdução destas inovações tecnológicas no âmbito da política de segurança pública inaugura uma nova fase de vigilância e controle de espaços públicos e privados, habitualmente justificada pela potencialidade que carregam estas tecnologias na redução da criminalidade e na garantia de segurança à população em seu conjunto. Contudo, a investigação acima mencionada identifica que além de tais tecnologias não serem realmente eficazes para atingir esses objetivos declarados, sua utilização levanta ressalvas relacionadas à privacidade dos indivíduos observados, monitorados e vigiados, assim como em relação à transparência acerca da guarda, proteção e utilização dos dados recolhidos (Fontes; </w:t>
      </w:r>
      <w:proofErr w:type="spellStart"/>
      <w:r w:rsidRPr="006B6552">
        <w:rPr>
          <w:color w:val="000000" w:themeColor="text1"/>
          <w:sz w:val="24"/>
          <w:szCs w:val="24"/>
        </w:rPr>
        <w:t>Lütge</w:t>
      </w:r>
      <w:proofErr w:type="spellEnd"/>
      <w:r w:rsidRPr="006B6552">
        <w:rPr>
          <w:color w:val="000000" w:themeColor="text1"/>
          <w:sz w:val="24"/>
          <w:szCs w:val="24"/>
        </w:rPr>
        <w:t>, 2021, p. 102).</w:t>
      </w:r>
    </w:p>
    <w:p w14:paraId="1D4AFB8B" w14:textId="3CC0CF55" w:rsidR="005D6C56" w:rsidRPr="006B6552" w:rsidRDefault="003465B5">
      <w:pPr>
        <w:spacing w:line="360" w:lineRule="auto"/>
        <w:ind w:firstLine="709"/>
        <w:jc w:val="both"/>
        <w:rPr>
          <w:color w:val="000000" w:themeColor="text1"/>
          <w:sz w:val="24"/>
          <w:szCs w:val="24"/>
        </w:rPr>
      </w:pPr>
      <w:r>
        <w:rPr>
          <w:color w:val="000000" w:themeColor="text1"/>
          <w:sz w:val="24"/>
          <w:szCs w:val="24"/>
        </w:rPr>
        <w:lastRenderedPageBreak/>
        <w:t>O</w:t>
      </w:r>
      <w:r w:rsidR="00B218FB" w:rsidRPr="006B6552">
        <w:rPr>
          <w:color w:val="000000" w:themeColor="text1"/>
          <w:sz w:val="24"/>
          <w:szCs w:val="24"/>
        </w:rPr>
        <w:t>utra questão</w:t>
      </w:r>
      <w:r>
        <w:rPr>
          <w:color w:val="000000" w:themeColor="text1"/>
          <w:sz w:val="24"/>
          <w:szCs w:val="24"/>
        </w:rPr>
        <w:t xml:space="preserve"> de igual </w:t>
      </w:r>
      <w:r w:rsidR="00BA70B7">
        <w:rPr>
          <w:color w:val="000000" w:themeColor="text1"/>
          <w:sz w:val="24"/>
          <w:szCs w:val="24"/>
        </w:rPr>
        <w:t xml:space="preserve">relevância </w:t>
      </w:r>
      <w:r w:rsidR="00B218FB" w:rsidRPr="006B6552">
        <w:rPr>
          <w:color w:val="000000" w:themeColor="text1"/>
          <w:sz w:val="24"/>
          <w:szCs w:val="24"/>
        </w:rPr>
        <w:t xml:space="preserve">refere-se ao acesso e uso das informações e dados coletados pelas câmeras de reconhecimento facial instaladas em diversos espaços privados e públicos, como estádios, ruas, estradas, espetáculos públicos, transporte etc. Como indica o relatório elaborado por O Panóptico (2024), em diversas oportunidades, dados sensíveis são compartilhados ou acessados por empresas privadas sem transparência dos protocolos de acesso, uso e guarda, ou sem autorização do poder público, desrespeitando as normas legais de proteção de dados (Lei nº13.709/2018) que veda, por exemplo, o tratamento de dados com finalidade de segurança pública pelo setor privado, exceto se comunicado a Autoridade Nacional de </w:t>
      </w:r>
      <w:r w:rsidR="00BA7D04">
        <w:rPr>
          <w:color w:val="000000" w:themeColor="text1"/>
          <w:sz w:val="24"/>
          <w:szCs w:val="24"/>
        </w:rPr>
        <w:t>P</w:t>
      </w:r>
      <w:r w:rsidR="00B218FB" w:rsidRPr="006B6552">
        <w:rPr>
          <w:color w:val="000000" w:themeColor="text1"/>
          <w:sz w:val="24"/>
          <w:szCs w:val="24"/>
        </w:rPr>
        <w:t>roteção de Dados (ANPD). Em outro estudo de O Panóptico (2025)</w:t>
      </w:r>
      <w:r w:rsidR="00BA7D04">
        <w:rPr>
          <w:color w:val="000000" w:themeColor="text1"/>
          <w:sz w:val="24"/>
          <w:szCs w:val="24"/>
        </w:rPr>
        <w:t xml:space="preserve"> </w:t>
      </w:r>
      <w:r w:rsidR="00B218FB" w:rsidRPr="006B6552">
        <w:rPr>
          <w:color w:val="000000" w:themeColor="text1"/>
          <w:sz w:val="24"/>
          <w:szCs w:val="24"/>
        </w:rPr>
        <w:t xml:space="preserve">destaca-se que nenhum dos estados brasileiros analisados </w:t>
      </w:r>
      <w:r w:rsidR="00BA7D04">
        <w:rPr>
          <w:color w:val="000000" w:themeColor="text1"/>
          <w:sz w:val="24"/>
          <w:szCs w:val="24"/>
        </w:rPr>
        <w:t>demostrou a existência</w:t>
      </w:r>
      <w:r w:rsidR="00B218FB" w:rsidRPr="006B6552">
        <w:rPr>
          <w:color w:val="000000" w:themeColor="text1"/>
          <w:sz w:val="24"/>
          <w:szCs w:val="24"/>
        </w:rPr>
        <w:t xml:space="preserve"> </w:t>
      </w:r>
      <w:r w:rsidR="00BA7D04">
        <w:rPr>
          <w:color w:val="000000" w:themeColor="text1"/>
          <w:sz w:val="24"/>
          <w:szCs w:val="24"/>
        </w:rPr>
        <w:t>d</w:t>
      </w:r>
      <w:r w:rsidR="00B218FB" w:rsidRPr="006B6552">
        <w:rPr>
          <w:color w:val="000000" w:themeColor="text1"/>
          <w:sz w:val="24"/>
          <w:szCs w:val="24"/>
        </w:rPr>
        <w:t>a comunicação solicitada em lei.</w:t>
      </w:r>
    </w:p>
    <w:p w14:paraId="52B3BC25" w14:textId="1ABFF65D" w:rsidR="005D6C56" w:rsidRPr="006B6552" w:rsidRDefault="00B218FB" w:rsidP="006B658F">
      <w:pPr>
        <w:spacing w:after="240" w:line="360" w:lineRule="auto"/>
        <w:ind w:firstLine="709"/>
        <w:jc w:val="both"/>
        <w:rPr>
          <w:color w:val="000000" w:themeColor="text1"/>
          <w:sz w:val="24"/>
          <w:szCs w:val="24"/>
        </w:rPr>
      </w:pPr>
      <w:r w:rsidRPr="006B6552">
        <w:rPr>
          <w:color w:val="000000" w:themeColor="text1"/>
          <w:sz w:val="24"/>
          <w:szCs w:val="24"/>
        </w:rPr>
        <w:t>No discurso hegemônico, a utilização desta tecnologia biométrica seria fundamental para reduzir a violência, proteger a propriedade e bens privados (por exemplo, com o monitoramento dos espaços e vias públicas, o policiamento ostensivo, abordagens policiais etc.). Entretanto, fica evidente um outro objetivo a ele vinculado: a intensificação do controle, vigilância e repressão de pessoas e grupos concebidos como “perigosos”, que teriam maior “predisposição a cometer crimes”</w:t>
      </w:r>
      <w:r w:rsidR="00195224">
        <w:rPr>
          <w:color w:val="000000" w:themeColor="text1"/>
          <w:sz w:val="24"/>
          <w:szCs w:val="24"/>
        </w:rPr>
        <w:t xml:space="preserve">. Um exemplo disso, </w:t>
      </w:r>
      <w:r w:rsidR="00D41BFB">
        <w:rPr>
          <w:color w:val="000000" w:themeColor="text1"/>
          <w:sz w:val="24"/>
          <w:szCs w:val="24"/>
        </w:rPr>
        <w:t>pode ser encontrado</w:t>
      </w:r>
      <w:r w:rsidRPr="006B6552">
        <w:rPr>
          <w:color w:val="000000" w:themeColor="text1"/>
          <w:sz w:val="24"/>
          <w:szCs w:val="24"/>
        </w:rPr>
        <w:t xml:space="preserve"> </w:t>
      </w:r>
      <w:r w:rsidR="006B658F">
        <w:rPr>
          <w:color w:val="000000" w:themeColor="text1"/>
          <w:sz w:val="24"/>
          <w:szCs w:val="24"/>
        </w:rPr>
        <w:t>no</w:t>
      </w:r>
      <w:r w:rsidRPr="006B6552">
        <w:rPr>
          <w:color w:val="000000" w:themeColor="text1"/>
          <w:sz w:val="24"/>
          <w:szCs w:val="24"/>
        </w:rPr>
        <w:t xml:space="preserve"> edital</w:t>
      </w:r>
      <w:r w:rsidR="006B658F">
        <w:rPr>
          <w:rStyle w:val="Refdenotaderodap"/>
          <w:color w:val="000000" w:themeColor="text1"/>
          <w:sz w:val="24"/>
          <w:szCs w:val="24"/>
        </w:rPr>
        <w:footnoteReference w:id="6"/>
      </w:r>
      <w:r w:rsidR="0026168F">
        <w:rPr>
          <w:color w:val="000000" w:themeColor="text1"/>
          <w:sz w:val="24"/>
          <w:szCs w:val="24"/>
        </w:rPr>
        <w:t xml:space="preserve"> </w:t>
      </w:r>
      <w:r w:rsidRPr="006B6552">
        <w:rPr>
          <w:color w:val="000000" w:themeColor="text1"/>
          <w:sz w:val="24"/>
          <w:szCs w:val="24"/>
        </w:rPr>
        <w:t xml:space="preserve">relativo ao sistema </w:t>
      </w:r>
      <w:proofErr w:type="spellStart"/>
      <w:r w:rsidRPr="006B6552">
        <w:rPr>
          <w:i/>
          <w:color w:val="000000" w:themeColor="text1"/>
          <w:sz w:val="24"/>
          <w:szCs w:val="24"/>
        </w:rPr>
        <w:t>Smart</w:t>
      </w:r>
      <w:proofErr w:type="spellEnd"/>
      <w:r w:rsidRPr="006B6552">
        <w:rPr>
          <w:i/>
          <w:color w:val="000000" w:themeColor="text1"/>
          <w:sz w:val="24"/>
          <w:szCs w:val="24"/>
        </w:rPr>
        <w:t xml:space="preserve"> Sampa,</w:t>
      </w:r>
      <w:r w:rsidRPr="006B6552">
        <w:rPr>
          <w:color w:val="000000" w:themeColor="text1"/>
          <w:sz w:val="24"/>
          <w:szCs w:val="24"/>
        </w:rPr>
        <w:t xml:space="preserve"> utilizado em São Paulo, que objetivava identificar e fiscalizar indivíduos ou comportamentos “perigosos” em função da identificação de marcadores sociais como: vestimenta das pessoas, movimentos, forma de segurar o celular, tempo de permanência em espaços públicos, características físicas etc.</w:t>
      </w:r>
      <w:r w:rsidR="00AE75AA">
        <w:rPr>
          <w:color w:val="000000" w:themeColor="text1"/>
          <w:sz w:val="24"/>
          <w:szCs w:val="24"/>
        </w:rPr>
        <w:t xml:space="preserve"> </w:t>
      </w:r>
      <w:r w:rsidRPr="006B6552">
        <w:rPr>
          <w:color w:val="000000" w:themeColor="text1"/>
          <w:sz w:val="24"/>
          <w:szCs w:val="24"/>
        </w:rPr>
        <w:t xml:space="preserve">Assim, a utilização deste sistema de reconhecimento facial no âmbito da política de segurança pública evidencia a impossibilidade de despojar as tecnologias dos valores, interesses e visões de mundo </w:t>
      </w:r>
      <w:r w:rsidRPr="006B6552">
        <w:rPr>
          <w:color w:val="000000" w:themeColor="text1"/>
          <w:sz w:val="24"/>
          <w:szCs w:val="24"/>
        </w:rPr>
        <w:lastRenderedPageBreak/>
        <w:t>dos seus criadores, daqueles que as manipulam e utilizam, tal como analisaremos a seguir.</w:t>
      </w:r>
    </w:p>
    <w:p w14:paraId="5445AE0F" w14:textId="77777777" w:rsidR="005D6C56" w:rsidRPr="006B6552" w:rsidRDefault="00B218FB">
      <w:pPr>
        <w:spacing w:line="360" w:lineRule="auto"/>
        <w:jc w:val="both"/>
        <w:rPr>
          <w:color w:val="000000" w:themeColor="text1"/>
          <w:sz w:val="24"/>
          <w:szCs w:val="24"/>
        </w:rPr>
      </w:pPr>
      <w:r>
        <w:rPr>
          <w:b/>
          <w:sz w:val="24"/>
          <w:szCs w:val="24"/>
        </w:rPr>
        <w:t>3</w:t>
      </w:r>
      <w:r>
        <w:rPr>
          <w:b/>
          <w:sz w:val="24"/>
          <w:szCs w:val="24"/>
        </w:rPr>
        <w:tab/>
      </w:r>
      <w:r w:rsidRPr="006B6552">
        <w:rPr>
          <w:b/>
          <w:smallCaps/>
          <w:color w:val="000000" w:themeColor="text1"/>
          <w:sz w:val="24"/>
          <w:szCs w:val="24"/>
        </w:rPr>
        <w:t>DESIGUALDADES SOCIAIS E OS SISTEMAS DE RECONHECIMENTO FACIAL NA POLÍTICA DE SEGURANÇA PÚBLICA</w:t>
      </w:r>
    </w:p>
    <w:p w14:paraId="10334E64" w14:textId="77777777" w:rsidR="005D6C56" w:rsidRPr="006B6552" w:rsidRDefault="005D6C56">
      <w:pPr>
        <w:spacing w:line="360" w:lineRule="auto"/>
        <w:jc w:val="both"/>
        <w:rPr>
          <w:color w:val="000000" w:themeColor="text1"/>
          <w:sz w:val="24"/>
          <w:szCs w:val="24"/>
        </w:rPr>
      </w:pPr>
    </w:p>
    <w:p w14:paraId="1B531D1C" w14:textId="15B26245" w:rsidR="005D6C56" w:rsidRPr="006B6552" w:rsidRDefault="00B218FB">
      <w:pPr>
        <w:spacing w:line="360" w:lineRule="auto"/>
        <w:ind w:firstLine="720"/>
        <w:jc w:val="both"/>
        <w:rPr>
          <w:color w:val="000000" w:themeColor="text1"/>
          <w:sz w:val="24"/>
          <w:szCs w:val="24"/>
        </w:rPr>
      </w:pPr>
      <w:r w:rsidRPr="006B6552">
        <w:rPr>
          <w:color w:val="000000" w:themeColor="text1"/>
          <w:sz w:val="24"/>
          <w:szCs w:val="24"/>
        </w:rPr>
        <w:t xml:space="preserve">Buscando avançar nas discussões que permitam entender as possíveis relações entre a expansão da utilização da tecnologia de reconhecimento facial e os processos de fortalecimento da estratégia de controle e punição seletiva – que tem como principais destinatários os setores mais pauperizados no Brasil, </w:t>
      </w:r>
      <w:r w:rsidR="006B658F" w:rsidRPr="006B6552">
        <w:rPr>
          <w:color w:val="000000" w:themeColor="text1"/>
          <w:sz w:val="24"/>
          <w:szCs w:val="24"/>
        </w:rPr>
        <w:t>especialmente a</w:t>
      </w:r>
      <w:r w:rsidRPr="006B6552">
        <w:rPr>
          <w:color w:val="000000" w:themeColor="text1"/>
          <w:sz w:val="24"/>
          <w:szCs w:val="24"/>
        </w:rPr>
        <w:t xml:space="preserve"> população negra e moradora das periferias – recorremos às reflexões de Baratta (2016), que afirma que a elaboração das leis e a definição dos delitos e crimes, assim como as penas e sanções a eles correspondentes, conforma o primeiro momento dos processos de criminalização dos setores subalternos na sociedade capitalista. Esse processo é complementado com a escolha e definição dos principais sujeitos das ações </w:t>
      </w:r>
      <w:proofErr w:type="spellStart"/>
      <w:r w:rsidRPr="006B6552">
        <w:rPr>
          <w:color w:val="000000" w:themeColor="text1"/>
          <w:sz w:val="24"/>
          <w:szCs w:val="24"/>
        </w:rPr>
        <w:t>criminalizadoras</w:t>
      </w:r>
      <w:proofErr w:type="spellEnd"/>
      <w:r w:rsidRPr="006B6552">
        <w:rPr>
          <w:color w:val="000000" w:themeColor="text1"/>
          <w:sz w:val="24"/>
          <w:szCs w:val="24"/>
        </w:rPr>
        <w:t xml:space="preserve"> e punitivas, dando forma concreta à criminalização secundária.</w:t>
      </w:r>
    </w:p>
    <w:p w14:paraId="5E907949" w14:textId="7B1B9242" w:rsidR="005D6C56" w:rsidRDefault="00B218FB">
      <w:pPr>
        <w:spacing w:line="360" w:lineRule="auto"/>
        <w:ind w:firstLine="709"/>
        <w:jc w:val="both"/>
        <w:rPr>
          <w:color w:val="000000" w:themeColor="text1"/>
          <w:sz w:val="24"/>
          <w:szCs w:val="24"/>
        </w:rPr>
      </w:pPr>
      <w:r w:rsidRPr="006B6552">
        <w:rPr>
          <w:color w:val="000000" w:themeColor="text1"/>
          <w:sz w:val="24"/>
          <w:szCs w:val="24"/>
        </w:rPr>
        <w:t xml:space="preserve">Na atualidade, esses processos de criminalização da pobreza encontram-se mediados pelo uso das TICs, como está sendo analisado por este estudo acerca da tecnologia de reconhecimento facial; como mencionado anteriormente, este sistema tecnológico começa a ser implementado com o objetivo declarado de “prevenir delitos” e/ou “combater o crime”, através da busca e identificação de pessoas consideradas suspeitas, segundo indicadores como: cor da pele, detecção de face coberta por óculos, barbas e tipos de cabelo, comportamentos suspeitos (mendicância, vadiagem, tempo de permanência em espaços públicos), forma de segurar o celular, vestimenta etc. Esses marcadores sociais são mencionados em diversos Editais públicos para a contratação dos sistemas informacionais, como por exemplo, no Termo de Referência </w:t>
      </w:r>
      <w:r w:rsidRPr="006B6552">
        <w:rPr>
          <w:color w:val="000000" w:themeColor="text1"/>
          <w:sz w:val="24"/>
          <w:szCs w:val="24"/>
        </w:rPr>
        <w:lastRenderedPageBreak/>
        <w:t xml:space="preserve">da Plataforma de Videomonitoramento </w:t>
      </w:r>
      <w:proofErr w:type="spellStart"/>
      <w:r w:rsidRPr="006B6552">
        <w:rPr>
          <w:i/>
          <w:color w:val="000000" w:themeColor="text1"/>
          <w:sz w:val="24"/>
          <w:szCs w:val="24"/>
        </w:rPr>
        <w:t>Smart</w:t>
      </w:r>
      <w:proofErr w:type="spellEnd"/>
      <w:r w:rsidRPr="006B6552">
        <w:rPr>
          <w:i/>
          <w:color w:val="000000" w:themeColor="text1"/>
          <w:sz w:val="24"/>
          <w:szCs w:val="24"/>
        </w:rPr>
        <w:t xml:space="preserve"> Sampa</w:t>
      </w:r>
      <w:r w:rsidRPr="006B6552">
        <w:rPr>
          <w:color w:val="000000" w:themeColor="text1"/>
          <w:sz w:val="24"/>
          <w:szCs w:val="24"/>
          <w:vertAlign w:val="superscript"/>
        </w:rPr>
        <w:footnoteReference w:id="7"/>
      </w:r>
      <w:r w:rsidRPr="006B6552">
        <w:rPr>
          <w:i/>
          <w:color w:val="000000" w:themeColor="text1"/>
          <w:sz w:val="24"/>
          <w:szCs w:val="24"/>
        </w:rPr>
        <w:t>,</w:t>
      </w:r>
      <w:r w:rsidRPr="006B6552">
        <w:rPr>
          <w:color w:val="000000" w:themeColor="text1"/>
          <w:sz w:val="24"/>
          <w:szCs w:val="24"/>
        </w:rPr>
        <w:t xml:space="preserve"> </w:t>
      </w:r>
      <w:r w:rsidR="008D1132">
        <w:rPr>
          <w:color w:val="000000" w:themeColor="text1"/>
          <w:sz w:val="24"/>
          <w:szCs w:val="24"/>
        </w:rPr>
        <w:t xml:space="preserve">mencionado anteriormente, </w:t>
      </w:r>
      <w:r w:rsidRPr="006B6552">
        <w:rPr>
          <w:color w:val="000000" w:themeColor="text1"/>
          <w:sz w:val="24"/>
          <w:szCs w:val="24"/>
        </w:rPr>
        <w:t>ou na licitação para o Sistema de Reconhecimento Facial em Pernambuco, que utilizam termos como “vadiagem” e características físicas das pessoas para fazer referência aos sujeitos considerados como potencialmente “perigosos”, que se tornam os principais alvos das capturas dessa tecnologia e das ações coercitivas e controladoras do poder público. A vinculação entre crime e cor da pele/comportamento/vestimenta etc. evidencia a intensa seletividade punitiva presente no processo de criminalização</w:t>
      </w:r>
      <w:r w:rsidR="008A6109">
        <w:rPr>
          <w:color w:val="000000" w:themeColor="text1"/>
          <w:sz w:val="24"/>
          <w:szCs w:val="24"/>
        </w:rPr>
        <w:t>; logo, é</w:t>
      </w:r>
      <w:r w:rsidRPr="006B6552">
        <w:rPr>
          <w:color w:val="000000" w:themeColor="text1"/>
          <w:sz w:val="24"/>
          <w:szCs w:val="24"/>
        </w:rPr>
        <w:t xml:space="preserve"> importante lembrar que</w:t>
      </w:r>
    </w:p>
    <w:p w14:paraId="2DD4B7AF" w14:textId="2EF32C35" w:rsidR="005D6C56" w:rsidRDefault="00B218FB" w:rsidP="000F2F9F">
      <w:pPr>
        <w:spacing w:line="240" w:lineRule="auto"/>
        <w:ind w:left="2268"/>
        <w:jc w:val="both"/>
        <w:rPr>
          <w:color w:val="000000" w:themeColor="text1"/>
          <w:sz w:val="20"/>
          <w:szCs w:val="20"/>
        </w:rPr>
      </w:pPr>
      <w:r w:rsidRPr="006B6552">
        <w:rPr>
          <w:color w:val="000000" w:themeColor="text1"/>
          <w:sz w:val="20"/>
          <w:szCs w:val="20"/>
        </w:rPr>
        <w:t>A ideia de perigo e de “classe perigosa” é uma construção social que tem como ponto de partida a definição de comportamentos, condutas e formas de ser consideradas como “desviantes” (no sentido de distantes daqueles definidos como normais) e perigosas (para as classes dominantes). Sob a justificativa da periculosidade dos setores subalternos mais empobrecidos, são definidas ações assistenciais e medidas repressivas e de controle mediadas pelo uso da violência ou pela busca de reeducar e moralizar (Pastorini, 2019, p. 83).</w:t>
      </w:r>
    </w:p>
    <w:p w14:paraId="30071729" w14:textId="77777777" w:rsidR="000F2F9F" w:rsidRPr="006B658F" w:rsidRDefault="000F2F9F" w:rsidP="000F2F9F">
      <w:pPr>
        <w:spacing w:line="360" w:lineRule="auto"/>
        <w:ind w:left="2268"/>
        <w:jc w:val="both"/>
        <w:rPr>
          <w:color w:val="000000" w:themeColor="text1"/>
          <w:sz w:val="24"/>
          <w:szCs w:val="24"/>
        </w:rPr>
      </w:pPr>
    </w:p>
    <w:p w14:paraId="549791A2" w14:textId="711C7E21" w:rsidR="005D6C56" w:rsidRPr="006B6552" w:rsidRDefault="00B218FB">
      <w:pPr>
        <w:spacing w:line="360" w:lineRule="auto"/>
        <w:ind w:firstLine="708"/>
        <w:jc w:val="both"/>
        <w:rPr>
          <w:color w:val="000000" w:themeColor="text1"/>
          <w:sz w:val="24"/>
          <w:szCs w:val="24"/>
        </w:rPr>
      </w:pPr>
      <w:r w:rsidRPr="006B6552">
        <w:rPr>
          <w:color w:val="000000" w:themeColor="text1"/>
          <w:sz w:val="24"/>
          <w:szCs w:val="24"/>
        </w:rPr>
        <w:t xml:space="preserve">No caso da segurança pública, a vigia, controle, repressão e punição se colocam como centrais no processo de construção da estratégia violenta contra as populações pauperizadas – principalmente, pessoas não brancas e moradoras da periferia – mediada, nos últimos anos, pela expansão do uso das TICs. Nesse sentido, é possível afirmar que a criminalização da pobreza e o racismo são processos intrinsecamente correlacionados </w:t>
      </w:r>
      <w:r w:rsidR="006A729F">
        <w:rPr>
          <w:color w:val="000000" w:themeColor="text1"/>
          <w:sz w:val="24"/>
          <w:szCs w:val="24"/>
        </w:rPr>
        <w:t xml:space="preserve">e </w:t>
      </w:r>
      <w:r w:rsidR="00542577">
        <w:rPr>
          <w:color w:val="000000" w:themeColor="text1"/>
          <w:sz w:val="24"/>
          <w:szCs w:val="24"/>
        </w:rPr>
        <w:t>determina</w:t>
      </w:r>
      <w:r w:rsidR="006A729F">
        <w:rPr>
          <w:color w:val="000000" w:themeColor="text1"/>
          <w:sz w:val="24"/>
          <w:szCs w:val="24"/>
        </w:rPr>
        <w:t xml:space="preserve">ntes </w:t>
      </w:r>
      <w:r w:rsidRPr="006B6552">
        <w:rPr>
          <w:color w:val="000000" w:themeColor="text1"/>
          <w:sz w:val="24"/>
          <w:szCs w:val="24"/>
        </w:rPr>
        <w:t>na sociedade brasileira</w:t>
      </w:r>
      <w:r w:rsidR="004F2F83">
        <w:rPr>
          <w:color w:val="000000" w:themeColor="text1"/>
          <w:sz w:val="24"/>
          <w:szCs w:val="24"/>
        </w:rPr>
        <w:t xml:space="preserve"> e nas políticas públicas</w:t>
      </w:r>
      <w:r w:rsidRPr="006B6552">
        <w:rPr>
          <w:color w:val="000000" w:themeColor="text1"/>
          <w:sz w:val="24"/>
          <w:szCs w:val="24"/>
        </w:rPr>
        <w:t>. Como mencionado acima, os processos de criminalização – presente na definição do crime, delito, tratamento e punições – são seletivos, uma vez que incidem de forma desproporcional sobre os sujeitos pertencentes às diferentes classes sociais e grupos étnico-raciais, reforçando práticas segregadoras, estigmatizantes e racistas. Assim, a tecnologia de reconhecimento facial, no âmbito da segurança pública, se torna uma ferramenta reprodutora de discriminação e estigmatização da população não branca (Silva, 2019).</w:t>
      </w:r>
    </w:p>
    <w:p w14:paraId="55BAE49E" w14:textId="44B0B10D" w:rsidR="005D6C56" w:rsidRPr="006B6552" w:rsidRDefault="00B218FB">
      <w:pPr>
        <w:spacing w:line="360" w:lineRule="auto"/>
        <w:ind w:firstLine="709"/>
        <w:jc w:val="both"/>
        <w:rPr>
          <w:color w:val="000000" w:themeColor="text1"/>
          <w:sz w:val="24"/>
          <w:szCs w:val="24"/>
        </w:rPr>
      </w:pPr>
      <w:r w:rsidRPr="006B6552">
        <w:rPr>
          <w:color w:val="000000" w:themeColor="text1"/>
          <w:sz w:val="24"/>
          <w:szCs w:val="24"/>
        </w:rPr>
        <w:lastRenderedPageBreak/>
        <w:t>Dados da Rede de Observatórios de Segurança</w:t>
      </w:r>
      <w:r w:rsidRPr="006B6552">
        <w:rPr>
          <w:color w:val="000000" w:themeColor="text1"/>
          <w:sz w:val="24"/>
          <w:szCs w:val="24"/>
          <w:vertAlign w:val="superscript"/>
        </w:rPr>
        <w:footnoteReference w:id="8"/>
      </w:r>
      <w:r w:rsidRPr="006B6552">
        <w:rPr>
          <w:color w:val="000000" w:themeColor="text1"/>
          <w:sz w:val="24"/>
          <w:szCs w:val="24"/>
        </w:rPr>
        <w:t xml:space="preserve"> indicam que entre março e outubro de 2019 – contexto de aumento massificado das novas tecnologias na política de segurança pública brasileira – 151 pessoas foram detidas em seis Estados após a utilização de biometria automatizada; a maioria das detenções tiveram como principal causa crimes sem violência (furtos e tráfico de pequenas quantidades de drogas), sendo que 90,5% das pessoas detidas eram negras. Essa realidade é corroborada pelos dados produzidos pelo </w:t>
      </w:r>
      <w:proofErr w:type="spellStart"/>
      <w:r w:rsidRPr="006B6552">
        <w:rPr>
          <w:color w:val="000000" w:themeColor="text1"/>
          <w:sz w:val="24"/>
          <w:szCs w:val="24"/>
        </w:rPr>
        <w:t>Condege</w:t>
      </w:r>
      <w:proofErr w:type="spellEnd"/>
      <w:r w:rsidRPr="006B6552">
        <w:rPr>
          <w:color w:val="000000" w:themeColor="text1"/>
          <w:sz w:val="24"/>
          <w:szCs w:val="24"/>
          <w:vertAlign w:val="superscript"/>
        </w:rPr>
        <w:footnoteReference w:id="9"/>
      </w:r>
      <w:r w:rsidRPr="006B6552">
        <w:rPr>
          <w:color w:val="000000" w:themeColor="text1"/>
          <w:sz w:val="24"/>
          <w:szCs w:val="24"/>
        </w:rPr>
        <w:t xml:space="preserve"> (Colégio Nacional de Defensores Públicos Gerais), que realizou um estudo em parceria com a Defensoria Pública do Rio de Janeiro (DP-RJ), indicando que, entre os anos de 2020 e 2021, 83% das pessoas presas de forma injusta e identificadas equivocadamente pelos sistemas de reconhecimento facial eram pessoas negras. Assim, estas investigações atestam a presença de vieses racistas que guiam as ações implementadas pela segurança pública, que usam a tecnologia de reconhecimento facial. Esses dados indicam as consequências do punitivismo seletivo, que é responsável</w:t>
      </w:r>
      <w:r w:rsidR="004C2DFB">
        <w:rPr>
          <w:color w:val="000000" w:themeColor="text1"/>
          <w:sz w:val="24"/>
          <w:szCs w:val="24"/>
        </w:rPr>
        <w:t xml:space="preserve"> </w:t>
      </w:r>
      <w:r w:rsidRPr="006B6552">
        <w:rPr>
          <w:color w:val="000000" w:themeColor="text1"/>
          <w:sz w:val="24"/>
          <w:szCs w:val="24"/>
        </w:rPr>
        <w:t>pelo encarceramento em massa da população não branca, alavancada pela ocorrência de falsos positivos.</w:t>
      </w:r>
    </w:p>
    <w:p w14:paraId="32A210E9" w14:textId="3720177B" w:rsidR="006B1EF5" w:rsidRPr="006B658F" w:rsidRDefault="00B218FB" w:rsidP="000F2F9F">
      <w:pPr>
        <w:spacing w:after="240" w:line="360" w:lineRule="auto"/>
        <w:ind w:firstLine="709"/>
        <w:jc w:val="both"/>
        <w:rPr>
          <w:color w:val="000000" w:themeColor="text1"/>
          <w:sz w:val="24"/>
          <w:szCs w:val="24"/>
        </w:rPr>
      </w:pPr>
      <w:r w:rsidRPr="006B6552">
        <w:rPr>
          <w:color w:val="000000" w:themeColor="text1"/>
          <w:sz w:val="24"/>
          <w:szCs w:val="24"/>
        </w:rPr>
        <w:t xml:space="preserve">Dessa forma, visando a suposta manutenção da ordem pública e da segurança, práticas de monitoramento, vigilância e controle são postas em funcionamento pelo Estado, como estratégias que almejam consolidar o projeto de </w:t>
      </w:r>
      <w:r w:rsidRPr="006B6552">
        <w:rPr>
          <w:i/>
          <w:color w:val="000000" w:themeColor="text1"/>
          <w:sz w:val="24"/>
          <w:szCs w:val="24"/>
        </w:rPr>
        <w:t>penalidade neoliberal</w:t>
      </w:r>
      <w:r w:rsidRPr="006B6552">
        <w:rPr>
          <w:color w:val="000000" w:themeColor="text1"/>
          <w:sz w:val="24"/>
          <w:szCs w:val="24"/>
        </w:rPr>
        <w:t xml:space="preserve"> que assume forma concreta através de “um conjunto de práticas, instituições e discursos relacionados à pena e, sobretudo, à pena criminal” (</w:t>
      </w:r>
      <w:proofErr w:type="spellStart"/>
      <w:r w:rsidRPr="006B6552">
        <w:rPr>
          <w:color w:val="000000" w:themeColor="text1"/>
          <w:sz w:val="24"/>
          <w:szCs w:val="24"/>
        </w:rPr>
        <w:t>Wacquant</w:t>
      </w:r>
      <w:proofErr w:type="spellEnd"/>
      <w:r w:rsidRPr="006B6552">
        <w:rPr>
          <w:color w:val="000000" w:themeColor="text1"/>
          <w:sz w:val="24"/>
          <w:szCs w:val="24"/>
        </w:rPr>
        <w:t xml:space="preserve">, 2001, p. 8). Segundo o autor, a pobreza e o desemprego que decorrem dos processos de precarização do trabalho, flexibilização, recorte dos orçamentos públicos para a área social e a ausência de política social, buscam ser enfrentados pelo reforço da lógica penal que a aponta rotineira escolha por investimentos em equipamentos repressivos e de vigia em localidades que, na maioria das vezes, não dispõem de serviços públicos </w:t>
      </w:r>
      <w:r w:rsidRPr="006B6552">
        <w:rPr>
          <w:color w:val="000000" w:themeColor="text1"/>
          <w:sz w:val="24"/>
          <w:szCs w:val="24"/>
        </w:rPr>
        <w:lastRenderedPageBreak/>
        <w:t>básicos, de políticas e programas sociais</w:t>
      </w:r>
      <w:r w:rsidRPr="006B6552">
        <w:rPr>
          <w:color w:val="000000" w:themeColor="text1"/>
          <w:sz w:val="24"/>
          <w:szCs w:val="24"/>
          <w:vertAlign w:val="superscript"/>
        </w:rPr>
        <w:footnoteReference w:id="10"/>
      </w:r>
      <w:r w:rsidRPr="006B6552">
        <w:rPr>
          <w:color w:val="000000" w:themeColor="text1"/>
          <w:sz w:val="24"/>
          <w:szCs w:val="24"/>
        </w:rPr>
        <w:t>. Esta estratégia aposta na vigia, fiscalização e controle, assim como na expansão do sistema carcerário, que encarcera grande parte da população negra e mais pauperizada. Dessa maneira, a política de encarceramento em massa se consolida como uma forma de controle e disciplinamento a essa população, tendo os jovens negros, pobres, moradores das periferias como os alvos prioritários dessa política punitiva (</w:t>
      </w:r>
      <w:proofErr w:type="spellStart"/>
      <w:r w:rsidRPr="006B6552">
        <w:rPr>
          <w:color w:val="000000" w:themeColor="text1"/>
          <w:sz w:val="24"/>
          <w:szCs w:val="24"/>
        </w:rPr>
        <w:t>Wacquant</w:t>
      </w:r>
      <w:proofErr w:type="spellEnd"/>
      <w:r w:rsidRPr="006B6552">
        <w:rPr>
          <w:color w:val="000000" w:themeColor="text1"/>
          <w:sz w:val="24"/>
          <w:szCs w:val="24"/>
        </w:rPr>
        <w:t>, 2001). Nesse sentido afirmamos que os sistemas de reconhecimento facial – que fazem uso de algoritmos – se tornam ferramentas reprodutoras de discriminações e estigmatizações que atingem a população não branca e pauperizada. Por esse motivo, concordamos com a afirmação de que</w:t>
      </w:r>
    </w:p>
    <w:p w14:paraId="597CC1FC" w14:textId="162F222E" w:rsidR="005D6C56" w:rsidRDefault="00B218FB" w:rsidP="000F2F9F">
      <w:pPr>
        <w:spacing w:line="240" w:lineRule="auto"/>
        <w:ind w:left="2268"/>
        <w:jc w:val="both"/>
        <w:rPr>
          <w:sz w:val="20"/>
          <w:szCs w:val="20"/>
        </w:rPr>
      </w:pPr>
      <w:r>
        <w:rPr>
          <w:sz w:val="20"/>
          <w:szCs w:val="20"/>
        </w:rPr>
        <w:t xml:space="preserve">o racismo algorítmico não se apresenta apenas como uma falha no sistema operacional, mas como parte estruturante dele. Não são raros os casos e relatos de racismo envolvendo algoritmos e sistemas de IA no cenário internacional, a exemplo de robôs que não conseguem ver rostos de pessoas negras, reconhecimento facial que gera falsos positivos para criminosos em rostos negros, algoritmos de alocação de recursos de saúde que punem pacientes negros [...], melhores condições para hosts brancos em aplicativos </w:t>
      </w:r>
      <w:r w:rsidRPr="006B658F">
        <w:rPr>
          <w:sz w:val="20"/>
          <w:szCs w:val="20"/>
        </w:rPr>
        <w:t>de hospedagem [...] (Kremer, 2023, p. 19-20).</w:t>
      </w:r>
    </w:p>
    <w:p w14:paraId="6E98F036" w14:textId="77777777" w:rsidR="000F2F9F" w:rsidRPr="000F2F9F" w:rsidRDefault="000F2F9F" w:rsidP="000F2F9F">
      <w:pPr>
        <w:spacing w:line="360" w:lineRule="auto"/>
        <w:ind w:left="2268"/>
        <w:jc w:val="both"/>
        <w:rPr>
          <w:sz w:val="24"/>
          <w:szCs w:val="24"/>
        </w:rPr>
      </w:pPr>
    </w:p>
    <w:p w14:paraId="5D3FEDFF" w14:textId="6CA761F8" w:rsidR="005D6C56" w:rsidRPr="006B6552" w:rsidRDefault="00B218FB" w:rsidP="0026168F">
      <w:pPr>
        <w:spacing w:line="360" w:lineRule="auto"/>
        <w:ind w:firstLine="709"/>
        <w:jc w:val="both"/>
        <w:rPr>
          <w:color w:val="000000" w:themeColor="text1"/>
          <w:sz w:val="24"/>
          <w:szCs w:val="24"/>
        </w:rPr>
      </w:pPr>
      <w:r w:rsidRPr="006B658F">
        <w:rPr>
          <w:color w:val="000000" w:themeColor="text1"/>
          <w:sz w:val="24"/>
          <w:szCs w:val="24"/>
        </w:rPr>
        <w:t>Tais</w:t>
      </w:r>
      <w:r w:rsidRPr="006B6552">
        <w:rPr>
          <w:color w:val="000000" w:themeColor="text1"/>
          <w:sz w:val="24"/>
          <w:szCs w:val="24"/>
        </w:rPr>
        <w:t xml:space="preserve"> exemplos, mencionados pela autora acima referenciada, indicam que falar em raça implica considerar as relações de poder, “afinal, raça [e a classificação racial] é um argumento político utilizado historicamente para naturalizar desigualdades e legitimar a segregação e o genocídio de grupos sociologicamente considerados minoritários [e inferiores]” (Idem, p. 20).</w:t>
      </w:r>
      <w:r w:rsidR="0026168F">
        <w:rPr>
          <w:color w:val="000000" w:themeColor="text1"/>
          <w:sz w:val="24"/>
          <w:szCs w:val="24"/>
        </w:rPr>
        <w:t xml:space="preserve"> </w:t>
      </w:r>
      <w:r w:rsidRPr="006B6552">
        <w:rPr>
          <w:color w:val="000000" w:themeColor="text1"/>
          <w:sz w:val="24"/>
          <w:szCs w:val="24"/>
        </w:rPr>
        <w:t xml:space="preserve">Também, a utilização de tecnologias de vigilância e monitoramento em espaços públicos – que podem ser definidos como espaços abertos, de livre acesso e circulação, de utilização coletiva pelos indivíduos – interfere no direito de ir e vir e na privacidade dos sujeitos, uma vez que impõe a </w:t>
      </w:r>
      <w:r w:rsidRPr="006B6552">
        <w:rPr>
          <w:color w:val="000000" w:themeColor="text1"/>
          <w:sz w:val="24"/>
          <w:szCs w:val="24"/>
        </w:rPr>
        <w:lastRenderedPageBreak/>
        <w:t>vigilância da circulação, do acesso, do uso e dos comportamentos dos indivíduos de forma não-consentida, propiciando, dessa forma, uma violação dos direitos dos cidadãos.</w:t>
      </w:r>
    </w:p>
    <w:p w14:paraId="789A35C3" w14:textId="77777777" w:rsidR="005D6C56" w:rsidRPr="006B6552" w:rsidRDefault="005D6C56">
      <w:pPr>
        <w:spacing w:line="360" w:lineRule="auto"/>
        <w:jc w:val="both"/>
        <w:rPr>
          <w:color w:val="000000" w:themeColor="text1"/>
          <w:sz w:val="24"/>
          <w:szCs w:val="24"/>
        </w:rPr>
      </w:pPr>
    </w:p>
    <w:p w14:paraId="4F0D69C8" w14:textId="77777777" w:rsidR="005D6C56" w:rsidRPr="006B6552" w:rsidRDefault="00B218FB">
      <w:pPr>
        <w:spacing w:line="360" w:lineRule="auto"/>
        <w:jc w:val="both"/>
        <w:rPr>
          <w:color w:val="000000" w:themeColor="text1"/>
          <w:sz w:val="24"/>
          <w:szCs w:val="24"/>
        </w:rPr>
      </w:pPr>
      <w:r w:rsidRPr="006B6552">
        <w:rPr>
          <w:b/>
          <w:color w:val="000000" w:themeColor="text1"/>
          <w:sz w:val="24"/>
          <w:szCs w:val="24"/>
        </w:rPr>
        <w:t>3</w:t>
      </w:r>
      <w:r w:rsidRPr="006B6552">
        <w:rPr>
          <w:b/>
          <w:color w:val="000000" w:themeColor="text1"/>
          <w:sz w:val="24"/>
          <w:szCs w:val="24"/>
        </w:rPr>
        <w:tab/>
        <w:t>CONCLUSÃO</w:t>
      </w:r>
    </w:p>
    <w:p w14:paraId="50A005E1" w14:textId="77777777" w:rsidR="005D6C56" w:rsidRPr="006B6552" w:rsidRDefault="005D6C56">
      <w:pPr>
        <w:spacing w:line="360" w:lineRule="auto"/>
        <w:jc w:val="both"/>
        <w:rPr>
          <w:color w:val="000000" w:themeColor="text1"/>
          <w:sz w:val="24"/>
          <w:szCs w:val="24"/>
        </w:rPr>
      </w:pPr>
    </w:p>
    <w:p w14:paraId="260E7BFB" w14:textId="2CB2A0A1" w:rsidR="005D6C56" w:rsidRPr="006B6552" w:rsidRDefault="00B218FB">
      <w:pPr>
        <w:spacing w:line="360" w:lineRule="auto"/>
        <w:ind w:firstLine="720"/>
        <w:jc w:val="both"/>
        <w:rPr>
          <w:color w:val="000000" w:themeColor="text1"/>
          <w:sz w:val="24"/>
          <w:szCs w:val="24"/>
        </w:rPr>
      </w:pPr>
      <w:r w:rsidRPr="006B6552">
        <w:rPr>
          <w:color w:val="000000" w:themeColor="text1"/>
          <w:sz w:val="24"/>
          <w:szCs w:val="24"/>
        </w:rPr>
        <w:t xml:space="preserve">As reflexões expostas neste trabalho permitem afirmar que a ampliação do uso das tecnologias de informação e comunicação na política de segurança pública faz parte do processo de reforma do Estado brasileiro, em curso desde a década de 1990; também é possível constatar o protagonismo das TICs em outros âmbitos </w:t>
      </w:r>
      <w:r w:rsidR="006B6552" w:rsidRPr="006B6552">
        <w:rPr>
          <w:color w:val="000000" w:themeColor="text1"/>
          <w:sz w:val="24"/>
          <w:szCs w:val="24"/>
        </w:rPr>
        <w:t>públicos, como</w:t>
      </w:r>
      <w:r w:rsidRPr="006B6552">
        <w:rPr>
          <w:color w:val="000000" w:themeColor="text1"/>
          <w:sz w:val="24"/>
          <w:szCs w:val="24"/>
        </w:rPr>
        <w:t xml:space="preserve"> nas políticas de assistência social, saúde, previdência, educação etc.</w:t>
      </w:r>
    </w:p>
    <w:p w14:paraId="14B70D99" w14:textId="145EFA53" w:rsidR="005D6C56" w:rsidRPr="006B6552" w:rsidRDefault="00B218FB">
      <w:pPr>
        <w:spacing w:line="360" w:lineRule="auto"/>
        <w:ind w:firstLine="720"/>
        <w:jc w:val="both"/>
        <w:rPr>
          <w:color w:val="000000" w:themeColor="text1"/>
          <w:sz w:val="24"/>
          <w:szCs w:val="24"/>
        </w:rPr>
      </w:pPr>
      <w:r w:rsidRPr="006B6552">
        <w:rPr>
          <w:color w:val="000000" w:themeColor="text1"/>
          <w:sz w:val="24"/>
          <w:szCs w:val="24"/>
        </w:rPr>
        <w:t xml:space="preserve">Entretanto, no caso da segurança pública, as TICs e, especialmente, o reconhecimento facial, vêm sendo utilizadas como importantes instrumentos de vigilância, fiscalização e controle dos setores mais pauperizados, potencializando as marcas históricas da formação social brasileira como: a violência, autoritarismo, discriminação racial e de gênero, contribuindo para reforçar práticas e ações de cunho </w:t>
      </w:r>
      <w:proofErr w:type="spellStart"/>
      <w:r w:rsidRPr="006B6552">
        <w:rPr>
          <w:color w:val="000000" w:themeColor="text1"/>
          <w:sz w:val="24"/>
          <w:szCs w:val="24"/>
        </w:rPr>
        <w:t>criminalizador</w:t>
      </w:r>
      <w:proofErr w:type="spellEnd"/>
      <w:r w:rsidRPr="006B6552">
        <w:rPr>
          <w:color w:val="000000" w:themeColor="text1"/>
          <w:sz w:val="24"/>
          <w:szCs w:val="24"/>
        </w:rPr>
        <w:t>, cercadas de punitivismo seletivo que assumem cada vez maior centralidade. Embora as TICs sejam incorporadas sob a justificativa da redução da violência e aumento proteção à população, sua utilização fortifica discriminações, estigmatizações e práticas racistas, contribuindo para o aumento da violência na sociedade.</w:t>
      </w:r>
    </w:p>
    <w:p w14:paraId="4D917003" w14:textId="7F89FF77" w:rsidR="005D6C56" w:rsidRPr="006B6552" w:rsidRDefault="00B218FB">
      <w:pPr>
        <w:spacing w:line="360" w:lineRule="auto"/>
        <w:ind w:firstLine="720"/>
        <w:jc w:val="both"/>
        <w:rPr>
          <w:color w:val="000000" w:themeColor="text1"/>
          <w:sz w:val="24"/>
          <w:szCs w:val="24"/>
        </w:rPr>
      </w:pPr>
      <w:r w:rsidRPr="006B6552">
        <w:rPr>
          <w:color w:val="000000" w:themeColor="text1"/>
          <w:sz w:val="24"/>
          <w:szCs w:val="24"/>
        </w:rPr>
        <w:t>Reafirmamos que a utilização da tecnologia de reconhecimento facial na segurança pública, mediada pelo uso de algoritmos, evidencia os vieses estigmatizadores envolvidos nas suas práticas, uma vez que estas tecnologias são construídas, operacionalizadas e geridas por sujeitos inseridos em uma sociedade atravessada por contradições sociais</w:t>
      </w:r>
      <w:r w:rsidR="00526772">
        <w:rPr>
          <w:color w:val="000000" w:themeColor="text1"/>
          <w:sz w:val="24"/>
          <w:szCs w:val="24"/>
        </w:rPr>
        <w:t xml:space="preserve"> </w:t>
      </w:r>
      <w:r w:rsidRPr="006B6552">
        <w:rPr>
          <w:color w:val="000000" w:themeColor="text1"/>
          <w:sz w:val="24"/>
          <w:szCs w:val="24"/>
        </w:rPr>
        <w:t>e preconceitos. Dessa forma, as ações dos sujeitos não podem ser entendidas como puramente técnicas e neutras, e nem as TICs livres de interferência humana, pelo contrário, elas expressam intenções, interesses e projetos de sociedade.</w:t>
      </w:r>
    </w:p>
    <w:p w14:paraId="3F39879E" w14:textId="77777777" w:rsidR="005D6C56" w:rsidRDefault="005D6C56">
      <w:pPr>
        <w:spacing w:line="360" w:lineRule="auto"/>
        <w:rPr>
          <w:b/>
          <w:sz w:val="24"/>
          <w:szCs w:val="24"/>
        </w:rPr>
      </w:pPr>
    </w:p>
    <w:p w14:paraId="1D14814E" w14:textId="77777777" w:rsidR="005D6C56" w:rsidRDefault="00B218FB">
      <w:pPr>
        <w:spacing w:line="360" w:lineRule="auto"/>
        <w:rPr>
          <w:sz w:val="24"/>
          <w:szCs w:val="24"/>
        </w:rPr>
      </w:pPr>
      <w:r>
        <w:rPr>
          <w:b/>
          <w:sz w:val="24"/>
          <w:szCs w:val="24"/>
        </w:rPr>
        <w:t>REFERÊNCIAS</w:t>
      </w:r>
    </w:p>
    <w:p w14:paraId="36B15D0F" w14:textId="77777777" w:rsidR="005D6C56" w:rsidRDefault="005D6C56">
      <w:pPr>
        <w:spacing w:line="240" w:lineRule="auto"/>
        <w:jc w:val="both"/>
        <w:rPr>
          <w:sz w:val="24"/>
          <w:szCs w:val="24"/>
        </w:rPr>
      </w:pPr>
    </w:p>
    <w:p w14:paraId="4D4BEC7A" w14:textId="77777777" w:rsidR="005D6C56" w:rsidRDefault="00B218FB">
      <w:pPr>
        <w:spacing w:line="240" w:lineRule="auto"/>
        <w:jc w:val="both"/>
        <w:rPr>
          <w:sz w:val="24"/>
          <w:szCs w:val="24"/>
        </w:rPr>
      </w:pPr>
      <w:r>
        <w:rPr>
          <w:sz w:val="24"/>
          <w:szCs w:val="24"/>
        </w:rPr>
        <w:t xml:space="preserve">BARATTA, A. </w:t>
      </w:r>
      <w:r>
        <w:rPr>
          <w:b/>
          <w:sz w:val="24"/>
          <w:szCs w:val="24"/>
        </w:rPr>
        <w:t>Criminologia Crítica e Crítica do Direito Penal</w:t>
      </w:r>
      <w:r>
        <w:rPr>
          <w:sz w:val="24"/>
          <w:szCs w:val="24"/>
        </w:rPr>
        <w:t>. Rio de Janeiro: Revan, 2016.</w:t>
      </w:r>
    </w:p>
    <w:p w14:paraId="74BBF0F7" w14:textId="77777777" w:rsidR="005D6C56" w:rsidRDefault="005D6C56">
      <w:pPr>
        <w:spacing w:line="240" w:lineRule="auto"/>
        <w:jc w:val="both"/>
        <w:rPr>
          <w:sz w:val="24"/>
          <w:szCs w:val="24"/>
        </w:rPr>
      </w:pPr>
    </w:p>
    <w:p w14:paraId="69181C1A" w14:textId="77777777" w:rsidR="005D6C56" w:rsidRDefault="00B218FB">
      <w:pPr>
        <w:spacing w:line="240" w:lineRule="auto"/>
        <w:jc w:val="both"/>
        <w:rPr>
          <w:sz w:val="24"/>
          <w:szCs w:val="24"/>
        </w:rPr>
      </w:pPr>
      <w:r>
        <w:rPr>
          <w:sz w:val="24"/>
          <w:szCs w:val="24"/>
        </w:rPr>
        <w:t xml:space="preserve">DUARTE, D. E.; CEIA, E. M. </w:t>
      </w:r>
      <w:r>
        <w:rPr>
          <w:b/>
          <w:sz w:val="24"/>
          <w:szCs w:val="24"/>
        </w:rPr>
        <w:t>Tecnologia, Segurança e Direitos:</w:t>
      </w:r>
      <w:r>
        <w:rPr>
          <w:sz w:val="24"/>
          <w:szCs w:val="24"/>
        </w:rPr>
        <w:t xml:space="preserve"> Os usos e riscos de sistemas de reconhecimento facial no Brasil. Rio de Janeiro: Konrad Adenauer </w:t>
      </w:r>
      <w:proofErr w:type="spellStart"/>
      <w:r>
        <w:rPr>
          <w:sz w:val="24"/>
          <w:szCs w:val="24"/>
        </w:rPr>
        <w:t>Stiftung</w:t>
      </w:r>
      <w:proofErr w:type="spellEnd"/>
      <w:r>
        <w:rPr>
          <w:sz w:val="24"/>
          <w:szCs w:val="24"/>
        </w:rPr>
        <w:t>, 2022.</w:t>
      </w:r>
    </w:p>
    <w:p w14:paraId="5CFB12B2" w14:textId="77777777" w:rsidR="005D6C56" w:rsidRDefault="005D6C56">
      <w:pPr>
        <w:spacing w:line="240" w:lineRule="auto"/>
        <w:jc w:val="both"/>
        <w:rPr>
          <w:sz w:val="24"/>
          <w:szCs w:val="24"/>
        </w:rPr>
      </w:pPr>
    </w:p>
    <w:p w14:paraId="27091D2B" w14:textId="77777777" w:rsidR="005D6C56" w:rsidRDefault="00B218FB">
      <w:pPr>
        <w:spacing w:line="240" w:lineRule="auto"/>
        <w:rPr>
          <w:sz w:val="24"/>
          <w:szCs w:val="24"/>
        </w:rPr>
      </w:pPr>
      <w:r>
        <w:rPr>
          <w:sz w:val="24"/>
          <w:szCs w:val="24"/>
        </w:rPr>
        <w:t xml:space="preserve">FONTES, A. C.; LÜTGE, C. Vigilância e Relações de Poder: O Uso de Tecnologias de Reconhecimento Facial e Identificação Biométrica a Distância em Espaço Público e Impactos na Vida Pública. </w:t>
      </w:r>
      <w:r>
        <w:rPr>
          <w:b/>
          <w:sz w:val="24"/>
          <w:szCs w:val="24"/>
        </w:rPr>
        <w:t>Direito Público</w:t>
      </w:r>
      <w:r>
        <w:rPr>
          <w:sz w:val="24"/>
          <w:szCs w:val="24"/>
        </w:rPr>
        <w:t>, [S. l.], v. 18, n. 100, 2021. Disponível em: https://www.portaldeperiodicos.idp.edu.br/direitopublico/article/view/6203. Acesso em: 15 jun. 2024.</w:t>
      </w:r>
    </w:p>
    <w:p w14:paraId="23B0C0AE" w14:textId="77777777" w:rsidR="005D6C56" w:rsidRDefault="005D6C56">
      <w:pPr>
        <w:spacing w:line="240" w:lineRule="auto"/>
        <w:rPr>
          <w:sz w:val="24"/>
          <w:szCs w:val="24"/>
        </w:rPr>
      </w:pPr>
    </w:p>
    <w:p w14:paraId="4EDCA6AE" w14:textId="77777777" w:rsidR="005D6C56" w:rsidRDefault="00B218FB">
      <w:pPr>
        <w:spacing w:line="240" w:lineRule="auto"/>
        <w:rPr>
          <w:sz w:val="24"/>
          <w:szCs w:val="24"/>
        </w:rPr>
      </w:pPr>
      <w:r>
        <w:rPr>
          <w:sz w:val="24"/>
          <w:szCs w:val="24"/>
        </w:rPr>
        <w:t xml:space="preserve">KREMER, B. </w:t>
      </w:r>
      <w:r>
        <w:rPr>
          <w:b/>
          <w:sz w:val="24"/>
          <w:szCs w:val="24"/>
        </w:rPr>
        <w:t>Racismo algorítmico</w:t>
      </w:r>
      <w:r>
        <w:rPr>
          <w:sz w:val="24"/>
          <w:szCs w:val="24"/>
        </w:rPr>
        <w:t xml:space="preserve">. Rio de Janeiro: </w:t>
      </w:r>
      <w:proofErr w:type="spellStart"/>
      <w:r>
        <w:rPr>
          <w:sz w:val="24"/>
          <w:szCs w:val="24"/>
        </w:rPr>
        <w:t>CESeC</w:t>
      </w:r>
      <w:proofErr w:type="spellEnd"/>
      <w:r>
        <w:rPr>
          <w:sz w:val="24"/>
          <w:szCs w:val="24"/>
        </w:rPr>
        <w:t>, 2023.</w:t>
      </w:r>
    </w:p>
    <w:p w14:paraId="01F34864" w14:textId="77777777" w:rsidR="005D6C56" w:rsidRDefault="005D6C56">
      <w:pPr>
        <w:spacing w:line="240" w:lineRule="auto"/>
        <w:rPr>
          <w:sz w:val="24"/>
          <w:szCs w:val="24"/>
        </w:rPr>
      </w:pPr>
    </w:p>
    <w:p w14:paraId="6D2CDC5F" w14:textId="77777777" w:rsidR="005D6C56" w:rsidRDefault="00B218FB">
      <w:pPr>
        <w:spacing w:line="240" w:lineRule="auto"/>
        <w:rPr>
          <w:sz w:val="24"/>
          <w:szCs w:val="24"/>
        </w:rPr>
      </w:pPr>
      <w:r>
        <w:rPr>
          <w:sz w:val="24"/>
          <w:szCs w:val="24"/>
        </w:rPr>
        <w:t xml:space="preserve">O PANÓPTICO. </w:t>
      </w:r>
      <w:r>
        <w:rPr>
          <w:b/>
          <w:sz w:val="24"/>
          <w:szCs w:val="24"/>
        </w:rPr>
        <w:t>O Sertão Vai Virar Mar</w:t>
      </w:r>
      <w:r>
        <w:rPr>
          <w:sz w:val="24"/>
          <w:szCs w:val="24"/>
        </w:rPr>
        <w:t xml:space="preserve">: Expansão do Reconhecimento Facial na Bahia. Disponível em: </w:t>
      </w:r>
      <w:hyperlink r:id="rId7">
        <w:r w:rsidR="005D6C56">
          <w:rPr>
            <w:color w:val="467886"/>
            <w:sz w:val="24"/>
            <w:szCs w:val="24"/>
            <w:u w:val="single"/>
          </w:rPr>
          <w:t>https://cesecseguranca.com.br/livro/o-sertao-vai-virar-mar-expansao-do-reconhecimento-facial-na-bahia</w:t>
        </w:r>
      </w:hyperlink>
      <w:r>
        <w:rPr>
          <w:sz w:val="24"/>
          <w:szCs w:val="24"/>
        </w:rPr>
        <w:t>, 2023. Acesso em: 15 junho 2024.</w:t>
      </w:r>
    </w:p>
    <w:p w14:paraId="6D0F239E" w14:textId="77777777" w:rsidR="005D6C56" w:rsidRDefault="005D6C56">
      <w:pPr>
        <w:spacing w:line="240" w:lineRule="auto"/>
        <w:rPr>
          <w:sz w:val="24"/>
          <w:szCs w:val="24"/>
        </w:rPr>
      </w:pPr>
    </w:p>
    <w:p w14:paraId="78D665F2" w14:textId="77777777" w:rsidR="005D6C56" w:rsidRDefault="00B218FB">
      <w:pPr>
        <w:spacing w:line="240" w:lineRule="auto"/>
        <w:rPr>
          <w:sz w:val="24"/>
          <w:szCs w:val="24"/>
        </w:rPr>
      </w:pPr>
      <w:r>
        <w:rPr>
          <w:sz w:val="24"/>
          <w:szCs w:val="24"/>
        </w:rPr>
        <w:t xml:space="preserve">______ </w:t>
      </w:r>
      <w:r>
        <w:rPr>
          <w:b/>
          <w:sz w:val="24"/>
          <w:szCs w:val="24"/>
        </w:rPr>
        <w:t>Esportes, Dados e Direitos</w:t>
      </w:r>
      <w:r>
        <w:rPr>
          <w:sz w:val="24"/>
          <w:szCs w:val="24"/>
        </w:rPr>
        <w:t xml:space="preserve">: o uso de reconhecimento facial nos estádios brasileiros. Disponível em: </w:t>
      </w:r>
      <w:hyperlink r:id="rId8">
        <w:r w:rsidR="005D6C56">
          <w:rPr>
            <w:color w:val="467886"/>
            <w:sz w:val="24"/>
            <w:szCs w:val="24"/>
            <w:u w:val="single"/>
          </w:rPr>
          <w:t>https://nucleo.jor.br/content/files/2024/08/Esporte--Dados-e-Direitos-O-uso-de-reconhecimento-facial-nos-est-dios-brasileiros.pdf</w:t>
        </w:r>
      </w:hyperlink>
      <w:r>
        <w:rPr>
          <w:sz w:val="24"/>
          <w:szCs w:val="24"/>
        </w:rPr>
        <w:t>, 2024. Acesso em: 15 de junho de 2024.</w:t>
      </w:r>
    </w:p>
    <w:p w14:paraId="5411F75D" w14:textId="77777777" w:rsidR="005D6C56" w:rsidRDefault="005D6C56">
      <w:pPr>
        <w:spacing w:line="240" w:lineRule="auto"/>
        <w:rPr>
          <w:sz w:val="24"/>
          <w:szCs w:val="24"/>
        </w:rPr>
      </w:pPr>
    </w:p>
    <w:p w14:paraId="504B8DC4" w14:textId="77777777" w:rsidR="005D6C56" w:rsidRDefault="00B218FB">
      <w:pPr>
        <w:spacing w:line="240" w:lineRule="auto"/>
        <w:jc w:val="both"/>
        <w:rPr>
          <w:sz w:val="24"/>
          <w:szCs w:val="24"/>
        </w:rPr>
      </w:pPr>
      <w:r>
        <w:rPr>
          <w:sz w:val="24"/>
          <w:szCs w:val="24"/>
        </w:rPr>
        <w:t xml:space="preserve">______. </w:t>
      </w:r>
      <w:r>
        <w:rPr>
          <w:b/>
          <w:sz w:val="24"/>
          <w:szCs w:val="24"/>
        </w:rPr>
        <w:t>Mapeando a vigilância biométrica</w:t>
      </w:r>
      <w:r>
        <w:rPr>
          <w:sz w:val="24"/>
          <w:szCs w:val="24"/>
        </w:rPr>
        <w:t xml:space="preserve">: levantamento nacional sobre o uso do reconhecimento facial na segurança pública. Disponível em: </w:t>
      </w:r>
      <w:hyperlink r:id="rId9">
        <w:r w:rsidR="005D6C56">
          <w:rPr>
            <w:color w:val="467886"/>
            <w:sz w:val="24"/>
            <w:szCs w:val="24"/>
            <w:u w:val="single"/>
          </w:rPr>
          <w:t>https://direitoshumanos.dpu.def.br/wp-content/uploads/2025/05/CESeC__DPU_Mapeando_a_vigilancia_biometrica.pdf</w:t>
        </w:r>
      </w:hyperlink>
      <w:r>
        <w:rPr>
          <w:sz w:val="24"/>
          <w:szCs w:val="24"/>
        </w:rPr>
        <w:t>, 2025. Acesso em: 15 de junho de 2024.</w:t>
      </w:r>
    </w:p>
    <w:p w14:paraId="7D8A7004" w14:textId="77777777" w:rsidR="005D6C56" w:rsidRDefault="005D6C56">
      <w:pPr>
        <w:spacing w:line="240" w:lineRule="auto"/>
        <w:rPr>
          <w:sz w:val="24"/>
          <w:szCs w:val="24"/>
        </w:rPr>
      </w:pPr>
    </w:p>
    <w:p w14:paraId="42F84529" w14:textId="77777777" w:rsidR="005D6C56" w:rsidRDefault="00B218FB">
      <w:pPr>
        <w:spacing w:line="240" w:lineRule="auto"/>
        <w:jc w:val="both"/>
        <w:rPr>
          <w:sz w:val="24"/>
          <w:szCs w:val="24"/>
        </w:rPr>
      </w:pPr>
      <w:r>
        <w:rPr>
          <w:sz w:val="24"/>
          <w:szCs w:val="24"/>
        </w:rPr>
        <w:t xml:space="preserve">PASTORINI, A. Criminalização e Administração da questão social no Brasil. In: </w:t>
      </w:r>
      <w:proofErr w:type="spellStart"/>
      <w:r>
        <w:rPr>
          <w:sz w:val="24"/>
          <w:szCs w:val="24"/>
        </w:rPr>
        <w:t>Montaño</w:t>
      </w:r>
      <w:proofErr w:type="spellEnd"/>
      <w:r>
        <w:rPr>
          <w:sz w:val="24"/>
          <w:szCs w:val="24"/>
        </w:rPr>
        <w:t xml:space="preserve">, C.; Leite, J.L; Guerra, Y. (Org.). </w:t>
      </w:r>
      <w:r>
        <w:rPr>
          <w:b/>
          <w:sz w:val="24"/>
          <w:szCs w:val="24"/>
        </w:rPr>
        <w:t>Expressões da ofensiva ultraconservadora na conjuntura contemporânea</w:t>
      </w:r>
      <w:r>
        <w:rPr>
          <w:sz w:val="24"/>
          <w:szCs w:val="24"/>
        </w:rPr>
        <w:t>. Rio de Janeiro: Editora UFRJ, 2019.</w:t>
      </w:r>
    </w:p>
    <w:p w14:paraId="49820B8A" w14:textId="77777777" w:rsidR="005D6C56" w:rsidRDefault="005D6C56">
      <w:pPr>
        <w:spacing w:line="240" w:lineRule="auto"/>
        <w:jc w:val="both"/>
        <w:rPr>
          <w:sz w:val="24"/>
          <w:szCs w:val="24"/>
        </w:rPr>
      </w:pPr>
    </w:p>
    <w:p w14:paraId="1D017837" w14:textId="77777777" w:rsidR="005D6C56" w:rsidRDefault="00B218FB">
      <w:pPr>
        <w:spacing w:line="240" w:lineRule="auto"/>
        <w:jc w:val="both"/>
        <w:rPr>
          <w:sz w:val="24"/>
          <w:szCs w:val="24"/>
        </w:rPr>
      </w:pPr>
      <w:r>
        <w:rPr>
          <w:sz w:val="24"/>
          <w:szCs w:val="24"/>
        </w:rPr>
        <w:t xml:space="preserve">SILVA, </w:t>
      </w:r>
      <w:proofErr w:type="spellStart"/>
      <w:r>
        <w:rPr>
          <w:sz w:val="24"/>
          <w:szCs w:val="24"/>
        </w:rPr>
        <w:t>Tarcízio</w:t>
      </w:r>
      <w:proofErr w:type="spellEnd"/>
      <w:r>
        <w:rPr>
          <w:sz w:val="24"/>
          <w:szCs w:val="24"/>
        </w:rPr>
        <w:t xml:space="preserve">. Visão computacional e racismo algorítmico: branquitude e opacidade no aprendizado de máquina. </w:t>
      </w:r>
      <w:r>
        <w:rPr>
          <w:b/>
          <w:sz w:val="24"/>
          <w:szCs w:val="24"/>
        </w:rPr>
        <w:t>Revista ABPN</w:t>
      </w:r>
      <w:r>
        <w:rPr>
          <w:sz w:val="24"/>
          <w:szCs w:val="24"/>
        </w:rPr>
        <w:t>, vol. 12 n 31, p.428-448, dez. 2019.</w:t>
      </w:r>
    </w:p>
    <w:p w14:paraId="5C6D899B" w14:textId="77777777" w:rsidR="005D6C56" w:rsidRDefault="005D6C56">
      <w:pPr>
        <w:spacing w:line="240" w:lineRule="auto"/>
        <w:jc w:val="both"/>
        <w:rPr>
          <w:sz w:val="24"/>
          <w:szCs w:val="24"/>
        </w:rPr>
      </w:pPr>
    </w:p>
    <w:p w14:paraId="7144DEEA" w14:textId="77777777" w:rsidR="005D6C56" w:rsidRDefault="00B218FB">
      <w:pPr>
        <w:spacing w:line="240" w:lineRule="auto"/>
        <w:jc w:val="both"/>
        <w:rPr>
          <w:sz w:val="24"/>
          <w:szCs w:val="24"/>
        </w:rPr>
      </w:pPr>
      <w:r>
        <w:rPr>
          <w:sz w:val="24"/>
          <w:szCs w:val="24"/>
        </w:rPr>
        <w:t xml:space="preserve">WACQUANT, </w:t>
      </w:r>
      <w:proofErr w:type="spellStart"/>
      <w:r>
        <w:rPr>
          <w:sz w:val="24"/>
          <w:szCs w:val="24"/>
        </w:rPr>
        <w:t>Loïc</w:t>
      </w:r>
      <w:proofErr w:type="spellEnd"/>
      <w:r>
        <w:rPr>
          <w:sz w:val="24"/>
          <w:szCs w:val="24"/>
        </w:rPr>
        <w:t xml:space="preserve">. </w:t>
      </w:r>
      <w:r>
        <w:rPr>
          <w:b/>
          <w:sz w:val="24"/>
          <w:szCs w:val="24"/>
        </w:rPr>
        <w:t>As Prisões da Miséria</w:t>
      </w:r>
      <w:r>
        <w:rPr>
          <w:sz w:val="24"/>
          <w:szCs w:val="24"/>
        </w:rPr>
        <w:t>. Rio de Janeiro: Jorge Zahar, 2001.</w:t>
      </w:r>
    </w:p>
    <w:sectPr w:rsidR="005D6C56">
      <w:headerReference w:type="default" r:id="rId10"/>
      <w:footerReference w:type="default" r:id="rId11"/>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A168E" w14:textId="77777777" w:rsidR="001D312C" w:rsidRDefault="001D312C">
      <w:pPr>
        <w:spacing w:line="240" w:lineRule="auto"/>
      </w:pPr>
      <w:r>
        <w:separator/>
      </w:r>
    </w:p>
  </w:endnote>
  <w:endnote w:type="continuationSeparator" w:id="0">
    <w:p w14:paraId="7B231228" w14:textId="77777777" w:rsidR="001D312C" w:rsidRDefault="001D31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169713"/>
      <w:placeholder>
        <w:docPart w:val="EF4C3527FC8D4F03BC5BD72BFBF76597"/>
      </w:placeholder>
      <w:temporary/>
      <w:showingPlcHdr/>
      <w15:appearance w15:val="hidden"/>
    </w:sdtPr>
    <w:sdtEndPr/>
    <w:sdtContent>
      <w:p w14:paraId="06D73EB0" w14:textId="77777777" w:rsidR="007E5E7F" w:rsidRDefault="007E5E7F">
        <w:pPr>
          <w:pStyle w:val="Rodap"/>
        </w:pPr>
        <w:r>
          <w:t>[Digite aqui]</w:t>
        </w:r>
      </w:p>
    </w:sdtContent>
  </w:sdt>
  <w:p w14:paraId="23FDD0F3" w14:textId="77777777" w:rsidR="007E5E7F" w:rsidRDefault="007E5E7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75995" w14:textId="77777777" w:rsidR="001D312C" w:rsidRDefault="001D312C">
      <w:pPr>
        <w:spacing w:line="240" w:lineRule="auto"/>
      </w:pPr>
      <w:r>
        <w:separator/>
      </w:r>
    </w:p>
  </w:footnote>
  <w:footnote w:type="continuationSeparator" w:id="0">
    <w:p w14:paraId="5CB46CA8" w14:textId="77777777" w:rsidR="001D312C" w:rsidRDefault="001D312C">
      <w:pPr>
        <w:spacing w:line="240" w:lineRule="auto"/>
      </w:pPr>
      <w:r>
        <w:continuationSeparator/>
      </w:r>
    </w:p>
  </w:footnote>
  <w:footnote w:id="1">
    <w:p w14:paraId="536C0B88" w14:textId="1590B3FE" w:rsidR="008C3E3E" w:rsidRDefault="008C3E3E" w:rsidP="00427962">
      <w:pPr>
        <w:pStyle w:val="Textodenotaderodap"/>
        <w:jc w:val="both"/>
      </w:pPr>
      <w:r>
        <w:rPr>
          <w:rStyle w:val="Refdenotaderodap"/>
        </w:rPr>
        <w:footnoteRef/>
      </w:r>
      <w:r>
        <w:t xml:space="preserve"> </w:t>
      </w:r>
      <w:r w:rsidR="0018554F">
        <w:t>Universidade Federal do Rio de Janeiro. Professora da ESS. Doutora em Serviço Social</w:t>
      </w:r>
      <w:r w:rsidR="005E3B8E">
        <w:t>. alejandrapastorini@gmail.com</w:t>
      </w:r>
    </w:p>
  </w:footnote>
  <w:footnote w:id="2">
    <w:p w14:paraId="1F59DB45" w14:textId="08D6AF75" w:rsidR="008C3E3E" w:rsidRDefault="008C3E3E" w:rsidP="00427962">
      <w:pPr>
        <w:pStyle w:val="Textodenotaderodap"/>
        <w:jc w:val="both"/>
      </w:pPr>
      <w:r>
        <w:rPr>
          <w:rStyle w:val="Refdenotaderodap"/>
        </w:rPr>
        <w:footnoteRef/>
      </w:r>
      <w:r>
        <w:t xml:space="preserve"> </w:t>
      </w:r>
      <w:r w:rsidR="00C85203">
        <w:t xml:space="preserve">Centro de Saúde PAM Cavalcanti. Assistente Social. Doutora em Serviço Social. </w:t>
      </w:r>
      <w:r w:rsidR="000803A2">
        <w:t>fwgf20@gmail.com</w:t>
      </w:r>
    </w:p>
  </w:footnote>
  <w:footnote w:id="3">
    <w:p w14:paraId="7971BC5B" w14:textId="2A7E4261" w:rsidR="00E41EAB" w:rsidRDefault="00E41EAB" w:rsidP="00427962">
      <w:pPr>
        <w:pStyle w:val="Textodenotaderodap"/>
        <w:jc w:val="both"/>
      </w:pPr>
      <w:r>
        <w:rPr>
          <w:rStyle w:val="Refdenotaderodap"/>
        </w:rPr>
        <w:footnoteRef/>
      </w:r>
      <w:r>
        <w:t xml:space="preserve"> </w:t>
      </w:r>
      <w:r w:rsidR="000803A2">
        <w:t>Universidade Federal do Rio de Janeiro</w:t>
      </w:r>
      <w:r w:rsidR="006667D9">
        <w:t>. Bacharela em Serviço Social. karentalyssa4@gmail.com</w:t>
      </w:r>
    </w:p>
  </w:footnote>
  <w:footnote w:id="4">
    <w:p w14:paraId="74494F9B" w14:textId="00562442" w:rsidR="00E41EAB" w:rsidRDefault="00E41EAB" w:rsidP="00427962">
      <w:pPr>
        <w:pStyle w:val="Textodenotaderodap"/>
        <w:jc w:val="both"/>
      </w:pPr>
      <w:r>
        <w:rPr>
          <w:rStyle w:val="Refdenotaderodap"/>
        </w:rPr>
        <w:footnoteRef/>
      </w:r>
      <w:r>
        <w:t xml:space="preserve"> </w:t>
      </w:r>
      <w:r w:rsidR="00007E03">
        <w:t xml:space="preserve">Universidade Federal do Rio de Janeiro. Bacharela em Serviço Social. </w:t>
      </w:r>
      <w:r w:rsidR="00427962">
        <w:t>m</w:t>
      </w:r>
      <w:r w:rsidR="00007E03">
        <w:t>ylena.pacheco</w:t>
      </w:r>
      <w:r w:rsidR="00427962">
        <w:t>.sant</w:t>
      </w:r>
      <w:r w:rsidR="00007E03">
        <w:t>@gmail.com</w:t>
      </w:r>
    </w:p>
  </w:footnote>
  <w:footnote w:id="5">
    <w:p w14:paraId="41AFCCF0" w14:textId="435A3586" w:rsidR="0016463A" w:rsidRDefault="0016463A" w:rsidP="0021580E">
      <w:pPr>
        <w:pStyle w:val="Textodenotaderodap"/>
        <w:jc w:val="both"/>
      </w:pPr>
      <w:r>
        <w:rPr>
          <w:rStyle w:val="Refdenotaderodap"/>
        </w:rPr>
        <w:footnoteRef/>
      </w:r>
      <w:r>
        <w:t xml:space="preserve"> </w:t>
      </w:r>
      <w:r w:rsidR="00EB31BF" w:rsidRPr="00EB31BF">
        <w:t>Um outro aspecto crítico identificado nas respostas é o manejo inadequado ou irregular de dados pessoais. Muito embora a Lei Geral de Proteção de Dados (Lei n.13.709/2018) excepcione a sua aplicação para fins de segurança pública, ela é expre</w:t>
      </w:r>
      <w:r w:rsidR="0021580E">
        <w:t>s</w:t>
      </w:r>
      <w:r w:rsidR="00EB31BF" w:rsidRPr="00EB31BF">
        <w:t>sa ao vedar o tratamento de dados com finalidade de segurança pública por pessoa</w:t>
      </w:r>
      <w:r w:rsidR="0021580E">
        <w:t xml:space="preserve"> </w:t>
      </w:r>
      <w:r w:rsidR="00EB31BF" w:rsidRPr="00EB31BF">
        <w:t>jurídica de direito privado, ou seja, por empresas privadas, exceto se estiverem sob</w:t>
      </w:r>
      <w:r w:rsidR="0021580E">
        <w:t xml:space="preserve"> </w:t>
      </w:r>
      <w:r w:rsidR="00EB31BF" w:rsidRPr="00EB31BF">
        <w:t>tutela de entes públicos, circunstância que deve ser objeto de informe específico à</w:t>
      </w:r>
      <w:r w:rsidR="0021580E">
        <w:t xml:space="preserve"> </w:t>
      </w:r>
      <w:r w:rsidR="00EB31BF" w:rsidRPr="00EB31BF">
        <w:t>Autoridade Nacional de Proteção de Dados (ANPD), conforme art. 4o, III, ‘a’ c/c §2o.</w:t>
      </w:r>
    </w:p>
  </w:footnote>
  <w:footnote w:id="6">
    <w:p w14:paraId="544074C5" w14:textId="000296A1" w:rsidR="006B658F" w:rsidRDefault="006B658F">
      <w:pPr>
        <w:pStyle w:val="Textodenotaderodap"/>
      </w:pPr>
      <w:r>
        <w:rPr>
          <w:rStyle w:val="Refdenotaderodap"/>
        </w:rPr>
        <w:footnoteRef/>
      </w:r>
      <w:r>
        <w:t xml:space="preserve"> </w:t>
      </w:r>
      <w:r w:rsidRPr="006B658F">
        <w:t xml:space="preserve">É importante ressaltar que tal edital foi suspenso, sendo publicada nova versão após alterações na redação </w:t>
      </w:r>
      <w:r>
        <w:t xml:space="preserve">original </w:t>
      </w:r>
      <w:r w:rsidRPr="006B658F">
        <w:t>do documento</w:t>
      </w:r>
      <w:r>
        <w:t>.</w:t>
      </w:r>
    </w:p>
  </w:footnote>
  <w:footnote w:id="7">
    <w:p w14:paraId="5C5C49F6" w14:textId="77777777" w:rsidR="005D6C56" w:rsidRPr="006B6552" w:rsidRDefault="00B218FB">
      <w:pPr>
        <w:pBdr>
          <w:top w:val="nil"/>
          <w:left w:val="nil"/>
          <w:bottom w:val="nil"/>
          <w:right w:val="nil"/>
          <w:between w:val="nil"/>
        </w:pBdr>
        <w:spacing w:line="240" w:lineRule="auto"/>
        <w:jc w:val="both"/>
        <w:rPr>
          <w:color w:val="000000" w:themeColor="text1"/>
          <w:sz w:val="20"/>
          <w:szCs w:val="20"/>
        </w:rPr>
      </w:pPr>
      <w:r w:rsidRPr="006B6552">
        <w:rPr>
          <w:color w:val="000000" w:themeColor="text1"/>
          <w:vertAlign w:val="superscript"/>
        </w:rPr>
        <w:footnoteRef/>
      </w:r>
      <w:r w:rsidRPr="006B6552">
        <w:rPr>
          <w:color w:val="000000" w:themeColor="text1"/>
          <w:sz w:val="20"/>
          <w:szCs w:val="20"/>
        </w:rPr>
        <w:t xml:space="preserve"> Tal como consta no Termo de Referência da Plataforma </w:t>
      </w:r>
      <w:proofErr w:type="spellStart"/>
      <w:r w:rsidRPr="006B6552">
        <w:rPr>
          <w:i/>
          <w:color w:val="000000" w:themeColor="text1"/>
          <w:sz w:val="20"/>
          <w:szCs w:val="20"/>
        </w:rPr>
        <w:t>Smart</w:t>
      </w:r>
      <w:proofErr w:type="spellEnd"/>
      <w:r w:rsidRPr="006B6552">
        <w:rPr>
          <w:i/>
          <w:color w:val="000000" w:themeColor="text1"/>
          <w:sz w:val="20"/>
          <w:szCs w:val="20"/>
        </w:rPr>
        <w:t xml:space="preserve"> Sampa</w:t>
      </w:r>
      <w:r w:rsidRPr="006B6552">
        <w:rPr>
          <w:color w:val="000000" w:themeColor="text1"/>
          <w:sz w:val="20"/>
          <w:szCs w:val="20"/>
        </w:rPr>
        <w:t>, o “rastreamento de pessoa suspeita”, “comportamentos suspeitos”, identificação da “vadiagem” são condutas que buscam ser detectadas através de analíticos de imagem acoplados às câmeras e sistemas que usam IA.</w:t>
      </w:r>
    </w:p>
  </w:footnote>
  <w:footnote w:id="8">
    <w:p w14:paraId="5B8E4472" w14:textId="77777777" w:rsidR="005D6C56" w:rsidRDefault="00B218FB">
      <w:pPr>
        <w:spacing w:line="240" w:lineRule="auto"/>
        <w:rPr>
          <w:sz w:val="20"/>
          <w:szCs w:val="20"/>
        </w:rPr>
      </w:pPr>
      <w:r>
        <w:rPr>
          <w:vertAlign w:val="superscript"/>
        </w:rPr>
        <w:footnoteRef/>
      </w:r>
      <w:r>
        <w:rPr>
          <w:sz w:val="20"/>
          <w:szCs w:val="20"/>
        </w:rPr>
        <w:t xml:space="preserve"> Disponível em: https://cesecseguranca.com.br/artigo/levantamento-revela-que-905-dos-presos-por-monitoramento-facial-no-brasil-sao-negros/</w:t>
      </w:r>
    </w:p>
  </w:footnote>
  <w:footnote w:id="9">
    <w:p w14:paraId="7BE4C0B2" w14:textId="77777777" w:rsidR="005D6C56" w:rsidRDefault="00B218FB">
      <w:pPr>
        <w:spacing w:line="240" w:lineRule="auto"/>
        <w:rPr>
          <w:sz w:val="20"/>
          <w:szCs w:val="20"/>
        </w:rPr>
      </w:pPr>
      <w:r>
        <w:rPr>
          <w:vertAlign w:val="superscript"/>
        </w:rPr>
        <w:footnoteRef/>
      </w:r>
      <w:r>
        <w:rPr>
          <w:sz w:val="20"/>
          <w:szCs w:val="20"/>
        </w:rPr>
        <w:t xml:space="preserve"> Disponível em: https://www.condege.org.br/arquivos/1029</w:t>
      </w:r>
    </w:p>
  </w:footnote>
  <w:footnote w:id="10">
    <w:p w14:paraId="11C17377" w14:textId="517E4496" w:rsidR="005D6C56" w:rsidRPr="006B6552" w:rsidRDefault="00B218FB">
      <w:pPr>
        <w:spacing w:line="240" w:lineRule="auto"/>
        <w:jc w:val="both"/>
        <w:rPr>
          <w:color w:val="000000" w:themeColor="text1"/>
          <w:sz w:val="20"/>
          <w:szCs w:val="20"/>
        </w:rPr>
      </w:pPr>
      <w:r w:rsidRPr="006B6552">
        <w:rPr>
          <w:color w:val="000000" w:themeColor="text1"/>
          <w:vertAlign w:val="superscript"/>
        </w:rPr>
        <w:footnoteRef/>
      </w:r>
      <w:r w:rsidRPr="006B6552">
        <w:rPr>
          <w:color w:val="000000" w:themeColor="text1"/>
          <w:sz w:val="20"/>
          <w:szCs w:val="20"/>
        </w:rPr>
        <w:t xml:space="preserve"> De acordo com O Panóptico (2023)</w:t>
      </w:r>
      <w:r w:rsidR="006B1EF5" w:rsidRPr="006B6552">
        <w:rPr>
          <w:color w:val="000000" w:themeColor="text1"/>
          <w:sz w:val="20"/>
          <w:szCs w:val="20"/>
        </w:rPr>
        <w:t xml:space="preserve">, </w:t>
      </w:r>
      <w:r w:rsidRPr="006B6552">
        <w:rPr>
          <w:color w:val="000000" w:themeColor="text1"/>
          <w:sz w:val="20"/>
          <w:szCs w:val="20"/>
        </w:rPr>
        <w:t>o estado da Bahia vem passando por um intenso processo de expansão do uso da tecnologia de reconhecimento facial</w:t>
      </w:r>
      <w:r w:rsidR="006B1EF5" w:rsidRPr="006B6552">
        <w:rPr>
          <w:color w:val="000000" w:themeColor="text1"/>
          <w:sz w:val="20"/>
          <w:szCs w:val="20"/>
        </w:rPr>
        <w:t>,</w:t>
      </w:r>
      <w:r w:rsidRPr="006B6552">
        <w:rPr>
          <w:color w:val="000000" w:themeColor="text1"/>
          <w:sz w:val="20"/>
          <w:szCs w:val="20"/>
        </w:rPr>
        <w:t xml:space="preserve"> justificado como fundamental para uma segurança pública mais eficiente</w:t>
      </w:r>
      <w:r w:rsidR="006B1EF5" w:rsidRPr="006B6552">
        <w:rPr>
          <w:color w:val="000000" w:themeColor="text1"/>
          <w:sz w:val="20"/>
          <w:szCs w:val="20"/>
        </w:rPr>
        <w:t>. E</w:t>
      </w:r>
      <w:r w:rsidRPr="006B6552">
        <w:rPr>
          <w:color w:val="000000" w:themeColor="text1"/>
          <w:sz w:val="20"/>
          <w:szCs w:val="20"/>
        </w:rPr>
        <w:t>ntretanto</w:t>
      </w:r>
      <w:r w:rsidR="006B1EF5" w:rsidRPr="006B6552">
        <w:rPr>
          <w:color w:val="000000" w:themeColor="text1"/>
          <w:sz w:val="20"/>
          <w:szCs w:val="20"/>
        </w:rPr>
        <w:t>,</w:t>
      </w:r>
      <w:r w:rsidRPr="006B6552">
        <w:rPr>
          <w:color w:val="000000" w:themeColor="text1"/>
          <w:sz w:val="20"/>
          <w:szCs w:val="20"/>
        </w:rPr>
        <w:t xml:space="preserve"> a expansão da incorporação dessa tecnologia com a instalação de câmeras de monitoramento implicou em grandes investimentos públicos em regiões do interior da BA onde grande parte da população não possui acesso </w:t>
      </w:r>
      <w:r w:rsidR="006B1EF5" w:rsidRPr="006B6552">
        <w:rPr>
          <w:color w:val="000000" w:themeColor="text1"/>
          <w:sz w:val="20"/>
          <w:szCs w:val="20"/>
        </w:rPr>
        <w:t>à</w:t>
      </w:r>
      <w:r w:rsidRPr="006B6552">
        <w:rPr>
          <w:color w:val="000000" w:themeColor="text1"/>
          <w:sz w:val="20"/>
          <w:szCs w:val="20"/>
        </w:rPr>
        <w:t xml:space="preserve"> saneamento básico</w:t>
      </w:r>
      <w:r w:rsidR="006B1EF5" w:rsidRPr="006B6552">
        <w:rPr>
          <w:color w:val="000000" w:themeColor="text1"/>
          <w:sz w:val="20"/>
          <w:szCs w:val="20"/>
        </w:rPr>
        <w:t>,</w:t>
      </w:r>
      <w:r w:rsidRPr="006B6552">
        <w:rPr>
          <w:color w:val="000000" w:themeColor="text1"/>
          <w:sz w:val="20"/>
          <w:szCs w:val="20"/>
        </w:rPr>
        <w:t xml:space="preserve"> assim como um limitado acesso a outros serviços públicos.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FEB6B" w14:textId="77777777" w:rsidR="005D6C56" w:rsidRDefault="00B218FB">
    <w:r>
      <w:rPr>
        <w:noProof/>
      </w:rPr>
      <w:drawing>
        <wp:anchor distT="0" distB="0" distL="0" distR="0" simplePos="0" relativeHeight="251658240" behindDoc="1" locked="0" layoutInCell="1" hidden="0" allowOverlap="1" wp14:anchorId="017B7035" wp14:editId="778C4C69">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C56"/>
    <w:rsid w:val="00007E03"/>
    <w:rsid w:val="00044A24"/>
    <w:rsid w:val="000803A2"/>
    <w:rsid w:val="00097C8B"/>
    <w:rsid w:val="000A630E"/>
    <w:rsid w:val="000F2F9F"/>
    <w:rsid w:val="00107E83"/>
    <w:rsid w:val="0016463A"/>
    <w:rsid w:val="0018273E"/>
    <w:rsid w:val="0018554F"/>
    <w:rsid w:val="00195224"/>
    <w:rsid w:val="001D2F69"/>
    <w:rsid w:val="001D312C"/>
    <w:rsid w:val="00201DFE"/>
    <w:rsid w:val="0021580E"/>
    <w:rsid w:val="0026168F"/>
    <w:rsid w:val="00277E02"/>
    <w:rsid w:val="002A4DC9"/>
    <w:rsid w:val="00306372"/>
    <w:rsid w:val="003465B5"/>
    <w:rsid w:val="003671BE"/>
    <w:rsid w:val="003F25FF"/>
    <w:rsid w:val="00423141"/>
    <w:rsid w:val="00427962"/>
    <w:rsid w:val="004504B8"/>
    <w:rsid w:val="004C1B24"/>
    <w:rsid w:val="004C2DFB"/>
    <w:rsid w:val="004C5FA4"/>
    <w:rsid w:val="004F2F83"/>
    <w:rsid w:val="00526772"/>
    <w:rsid w:val="00542577"/>
    <w:rsid w:val="00574847"/>
    <w:rsid w:val="005D6C56"/>
    <w:rsid w:val="005E3B8E"/>
    <w:rsid w:val="00640854"/>
    <w:rsid w:val="00652361"/>
    <w:rsid w:val="006667D9"/>
    <w:rsid w:val="006A3FB9"/>
    <w:rsid w:val="006A729F"/>
    <w:rsid w:val="006B1EF5"/>
    <w:rsid w:val="006B6552"/>
    <w:rsid w:val="006B658F"/>
    <w:rsid w:val="006B7925"/>
    <w:rsid w:val="00720980"/>
    <w:rsid w:val="007E5E7F"/>
    <w:rsid w:val="00820BEE"/>
    <w:rsid w:val="008A6109"/>
    <w:rsid w:val="008C3E3E"/>
    <w:rsid w:val="008D1132"/>
    <w:rsid w:val="009617E4"/>
    <w:rsid w:val="00985E87"/>
    <w:rsid w:val="00996763"/>
    <w:rsid w:val="009C1E84"/>
    <w:rsid w:val="009C34EF"/>
    <w:rsid w:val="00A02BD8"/>
    <w:rsid w:val="00A330DB"/>
    <w:rsid w:val="00A50CF1"/>
    <w:rsid w:val="00A90CD0"/>
    <w:rsid w:val="00AE75AA"/>
    <w:rsid w:val="00B218FB"/>
    <w:rsid w:val="00B26301"/>
    <w:rsid w:val="00B5232A"/>
    <w:rsid w:val="00B61460"/>
    <w:rsid w:val="00B87ACA"/>
    <w:rsid w:val="00BA0E15"/>
    <w:rsid w:val="00BA70B7"/>
    <w:rsid w:val="00BA7D04"/>
    <w:rsid w:val="00C85203"/>
    <w:rsid w:val="00C971C2"/>
    <w:rsid w:val="00D13025"/>
    <w:rsid w:val="00D41BFB"/>
    <w:rsid w:val="00E10166"/>
    <w:rsid w:val="00E41EAB"/>
    <w:rsid w:val="00EB31BF"/>
    <w:rsid w:val="00EC3C98"/>
    <w:rsid w:val="00F9692F"/>
    <w:rsid w:val="00FD518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DC7AB"/>
  <w15:docId w15:val="{53AE8E94-2137-4923-8FFE-5552F4E43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Cabealho">
    <w:name w:val="header"/>
    <w:basedOn w:val="Normal"/>
    <w:link w:val="CabealhoChar"/>
    <w:uiPriority w:val="99"/>
    <w:unhideWhenUsed/>
    <w:rsid w:val="007E5E7F"/>
    <w:pPr>
      <w:tabs>
        <w:tab w:val="center" w:pos="4252"/>
        <w:tab w:val="right" w:pos="8504"/>
      </w:tabs>
      <w:spacing w:line="240" w:lineRule="auto"/>
    </w:pPr>
  </w:style>
  <w:style w:type="character" w:customStyle="1" w:styleId="CabealhoChar">
    <w:name w:val="Cabeçalho Char"/>
    <w:basedOn w:val="Fontepargpadro"/>
    <w:link w:val="Cabealho"/>
    <w:uiPriority w:val="99"/>
    <w:rsid w:val="007E5E7F"/>
  </w:style>
  <w:style w:type="paragraph" w:styleId="Rodap">
    <w:name w:val="footer"/>
    <w:basedOn w:val="Normal"/>
    <w:link w:val="RodapChar"/>
    <w:uiPriority w:val="99"/>
    <w:unhideWhenUsed/>
    <w:rsid w:val="007E5E7F"/>
    <w:pPr>
      <w:tabs>
        <w:tab w:val="center" w:pos="4252"/>
        <w:tab w:val="right" w:pos="8504"/>
      </w:tabs>
      <w:spacing w:line="240" w:lineRule="auto"/>
    </w:pPr>
  </w:style>
  <w:style w:type="character" w:customStyle="1" w:styleId="RodapChar">
    <w:name w:val="Rodapé Char"/>
    <w:basedOn w:val="Fontepargpadro"/>
    <w:link w:val="Rodap"/>
    <w:uiPriority w:val="99"/>
    <w:rsid w:val="007E5E7F"/>
  </w:style>
  <w:style w:type="paragraph" w:styleId="Assuntodocomentrio">
    <w:name w:val="annotation subject"/>
    <w:basedOn w:val="Textodecomentrio"/>
    <w:next w:val="Textodecomentrio"/>
    <w:link w:val="AssuntodocomentrioChar"/>
    <w:uiPriority w:val="99"/>
    <w:semiHidden/>
    <w:unhideWhenUsed/>
    <w:rsid w:val="007E5E7F"/>
    <w:rPr>
      <w:b/>
      <w:bCs/>
    </w:rPr>
  </w:style>
  <w:style w:type="character" w:customStyle="1" w:styleId="AssuntodocomentrioChar">
    <w:name w:val="Assunto do comentário Char"/>
    <w:basedOn w:val="TextodecomentrioChar"/>
    <w:link w:val="Assuntodocomentrio"/>
    <w:uiPriority w:val="99"/>
    <w:semiHidden/>
    <w:rsid w:val="007E5E7F"/>
    <w:rPr>
      <w:b/>
      <w:bCs/>
      <w:sz w:val="20"/>
      <w:szCs w:val="20"/>
    </w:rPr>
  </w:style>
  <w:style w:type="paragraph" w:styleId="Textodenotaderodap">
    <w:name w:val="footnote text"/>
    <w:basedOn w:val="Normal"/>
    <w:link w:val="TextodenotaderodapChar"/>
    <w:uiPriority w:val="99"/>
    <w:semiHidden/>
    <w:unhideWhenUsed/>
    <w:rsid w:val="006B658F"/>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6B658F"/>
    <w:rPr>
      <w:sz w:val="20"/>
      <w:szCs w:val="20"/>
    </w:rPr>
  </w:style>
  <w:style w:type="character" w:styleId="Refdenotaderodap">
    <w:name w:val="footnote reference"/>
    <w:basedOn w:val="Fontepargpadro"/>
    <w:uiPriority w:val="99"/>
    <w:semiHidden/>
    <w:unhideWhenUsed/>
    <w:rsid w:val="006B65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588982">
      <w:bodyDiv w:val="1"/>
      <w:marLeft w:val="0"/>
      <w:marRight w:val="0"/>
      <w:marTop w:val="0"/>
      <w:marBottom w:val="0"/>
      <w:divBdr>
        <w:top w:val="none" w:sz="0" w:space="0" w:color="auto"/>
        <w:left w:val="none" w:sz="0" w:space="0" w:color="auto"/>
        <w:bottom w:val="none" w:sz="0" w:space="0" w:color="auto"/>
        <w:right w:val="none" w:sz="0" w:space="0" w:color="auto"/>
      </w:divBdr>
    </w:div>
    <w:div w:id="268899738">
      <w:bodyDiv w:val="1"/>
      <w:marLeft w:val="0"/>
      <w:marRight w:val="0"/>
      <w:marTop w:val="0"/>
      <w:marBottom w:val="0"/>
      <w:divBdr>
        <w:top w:val="none" w:sz="0" w:space="0" w:color="auto"/>
        <w:left w:val="none" w:sz="0" w:space="0" w:color="auto"/>
        <w:bottom w:val="none" w:sz="0" w:space="0" w:color="auto"/>
        <w:right w:val="none" w:sz="0" w:space="0" w:color="auto"/>
      </w:divBdr>
    </w:div>
    <w:div w:id="836846775">
      <w:bodyDiv w:val="1"/>
      <w:marLeft w:val="0"/>
      <w:marRight w:val="0"/>
      <w:marTop w:val="0"/>
      <w:marBottom w:val="0"/>
      <w:divBdr>
        <w:top w:val="none" w:sz="0" w:space="0" w:color="auto"/>
        <w:left w:val="none" w:sz="0" w:space="0" w:color="auto"/>
        <w:bottom w:val="none" w:sz="0" w:space="0" w:color="auto"/>
        <w:right w:val="none" w:sz="0" w:space="0" w:color="auto"/>
      </w:divBdr>
    </w:div>
    <w:div w:id="1166554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nucleo.jor.br/content/files/2024/08/Esporte--Dados-e-Direitos-O-uso-de-reconhecimento-facial-nos-est-dios-brasileiros.pdf"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https://cesecseguranca.com.br/livro/o-sertao-vai-virar-mar-expansao-do-reconhecimento-facial-na-bahi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ireitoshumanos.dpu.def.br/wp-content/uploads/2025/05/CESeC__DPU_Mapeando_a_vigilancia_biometrica.pd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F4C3527FC8D4F03BC5BD72BFBF76597"/>
        <w:category>
          <w:name w:val="Geral"/>
          <w:gallery w:val="placeholder"/>
        </w:category>
        <w:types>
          <w:type w:val="bbPlcHdr"/>
        </w:types>
        <w:behaviors>
          <w:behavior w:val="content"/>
        </w:behaviors>
        <w:guid w:val="{19F20D73-064E-41A9-B2FE-298863047D47}"/>
      </w:docPartPr>
      <w:docPartBody>
        <w:p w:rsidR="003925F1" w:rsidRDefault="00BD74F8" w:rsidP="00BD74F8">
          <w:pPr>
            <w:pStyle w:val="EF4C3527FC8D4F03BC5BD72BFBF76597"/>
          </w:pPr>
          <w:r>
            <w:t>[Digite aqui]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4F8"/>
    <w:rsid w:val="003925F1"/>
    <w:rsid w:val="004C5FA4"/>
    <w:rsid w:val="007847E7"/>
    <w:rsid w:val="00996763"/>
    <w:rsid w:val="009B767A"/>
    <w:rsid w:val="009C1E84"/>
    <w:rsid w:val="00A90CD0"/>
    <w:rsid w:val="00BA0E15"/>
    <w:rsid w:val="00BD74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F4C3527FC8D4F03BC5BD72BFBF76597">
    <w:name w:val="EF4C3527FC8D4F03BC5BD72BFBF76597"/>
    <w:rsid w:val="00BD74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411A0-6F30-45D4-9499-BD0FCD9F9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3792</Words>
  <Characters>20482</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Alejandra Pastorini</dc:creator>
  <cp:lastModifiedBy>Alejandra Pastorini</cp:lastModifiedBy>
  <cp:revision>2</cp:revision>
  <dcterms:created xsi:type="dcterms:W3CDTF">2025-06-30T12:07:00Z</dcterms:created>
  <dcterms:modified xsi:type="dcterms:W3CDTF">2025-06-30T12:07:00Z</dcterms:modified>
</cp:coreProperties>
</file>