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7B011" w14:textId="77777777" w:rsidR="00026ADA" w:rsidRDefault="00000000">
      <w:pPr>
        <w:spacing w:line="240" w:lineRule="auto"/>
        <w:jc w:val="both"/>
        <w:rPr>
          <w:color w:val="000000"/>
          <w:sz w:val="24"/>
          <w:szCs w:val="24"/>
        </w:rPr>
      </w:pPr>
      <w:r>
        <w:rPr>
          <w:b/>
          <w:color w:val="000000"/>
          <w:sz w:val="24"/>
          <w:szCs w:val="24"/>
        </w:rPr>
        <w:t>CONSELHOS ESCOLARES E UNIDADES EXECUTORAS:</w:t>
      </w:r>
      <w:r>
        <w:rPr>
          <w:color w:val="000000"/>
          <w:sz w:val="24"/>
          <w:szCs w:val="24"/>
        </w:rPr>
        <w:t xml:space="preserve"> implicações para a gestão democrática na escola pública.</w:t>
      </w:r>
    </w:p>
    <w:p w14:paraId="108616BF" w14:textId="73583CA4" w:rsidR="00AE42C6" w:rsidRDefault="00AE42C6">
      <w:pPr>
        <w:spacing w:line="240" w:lineRule="auto"/>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André Vitor de Sousa Marinho¹</w:t>
      </w:r>
    </w:p>
    <w:p w14:paraId="00621995" w14:textId="596EAA2D" w:rsidR="00AE42C6" w:rsidRDefault="00AE42C6">
      <w:pPr>
        <w:spacing w:line="240" w:lineRule="auto"/>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Cleomar Locatelli²</w:t>
      </w:r>
    </w:p>
    <w:p w14:paraId="749A3724" w14:textId="77777777" w:rsidR="00026ADA" w:rsidRDefault="00026ADA">
      <w:pPr>
        <w:spacing w:line="240" w:lineRule="auto"/>
        <w:jc w:val="both"/>
        <w:rPr>
          <w:sz w:val="24"/>
          <w:szCs w:val="24"/>
        </w:rPr>
      </w:pPr>
    </w:p>
    <w:p w14:paraId="5B425E68" w14:textId="77777777" w:rsidR="00026ADA" w:rsidRDefault="00000000">
      <w:pPr>
        <w:spacing w:line="240" w:lineRule="auto"/>
        <w:ind w:left="2835"/>
        <w:jc w:val="both"/>
        <w:rPr>
          <w:b/>
          <w:sz w:val="20"/>
          <w:szCs w:val="20"/>
        </w:rPr>
      </w:pPr>
      <w:r>
        <w:rPr>
          <w:b/>
          <w:sz w:val="20"/>
          <w:szCs w:val="20"/>
        </w:rPr>
        <w:t>Resumo</w:t>
      </w:r>
    </w:p>
    <w:p w14:paraId="1C2C9F37" w14:textId="77777777" w:rsidR="00026ADA" w:rsidRDefault="00000000">
      <w:pPr>
        <w:spacing w:line="240" w:lineRule="auto"/>
        <w:ind w:left="2835"/>
        <w:jc w:val="both"/>
        <w:rPr>
          <w:sz w:val="20"/>
          <w:szCs w:val="20"/>
        </w:rPr>
      </w:pPr>
      <w:r>
        <w:rPr>
          <w:sz w:val="20"/>
          <w:szCs w:val="20"/>
        </w:rPr>
        <w:t xml:space="preserve">O presente artigo trata da gestão colegiada da escola pública. O objetivo é analisar a coexistência dos Conselho Escolar e Unidade Executora como instrumentos da gestão democrática em escolas públicas. A pesquisa, de abordagem qualitativa, foi realizada por meio de entrevistas com os gestores de quatro escolas, dos municípios de Tocantinópolis (TO) e Porto Franco (MA). Os resultados indicam que, embora as escolas declarem a existência formal dessas instâncias, sua atuação no cotidiano revela fragilidades, especialmente quanto à compreensão de suas funções. Observou-se também a centralidade da Unidade Executora na tomada de decisões, enquanto o Conselho Escolar assume papel secundário, muitas vezes restrito à formalização de atos. </w:t>
      </w:r>
    </w:p>
    <w:p w14:paraId="76E4B5E0" w14:textId="48F8C583" w:rsidR="00026ADA" w:rsidRDefault="00000000">
      <w:pPr>
        <w:spacing w:line="240" w:lineRule="auto"/>
        <w:ind w:left="2835"/>
        <w:jc w:val="both"/>
        <w:rPr>
          <w:sz w:val="20"/>
          <w:szCs w:val="20"/>
        </w:rPr>
      </w:pPr>
      <w:r>
        <w:rPr>
          <w:b/>
          <w:sz w:val="20"/>
          <w:szCs w:val="20"/>
        </w:rPr>
        <w:t>Palavras-chave:</w:t>
      </w:r>
      <w:r>
        <w:rPr>
          <w:sz w:val="20"/>
          <w:szCs w:val="20"/>
        </w:rPr>
        <w:t xml:space="preserve"> Gestão democrática; Conselho Escolar; Unidade Executora</w:t>
      </w:r>
      <w:r w:rsidR="00DF0562">
        <w:rPr>
          <w:sz w:val="20"/>
          <w:szCs w:val="20"/>
        </w:rPr>
        <w:t xml:space="preserve">. </w:t>
      </w:r>
    </w:p>
    <w:p w14:paraId="3F225BB8" w14:textId="77777777" w:rsidR="00026ADA" w:rsidRDefault="00026ADA">
      <w:pPr>
        <w:spacing w:line="240" w:lineRule="auto"/>
        <w:ind w:left="2835"/>
        <w:jc w:val="both"/>
        <w:rPr>
          <w:sz w:val="20"/>
          <w:szCs w:val="20"/>
        </w:rPr>
      </w:pPr>
    </w:p>
    <w:p w14:paraId="242579BD" w14:textId="77777777" w:rsidR="00026ADA" w:rsidRDefault="00026ADA">
      <w:pPr>
        <w:spacing w:line="240" w:lineRule="auto"/>
        <w:ind w:left="2835"/>
        <w:jc w:val="both"/>
        <w:rPr>
          <w:sz w:val="20"/>
          <w:szCs w:val="20"/>
        </w:rPr>
      </w:pPr>
    </w:p>
    <w:p w14:paraId="4CBBFD9C" w14:textId="77777777" w:rsidR="00026ADA" w:rsidRDefault="00000000">
      <w:pPr>
        <w:spacing w:line="240" w:lineRule="auto"/>
        <w:ind w:left="2835"/>
        <w:jc w:val="both"/>
        <w:rPr>
          <w:sz w:val="20"/>
          <w:szCs w:val="20"/>
        </w:rPr>
      </w:pPr>
      <w:r>
        <w:rPr>
          <w:b/>
          <w:sz w:val="20"/>
          <w:szCs w:val="20"/>
        </w:rPr>
        <w:t>Abstract</w:t>
      </w:r>
    </w:p>
    <w:p w14:paraId="00732E74" w14:textId="0552E263" w:rsidR="00026ADA" w:rsidRDefault="007F77AB">
      <w:pPr>
        <w:spacing w:line="240" w:lineRule="auto"/>
        <w:ind w:left="2835"/>
        <w:jc w:val="both"/>
        <w:rPr>
          <w:sz w:val="20"/>
          <w:szCs w:val="20"/>
        </w:rPr>
      </w:pPr>
      <w:proofErr w:type="spellStart"/>
      <w:r w:rsidRPr="007F77AB">
        <w:rPr>
          <w:sz w:val="20"/>
          <w:szCs w:val="20"/>
        </w:rPr>
        <w:t>This</w:t>
      </w:r>
      <w:proofErr w:type="spellEnd"/>
      <w:r w:rsidRPr="007F77AB">
        <w:rPr>
          <w:sz w:val="20"/>
          <w:szCs w:val="20"/>
        </w:rPr>
        <w:t xml:space="preserve"> </w:t>
      </w:r>
      <w:proofErr w:type="spellStart"/>
      <w:r w:rsidRPr="007F77AB">
        <w:rPr>
          <w:sz w:val="20"/>
          <w:szCs w:val="20"/>
        </w:rPr>
        <w:t>article</w:t>
      </w:r>
      <w:proofErr w:type="spellEnd"/>
      <w:r w:rsidRPr="007F77AB">
        <w:rPr>
          <w:sz w:val="20"/>
          <w:szCs w:val="20"/>
        </w:rPr>
        <w:t xml:space="preserve"> </w:t>
      </w:r>
      <w:proofErr w:type="spellStart"/>
      <w:r w:rsidRPr="007F77AB">
        <w:rPr>
          <w:sz w:val="20"/>
          <w:szCs w:val="20"/>
        </w:rPr>
        <w:t>addresses</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shared</w:t>
      </w:r>
      <w:proofErr w:type="spellEnd"/>
      <w:r w:rsidRPr="007F77AB">
        <w:rPr>
          <w:sz w:val="20"/>
          <w:szCs w:val="20"/>
        </w:rPr>
        <w:t xml:space="preserve"> management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public</w:t>
      </w:r>
      <w:proofErr w:type="spellEnd"/>
      <w:r w:rsidRPr="007F77AB">
        <w:rPr>
          <w:sz w:val="20"/>
          <w:szCs w:val="20"/>
        </w:rPr>
        <w:t xml:space="preserve"> </w:t>
      </w:r>
      <w:proofErr w:type="spellStart"/>
      <w:r w:rsidRPr="007F77AB">
        <w:rPr>
          <w:sz w:val="20"/>
          <w:szCs w:val="20"/>
        </w:rPr>
        <w:t>schools</w:t>
      </w:r>
      <w:proofErr w:type="spellEnd"/>
      <w:r w:rsidRPr="007F77AB">
        <w:rPr>
          <w:sz w:val="20"/>
          <w:szCs w:val="20"/>
        </w:rPr>
        <w:t xml:space="preserve">. The </w:t>
      </w:r>
      <w:proofErr w:type="spellStart"/>
      <w:r w:rsidRPr="007F77AB">
        <w:rPr>
          <w:sz w:val="20"/>
          <w:szCs w:val="20"/>
        </w:rPr>
        <w:t>objective</w:t>
      </w:r>
      <w:proofErr w:type="spellEnd"/>
      <w:r w:rsidRPr="007F77AB">
        <w:rPr>
          <w:sz w:val="20"/>
          <w:szCs w:val="20"/>
        </w:rPr>
        <w:t xml:space="preserve"> </w:t>
      </w:r>
      <w:proofErr w:type="spellStart"/>
      <w:r w:rsidRPr="007F77AB">
        <w:rPr>
          <w:sz w:val="20"/>
          <w:szCs w:val="20"/>
        </w:rPr>
        <w:t>is</w:t>
      </w:r>
      <w:proofErr w:type="spellEnd"/>
      <w:r w:rsidRPr="007F77AB">
        <w:rPr>
          <w:sz w:val="20"/>
          <w:szCs w:val="20"/>
        </w:rPr>
        <w:t xml:space="preserve"> </w:t>
      </w:r>
      <w:proofErr w:type="spellStart"/>
      <w:r w:rsidRPr="007F77AB">
        <w:rPr>
          <w:sz w:val="20"/>
          <w:szCs w:val="20"/>
        </w:rPr>
        <w:t>to</w:t>
      </w:r>
      <w:proofErr w:type="spellEnd"/>
      <w:r w:rsidRPr="007F77AB">
        <w:rPr>
          <w:sz w:val="20"/>
          <w:szCs w:val="20"/>
        </w:rPr>
        <w:t xml:space="preserve"> </w:t>
      </w:r>
      <w:proofErr w:type="spellStart"/>
      <w:r w:rsidRPr="007F77AB">
        <w:rPr>
          <w:sz w:val="20"/>
          <w:szCs w:val="20"/>
        </w:rPr>
        <w:t>analyze</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coexistence</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School</w:t>
      </w:r>
      <w:proofErr w:type="spellEnd"/>
      <w:r w:rsidRPr="007F77AB">
        <w:rPr>
          <w:sz w:val="20"/>
          <w:szCs w:val="20"/>
        </w:rPr>
        <w:t xml:space="preserve"> </w:t>
      </w:r>
      <w:proofErr w:type="spellStart"/>
      <w:r w:rsidRPr="007F77AB">
        <w:rPr>
          <w:sz w:val="20"/>
          <w:szCs w:val="20"/>
        </w:rPr>
        <w:t>Council</w:t>
      </w:r>
      <w:proofErr w:type="spellEnd"/>
      <w:r w:rsidRPr="007F77AB">
        <w:rPr>
          <w:sz w:val="20"/>
          <w:szCs w:val="20"/>
        </w:rPr>
        <w:t xml:space="preserve"> </w:t>
      </w:r>
      <w:proofErr w:type="spellStart"/>
      <w:r w:rsidRPr="007F77AB">
        <w:rPr>
          <w:sz w:val="20"/>
          <w:szCs w:val="20"/>
        </w:rPr>
        <w:t>and</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Executing</w:t>
      </w:r>
      <w:proofErr w:type="spellEnd"/>
      <w:r w:rsidRPr="007F77AB">
        <w:rPr>
          <w:sz w:val="20"/>
          <w:szCs w:val="20"/>
        </w:rPr>
        <w:t xml:space="preserve"> Unit as </w:t>
      </w:r>
      <w:proofErr w:type="spellStart"/>
      <w:r w:rsidRPr="007F77AB">
        <w:rPr>
          <w:sz w:val="20"/>
          <w:szCs w:val="20"/>
        </w:rPr>
        <w:t>instruments</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democratic</w:t>
      </w:r>
      <w:proofErr w:type="spellEnd"/>
      <w:r w:rsidRPr="007F77AB">
        <w:rPr>
          <w:sz w:val="20"/>
          <w:szCs w:val="20"/>
        </w:rPr>
        <w:t xml:space="preserve"> management in </w:t>
      </w:r>
      <w:proofErr w:type="spellStart"/>
      <w:r w:rsidRPr="007F77AB">
        <w:rPr>
          <w:sz w:val="20"/>
          <w:szCs w:val="20"/>
        </w:rPr>
        <w:t>public</w:t>
      </w:r>
      <w:proofErr w:type="spellEnd"/>
      <w:r w:rsidRPr="007F77AB">
        <w:rPr>
          <w:sz w:val="20"/>
          <w:szCs w:val="20"/>
        </w:rPr>
        <w:t xml:space="preserve"> </w:t>
      </w:r>
      <w:proofErr w:type="spellStart"/>
      <w:r w:rsidRPr="007F77AB">
        <w:rPr>
          <w:sz w:val="20"/>
          <w:szCs w:val="20"/>
        </w:rPr>
        <w:t>schools</w:t>
      </w:r>
      <w:proofErr w:type="spellEnd"/>
      <w:r w:rsidRPr="007F77AB">
        <w:rPr>
          <w:sz w:val="20"/>
          <w:szCs w:val="20"/>
        </w:rPr>
        <w:t xml:space="preserve">. </w:t>
      </w:r>
      <w:proofErr w:type="spellStart"/>
      <w:r w:rsidRPr="007F77AB">
        <w:rPr>
          <w:sz w:val="20"/>
          <w:szCs w:val="20"/>
        </w:rPr>
        <w:t>This</w:t>
      </w:r>
      <w:proofErr w:type="spellEnd"/>
      <w:r w:rsidRPr="007F77AB">
        <w:rPr>
          <w:sz w:val="20"/>
          <w:szCs w:val="20"/>
        </w:rPr>
        <w:t xml:space="preserve"> </w:t>
      </w:r>
      <w:proofErr w:type="spellStart"/>
      <w:r w:rsidRPr="007F77AB">
        <w:rPr>
          <w:sz w:val="20"/>
          <w:szCs w:val="20"/>
        </w:rPr>
        <w:t>qualitative</w:t>
      </w:r>
      <w:proofErr w:type="spellEnd"/>
      <w:r w:rsidRPr="007F77AB">
        <w:rPr>
          <w:sz w:val="20"/>
          <w:szCs w:val="20"/>
        </w:rPr>
        <w:t xml:space="preserve"> </w:t>
      </w:r>
      <w:proofErr w:type="spellStart"/>
      <w:r w:rsidRPr="007F77AB">
        <w:rPr>
          <w:sz w:val="20"/>
          <w:szCs w:val="20"/>
        </w:rPr>
        <w:t>study</w:t>
      </w:r>
      <w:proofErr w:type="spellEnd"/>
      <w:r w:rsidRPr="007F77AB">
        <w:rPr>
          <w:sz w:val="20"/>
          <w:szCs w:val="20"/>
        </w:rPr>
        <w:t xml:space="preserve"> </w:t>
      </w:r>
      <w:proofErr w:type="spellStart"/>
      <w:r w:rsidRPr="007F77AB">
        <w:rPr>
          <w:sz w:val="20"/>
          <w:szCs w:val="20"/>
        </w:rPr>
        <w:t>was</w:t>
      </w:r>
      <w:proofErr w:type="spellEnd"/>
      <w:r w:rsidRPr="007F77AB">
        <w:rPr>
          <w:sz w:val="20"/>
          <w:szCs w:val="20"/>
        </w:rPr>
        <w:t xml:space="preserve"> </w:t>
      </w:r>
      <w:proofErr w:type="spellStart"/>
      <w:r w:rsidRPr="007F77AB">
        <w:rPr>
          <w:sz w:val="20"/>
          <w:szCs w:val="20"/>
        </w:rPr>
        <w:t>conducted</w:t>
      </w:r>
      <w:proofErr w:type="spellEnd"/>
      <w:r w:rsidRPr="007F77AB">
        <w:rPr>
          <w:sz w:val="20"/>
          <w:szCs w:val="20"/>
        </w:rPr>
        <w:t xml:space="preserve"> </w:t>
      </w:r>
      <w:proofErr w:type="spellStart"/>
      <w:r w:rsidRPr="007F77AB">
        <w:rPr>
          <w:sz w:val="20"/>
          <w:szCs w:val="20"/>
        </w:rPr>
        <w:t>through</w:t>
      </w:r>
      <w:proofErr w:type="spellEnd"/>
      <w:r w:rsidRPr="007F77AB">
        <w:rPr>
          <w:sz w:val="20"/>
          <w:szCs w:val="20"/>
        </w:rPr>
        <w:t xml:space="preserve"> interviews </w:t>
      </w:r>
      <w:proofErr w:type="spellStart"/>
      <w:r w:rsidRPr="007F77AB">
        <w:rPr>
          <w:sz w:val="20"/>
          <w:szCs w:val="20"/>
        </w:rPr>
        <w:t>with</w:t>
      </w:r>
      <w:proofErr w:type="spellEnd"/>
      <w:r w:rsidRPr="007F77AB">
        <w:rPr>
          <w:sz w:val="20"/>
          <w:szCs w:val="20"/>
        </w:rPr>
        <w:t xml:space="preserve"> </w:t>
      </w:r>
      <w:proofErr w:type="spellStart"/>
      <w:r w:rsidRPr="007F77AB">
        <w:rPr>
          <w:sz w:val="20"/>
          <w:szCs w:val="20"/>
        </w:rPr>
        <w:t>school</w:t>
      </w:r>
      <w:proofErr w:type="spellEnd"/>
      <w:r w:rsidRPr="007F77AB">
        <w:rPr>
          <w:sz w:val="20"/>
          <w:szCs w:val="20"/>
        </w:rPr>
        <w:t xml:space="preserve"> administrators </w:t>
      </w:r>
      <w:proofErr w:type="spellStart"/>
      <w:r w:rsidRPr="007F77AB">
        <w:rPr>
          <w:sz w:val="20"/>
          <w:szCs w:val="20"/>
        </w:rPr>
        <w:t>from</w:t>
      </w:r>
      <w:proofErr w:type="spellEnd"/>
      <w:r w:rsidRPr="007F77AB">
        <w:rPr>
          <w:sz w:val="20"/>
          <w:szCs w:val="20"/>
        </w:rPr>
        <w:t xml:space="preserve"> four </w:t>
      </w:r>
      <w:proofErr w:type="spellStart"/>
      <w:r w:rsidRPr="007F77AB">
        <w:rPr>
          <w:sz w:val="20"/>
          <w:szCs w:val="20"/>
        </w:rPr>
        <w:t>schools</w:t>
      </w:r>
      <w:proofErr w:type="spellEnd"/>
      <w:r w:rsidRPr="007F77AB">
        <w:rPr>
          <w:sz w:val="20"/>
          <w:szCs w:val="20"/>
        </w:rPr>
        <w:t xml:space="preserve"> </w:t>
      </w:r>
      <w:proofErr w:type="spellStart"/>
      <w:r w:rsidRPr="007F77AB">
        <w:rPr>
          <w:sz w:val="20"/>
          <w:szCs w:val="20"/>
        </w:rPr>
        <w:t>located</w:t>
      </w:r>
      <w:proofErr w:type="spellEnd"/>
      <w:r w:rsidRPr="007F77AB">
        <w:rPr>
          <w:sz w:val="20"/>
          <w:szCs w:val="20"/>
        </w:rPr>
        <w:t xml:space="preserve"> in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municipalities</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Tocantinópolis (TO) </w:t>
      </w:r>
      <w:proofErr w:type="spellStart"/>
      <w:r w:rsidRPr="007F77AB">
        <w:rPr>
          <w:sz w:val="20"/>
          <w:szCs w:val="20"/>
        </w:rPr>
        <w:t>and</w:t>
      </w:r>
      <w:proofErr w:type="spellEnd"/>
      <w:r w:rsidRPr="007F77AB">
        <w:rPr>
          <w:sz w:val="20"/>
          <w:szCs w:val="20"/>
        </w:rPr>
        <w:t xml:space="preserve"> Porto Franco (MA), </w:t>
      </w:r>
      <w:proofErr w:type="spellStart"/>
      <w:r w:rsidRPr="007F77AB">
        <w:rPr>
          <w:sz w:val="20"/>
          <w:szCs w:val="20"/>
        </w:rPr>
        <w:t>Brazil</w:t>
      </w:r>
      <w:proofErr w:type="spellEnd"/>
      <w:r w:rsidRPr="007F77AB">
        <w:rPr>
          <w:sz w:val="20"/>
          <w:szCs w:val="20"/>
        </w:rPr>
        <w:t xml:space="preserve">. The </w:t>
      </w:r>
      <w:proofErr w:type="spellStart"/>
      <w:r w:rsidRPr="007F77AB">
        <w:rPr>
          <w:sz w:val="20"/>
          <w:szCs w:val="20"/>
        </w:rPr>
        <w:t>results</w:t>
      </w:r>
      <w:proofErr w:type="spellEnd"/>
      <w:r w:rsidRPr="007F77AB">
        <w:rPr>
          <w:sz w:val="20"/>
          <w:szCs w:val="20"/>
        </w:rPr>
        <w:t xml:space="preserve"> </w:t>
      </w:r>
      <w:proofErr w:type="spellStart"/>
      <w:r w:rsidRPr="007F77AB">
        <w:rPr>
          <w:sz w:val="20"/>
          <w:szCs w:val="20"/>
        </w:rPr>
        <w:t>indicate</w:t>
      </w:r>
      <w:proofErr w:type="spellEnd"/>
      <w:r w:rsidRPr="007F77AB">
        <w:rPr>
          <w:sz w:val="20"/>
          <w:szCs w:val="20"/>
        </w:rPr>
        <w:t xml:space="preserve"> </w:t>
      </w:r>
      <w:proofErr w:type="spellStart"/>
      <w:r w:rsidRPr="007F77AB">
        <w:rPr>
          <w:sz w:val="20"/>
          <w:szCs w:val="20"/>
        </w:rPr>
        <w:t>that</w:t>
      </w:r>
      <w:proofErr w:type="spellEnd"/>
      <w:r w:rsidRPr="007F77AB">
        <w:rPr>
          <w:sz w:val="20"/>
          <w:szCs w:val="20"/>
        </w:rPr>
        <w:t xml:space="preserve">, </w:t>
      </w:r>
      <w:proofErr w:type="spellStart"/>
      <w:r w:rsidRPr="007F77AB">
        <w:rPr>
          <w:sz w:val="20"/>
          <w:szCs w:val="20"/>
        </w:rPr>
        <w:t>although</w:t>
      </w:r>
      <w:proofErr w:type="spellEnd"/>
      <w:r w:rsidRPr="007F77AB">
        <w:rPr>
          <w:sz w:val="20"/>
          <w:szCs w:val="20"/>
        </w:rPr>
        <w:t xml:space="preserve"> </w:t>
      </w:r>
      <w:proofErr w:type="spellStart"/>
      <w:r w:rsidRPr="007F77AB">
        <w:rPr>
          <w:sz w:val="20"/>
          <w:szCs w:val="20"/>
        </w:rPr>
        <w:t>schools</w:t>
      </w:r>
      <w:proofErr w:type="spellEnd"/>
      <w:r w:rsidRPr="007F77AB">
        <w:rPr>
          <w:sz w:val="20"/>
          <w:szCs w:val="20"/>
        </w:rPr>
        <w:t xml:space="preserve"> </w:t>
      </w:r>
      <w:proofErr w:type="spellStart"/>
      <w:r w:rsidRPr="007F77AB">
        <w:rPr>
          <w:sz w:val="20"/>
          <w:szCs w:val="20"/>
        </w:rPr>
        <w:t>formally</w:t>
      </w:r>
      <w:proofErr w:type="spellEnd"/>
      <w:r w:rsidRPr="007F77AB">
        <w:rPr>
          <w:sz w:val="20"/>
          <w:szCs w:val="20"/>
        </w:rPr>
        <w:t xml:space="preserve"> declare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existence</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these</w:t>
      </w:r>
      <w:proofErr w:type="spellEnd"/>
      <w:r w:rsidRPr="007F77AB">
        <w:rPr>
          <w:sz w:val="20"/>
          <w:szCs w:val="20"/>
        </w:rPr>
        <w:t xml:space="preserve"> </w:t>
      </w:r>
      <w:proofErr w:type="spellStart"/>
      <w:r w:rsidRPr="007F77AB">
        <w:rPr>
          <w:sz w:val="20"/>
          <w:szCs w:val="20"/>
        </w:rPr>
        <w:t>bodies</w:t>
      </w:r>
      <w:proofErr w:type="spellEnd"/>
      <w:r w:rsidRPr="007F77AB">
        <w:rPr>
          <w:sz w:val="20"/>
          <w:szCs w:val="20"/>
        </w:rPr>
        <w:t xml:space="preserve">, </w:t>
      </w:r>
      <w:proofErr w:type="spellStart"/>
      <w:r w:rsidRPr="007F77AB">
        <w:rPr>
          <w:sz w:val="20"/>
          <w:szCs w:val="20"/>
        </w:rPr>
        <w:t>their</w:t>
      </w:r>
      <w:proofErr w:type="spellEnd"/>
      <w:r w:rsidRPr="007F77AB">
        <w:rPr>
          <w:sz w:val="20"/>
          <w:szCs w:val="20"/>
        </w:rPr>
        <w:t xml:space="preserve"> </w:t>
      </w:r>
      <w:proofErr w:type="spellStart"/>
      <w:r w:rsidRPr="007F77AB">
        <w:rPr>
          <w:sz w:val="20"/>
          <w:szCs w:val="20"/>
        </w:rPr>
        <w:t>practical</w:t>
      </w:r>
      <w:proofErr w:type="spellEnd"/>
      <w:r w:rsidRPr="007F77AB">
        <w:rPr>
          <w:sz w:val="20"/>
          <w:szCs w:val="20"/>
        </w:rPr>
        <w:t xml:space="preserve"> </w:t>
      </w:r>
      <w:proofErr w:type="spellStart"/>
      <w:r w:rsidRPr="007F77AB">
        <w:rPr>
          <w:sz w:val="20"/>
          <w:szCs w:val="20"/>
        </w:rPr>
        <w:t>functioning</w:t>
      </w:r>
      <w:proofErr w:type="spellEnd"/>
      <w:r w:rsidRPr="007F77AB">
        <w:rPr>
          <w:sz w:val="20"/>
          <w:szCs w:val="20"/>
        </w:rPr>
        <w:t xml:space="preserve"> </w:t>
      </w:r>
      <w:proofErr w:type="spellStart"/>
      <w:r w:rsidRPr="007F77AB">
        <w:rPr>
          <w:sz w:val="20"/>
          <w:szCs w:val="20"/>
        </w:rPr>
        <w:t>reveals</w:t>
      </w:r>
      <w:proofErr w:type="spellEnd"/>
      <w:r w:rsidRPr="007F77AB">
        <w:rPr>
          <w:sz w:val="20"/>
          <w:szCs w:val="20"/>
        </w:rPr>
        <w:t xml:space="preserve"> </w:t>
      </w:r>
      <w:proofErr w:type="spellStart"/>
      <w:r w:rsidRPr="007F77AB">
        <w:rPr>
          <w:sz w:val="20"/>
          <w:szCs w:val="20"/>
        </w:rPr>
        <w:t>significant</w:t>
      </w:r>
      <w:proofErr w:type="spellEnd"/>
      <w:r w:rsidRPr="007F77AB">
        <w:rPr>
          <w:sz w:val="20"/>
          <w:szCs w:val="20"/>
        </w:rPr>
        <w:t xml:space="preserve"> </w:t>
      </w:r>
      <w:proofErr w:type="spellStart"/>
      <w:r w:rsidRPr="007F77AB">
        <w:rPr>
          <w:sz w:val="20"/>
          <w:szCs w:val="20"/>
        </w:rPr>
        <w:t>weaknesses</w:t>
      </w:r>
      <w:proofErr w:type="spellEnd"/>
      <w:r w:rsidRPr="007F77AB">
        <w:rPr>
          <w:sz w:val="20"/>
          <w:szCs w:val="20"/>
        </w:rPr>
        <w:t xml:space="preserve">, </w:t>
      </w:r>
      <w:proofErr w:type="spellStart"/>
      <w:r w:rsidRPr="007F77AB">
        <w:rPr>
          <w:sz w:val="20"/>
          <w:szCs w:val="20"/>
        </w:rPr>
        <w:t>particularly</w:t>
      </w:r>
      <w:proofErr w:type="spellEnd"/>
      <w:r w:rsidRPr="007F77AB">
        <w:rPr>
          <w:sz w:val="20"/>
          <w:szCs w:val="20"/>
        </w:rPr>
        <w:t xml:space="preserve"> in </w:t>
      </w:r>
      <w:proofErr w:type="spellStart"/>
      <w:r w:rsidRPr="007F77AB">
        <w:rPr>
          <w:sz w:val="20"/>
          <w:szCs w:val="20"/>
        </w:rPr>
        <w:t>terms</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understanding</w:t>
      </w:r>
      <w:proofErr w:type="spellEnd"/>
      <w:r w:rsidRPr="007F77AB">
        <w:rPr>
          <w:sz w:val="20"/>
          <w:szCs w:val="20"/>
        </w:rPr>
        <w:t xml:space="preserve"> </w:t>
      </w:r>
      <w:proofErr w:type="spellStart"/>
      <w:r w:rsidRPr="007F77AB">
        <w:rPr>
          <w:sz w:val="20"/>
          <w:szCs w:val="20"/>
        </w:rPr>
        <w:t>their</w:t>
      </w:r>
      <w:proofErr w:type="spellEnd"/>
      <w:r w:rsidRPr="007F77AB">
        <w:rPr>
          <w:sz w:val="20"/>
          <w:szCs w:val="20"/>
        </w:rPr>
        <w:t xml:space="preserve"> roles. The </w:t>
      </w:r>
      <w:proofErr w:type="spellStart"/>
      <w:r w:rsidRPr="007F77AB">
        <w:rPr>
          <w:sz w:val="20"/>
          <w:szCs w:val="20"/>
        </w:rPr>
        <w:t>findings</w:t>
      </w:r>
      <w:proofErr w:type="spellEnd"/>
      <w:r w:rsidRPr="007F77AB">
        <w:rPr>
          <w:sz w:val="20"/>
          <w:szCs w:val="20"/>
        </w:rPr>
        <w:t xml:space="preserve"> </w:t>
      </w:r>
      <w:proofErr w:type="spellStart"/>
      <w:r w:rsidRPr="007F77AB">
        <w:rPr>
          <w:sz w:val="20"/>
          <w:szCs w:val="20"/>
        </w:rPr>
        <w:t>also</w:t>
      </w:r>
      <w:proofErr w:type="spellEnd"/>
      <w:r w:rsidRPr="007F77AB">
        <w:rPr>
          <w:sz w:val="20"/>
          <w:szCs w:val="20"/>
        </w:rPr>
        <w:t xml:space="preserve"> </w:t>
      </w:r>
      <w:proofErr w:type="spellStart"/>
      <w:r w:rsidRPr="007F77AB">
        <w:rPr>
          <w:sz w:val="20"/>
          <w:szCs w:val="20"/>
        </w:rPr>
        <w:t>highlight</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centrality</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Executing</w:t>
      </w:r>
      <w:proofErr w:type="spellEnd"/>
      <w:r w:rsidRPr="007F77AB">
        <w:rPr>
          <w:sz w:val="20"/>
          <w:szCs w:val="20"/>
        </w:rPr>
        <w:t xml:space="preserve"> Unit in </w:t>
      </w:r>
      <w:proofErr w:type="spellStart"/>
      <w:r w:rsidRPr="007F77AB">
        <w:rPr>
          <w:sz w:val="20"/>
          <w:szCs w:val="20"/>
        </w:rPr>
        <w:t>decision</w:t>
      </w:r>
      <w:proofErr w:type="spellEnd"/>
      <w:r w:rsidRPr="007F77AB">
        <w:rPr>
          <w:sz w:val="20"/>
          <w:szCs w:val="20"/>
        </w:rPr>
        <w:t xml:space="preserve">-making processes, </w:t>
      </w:r>
      <w:proofErr w:type="spellStart"/>
      <w:r w:rsidRPr="007F77AB">
        <w:rPr>
          <w:sz w:val="20"/>
          <w:szCs w:val="20"/>
        </w:rPr>
        <w:t>while</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School</w:t>
      </w:r>
      <w:proofErr w:type="spellEnd"/>
      <w:r w:rsidRPr="007F77AB">
        <w:rPr>
          <w:sz w:val="20"/>
          <w:szCs w:val="20"/>
        </w:rPr>
        <w:t xml:space="preserve"> </w:t>
      </w:r>
      <w:proofErr w:type="spellStart"/>
      <w:r w:rsidRPr="007F77AB">
        <w:rPr>
          <w:sz w:val="20"/>
          <w:szCs w:val="20"/>
        </w:rPr>
        <w:t>Council</w:t>
      </w:r>
      <w:proofErr w:type="spellEnd"/>
      <w:r w:rsidRPr="007F77AB">
        <w:rPr>
          <w:sz w:val="20"/>
          <w:szCs w:val="20"/>
        </w:rPr>
        <w:t xml:space="preserve"> plays a </w:t>
      </w:r>
      <w:proofErr w:type="spellStart"/>
      <w:r w:rsidRPr="007F77AB">
        <w:rPr>
          <w:sz w:val="20"/>
          <w:szCs w:val="20"/>
        </w:rPr>
        <w:t>secondary</w:t>
      </w:r>
      <w:proofErr w:type="spellEnd"/>
      <w:r w:rsidRPr="007F77AB">
        <w:rPr>
          <w:sz w:val="20"/>
          <w:szCs w:val="20"/>
        </w:rPr>
        <w:t xml:space="preserve"> role, </w:t>
      </w:r>
      <w:proofErr w:type="spellStart"/>
      <w:r w:rsidRPr="007F77AB">
        <w:rPr>
          <w:sz w:val="20"/>
          <w:szCs w:val="20"/>
        </w:rPr>
        <w:t>often</w:t>
      </w:r>
      <w:proofErr w:type="spellEnd"/>
      <w:r w:rsidRPr="007F77AB">
        <w:rPr>
          <w:sz w:val="20"/>
          <w:szCs w:val="20"/>
        </w:rPr>
        <w:t xml:space="preserve"> </w:t>
      </w:r>
      <w:proofErr w:type="spellStart"/>
      <w:r w:rsidRPr="007F77AB">
        <w:rPr>
          <w:sz w:val="20"/>
          <w:szCs w:val="20"/>
        </w:rPr>
        <w:t>limited</w:t>
      </w:r>
      <w:proofErr w:type="spellEnd"/>
      <w:r w:rsidRPr="007F77AB">
        <w:rPr>
          <w:sz w:val="20"/>
          <w:szCs w:val="20"/>
        </w:rPr>
        <w:t xml:space="preserve"> </w:t>
      </w:r>
      <w:proofErr w:type="spellStart"/>
      <w:r w:rsidRPr="007F77AB">
        <w:rPr>
          <w:sz w:val="20"/>
          <w:szCs w:val="20"/>
        </w:rPr>
        <w:t>to</w:t>
      </w:r>
      <w:proofErr w:type="spellEnd"/>
      <w:r w:rsidRPr="007F77AB">
        <w:rPr>
          <w:sz w:val="20"/>
          <w:szCs w:val="20"/>
        </w:rPr>
        <w:t xml:space="preserve"> </w:t>
      </w:r>
      <w:proofErr w:type="spellStart"/>
      <w:r w:rsidRPr="007F77AB">
        <w:rPr>
          <w:sz w:val="20"/>
          <w:szCs w:val="20"/>
        </w:rPr>
        <w:t>the</w:t>
      </w:r>
      <w:proofErr w:type="spellEnd"/>
      <w:r w:rsidRPr="007F77AB">
        <w:rPr>
          <w:sz w:val="20"/>
          <w:szCs w:val="20"/>
        </w:rPr>
        <w:t xml:space="preserve"> </w:t>
      </w:r>
      <w:proofErr w:type="spellStart"/>
      <w:r w:rsidRPr="007F77AB">
        <w:rPr>
          <w:sz w:val="20"/>
          <w:szCs w:val="20"/>
        </w:rPr>
        <w:t>formalization</w:t>
      </w:r>
      <w:proofErr w:type="spellEnd"/>
      <w:r w:rsidRPr="007F77AB">
        <w:rPr>
          <w:sz w:val="20"/>
          <w:szCs w:val="20"/>
        </w:rPr>
        <w:t xml:space="preserve"> </w:t>
      </w:r>
      <w:proofErr w:type="spellStart"/>
      <w:r w:rsidRPr="007F77AB">
        <w:rPr>
          <w:sz w:val="20"/>
          <w:szCs w:val="20"/>
        </w:rPr>
        <w:t>of</w:t>
      </w:r>
      <w:proofErr w:type="spellEnd"/>
      <w:r w:rsidRPr="007F77AB">
        <w:rPr>
          <w:sz w:val="20"/>
          <w:szCs w:val="20"/>
        </w:rPr>
        <w:t xml:space="preserve"> </w:t>
      </w:r>
      <w:proofErr w:type="spellStart"/>
      <w:r w:rsidRPr="007F77AB">
        <w:rPr>
          <w:sz w:val="20"/>
          <w:szCs w:val="20"/>
        </w:rPr>
        <w:t>actions</w:t>
      </w:r>
      <w:proofErr w:type="spellEnd"/>
      <w:r w:rsidRPr="007F77AB">
        <w:rPr>
          <w:sz w:val="20"/>
          <w:szCs w:val="20"/>
        </w:rPr>
        <w:t>.</w:t>
      </w:r>
      <w:r w:rsidRPr="007F77AB">
        <w:rPr>
          <w:sz w:val="20"/>
          <w:szCs w:val="20"/>
        </w:rPr>
        <w:br/>
      </w:r>
      <w:r w:rsidRPr="007F77AB">
        <w:rPr>
          <w:b/>
          <w:bCs/>
          <w:sz w:val="20"/>
          <w:szCs w:val="20"/>
        </w:rPr>
        <w:t>Keywords:</w:t>
      </w:r>
      <w:r w:rsidRPr="007F77AB">
        <w:rPr>
          <w:sz w:val="20"/>
          <w:szCs w:val="20"/>
        </w:rPr>
        <w:t xml:space="preserve"> </w:t>
      </w:r>
      <w:proofErr w:type="spellStart"/>
      <w:r w:rsidRPr="007F77AB">
        <w:rPr>
          <w:sz w:val="20"/>
          <w:szCs w:val="20"/>
        </w:rPr>
        <w:t>Democratic</w:t>
      </w:r>
      <w:proofErr w:type="spellEnd"/>
      <w:r w:rsidRPr="007F77AB">
        <w:rPr>
          <w:sz w:val="20"/>
          <w:szCs w:val="20"/>
        </w:rPr>
        <w:t xml:space="preserve"> management; </w:t>
      </w:r>
      <w:proofErr w:type="spellStart"/>
      <w:r w:rsidRPr="007F77AB">
        <w:rPr>
          <w:sz w:val="20"/>
          <w:szCs w:val="20"/>
        </w:rPr>
        <w:t>School</w:t>
      </w:r>
      <w:proofErr w:type="spellEnd"/>
      <w:r w:rsidRPr="007F77AB">
        <w:rPr>
          <w:sz w:val="20"/>
          <w:szCs w:val="20"/>
        </w:rPr>
        <w:t xml:space="preserve"> </w:t>
      </w:r>
      <w:proofErr w:type="spellStart"/>
      <w:r w:rsidRPr="007F77AB">
        <w:rPr>
          <w:sz w:val="20"/>
          <w:szCs w:val="20"/>
        </w:rPr>
        <w:t>Council</w:t>
      </w:r>
      <w:proofErr w:type="spellEnd"/>
      <w:r w:rsidRPr="007F77AB">
        <w:rPr>
          <w:sz w:val="20"/>
          <w:szCs w:val="20"/>
        </w:rPr>
        <w:t xml:space="preserve">; </w:t>
      </w:r>
      <w:proofErr w:type="spellStart"/>
      <w:r w:rsidRPr="007F77AB">
        <w:rPr>
          <w:sz w:val="20"/>
          <w:szCs w:val="20"/>
        </w:rPr>
        <w:t>Executing</w:t>
      </w:r>
      <w:proofErr w:type="spellEnd"/>
      <w:r w:rsidRPr="007F77AB">
        <w:rPr>
          <w:sz w:val="20"/>
          <w:szCs w:val="20"/>
        </w:rPr>
        <w:t xml:space="preserve"> Unit; </w:t>
      </w:r>
      <w:proofErr w:type="spellStart"/>
      <w:r w:rsidRPr="007F77AB">
        <w:rPr>
          <w:sz w:val="20"/>
          <w:szCs w:val="20"/>
        </w:rPr>
        <w:t>Participation</w:t>
      </w:r>
      <w:proofErr w:type="spellEnd"/>
      <w:r w:rsidRPr="007F77AB">
        <w:rPr>
          <w:sz w:val="20"/>
          <w:szCs w:val="20"/>
        </w:rPr>
        <w:t xml:space="preserve">; </w:t>
      </w:r>
      <w:proofErr w:type="spellStart"/>
      <w:r w:rsidRPr="007F77AB">
        <w:rPr>
          <w:sz w:val="20"/>
          <w:szCs w:val="20"/>
        </w:rPr>
        <w:t>Public</w:t>
      </w:r>
      <w:proofErr w:type="spellEnd"/>
      <w:r w:rsidRPr="007F77AB">
        <w:rPr>
          <w:sz w:val="20"/>
          <w:szCs w:val="20"/>
        </w:rPr>
        <w:t xml:space="preserve"> </w:t>
      </w:r>
      <w:proofErr w:type="spellStart"/>
      <w:r w:rsidRPr="007F77AB">
        <w:rPr>
          <w:sz w:val="20"/>
          <w:szCs w:val="20"/>
        </w:rPr>
        <w:t>school</w:t>
      </w:r>
      <w:proofErr w:type="spellEnd"/>
      <w:r w:rsidRPr="007F77AB">
        <w:rPr>
          <w:sz w:val="20"/>
          <w:szCs w:val="20"/>
        </w:rPr>
        <w:t>.</w:t>
      </w:r>
    </w:p>
    <w:p w14:paraId="5DC9C851" w14:textId="77777777" w:rsidR="00026ADA" w:rsidRDefault="00026ADA">
      <w:pPr>
        <w:spacing w:line="240" w:lineRule="auto"/>
        <w:ind w:left="2835"/>
        <w:jc w:val="both"/>
        <w:rPr>
          <w:sz w:val="20"/>
          <w:szCs w:val="20"/>
        </w:rPr>
      </w:pPr>
    </w:p>
    <w:p w14:paraId="2116C3C4" w14:textId="77777777" w:rsidR="00026ADA" w:rsidRDefault="00026ADA">
      <w:pPr>
        <w:spacing w:line="240" w:lineRule="auto"/>
        <w:ind w:left="2835"/>
        <w:jc w:val="both"/>
        <w:rPr>
          <w:sz w:val="20"/>
          <w:szCs w:val="20"/>
        </w:rPr>
      </w:pPr>
    </w:p>
    <w:p w14:paraId="0160EA35" w14:textId="77777777" w:rsidR="00026ADA" w:rsidRDefault="00026ADA">
      <w:pPr>
        <w:spacing w:line="240" w:lineRule="auto"/>
        <w:ind w:left="2835"/>
        <w:jc w:val="both"/>
        <w:rPr>
          <w:sz w:val="20"/>
          <w:szCs w:val="20"/>
        </w:rPr>
      </w:pPr>
    </w:p>
    <w:p w14:paraId="7E05A8F9" w14:textId="77777777" w:rsidR="00026ADA" w:rsidRDefault="00026ADA">
      <w:pPr>
        <w:spacing w:line="240" w:lineRule="auto"/>
        <w:ind w:left="2835"/>
        <w:jc w:val="both"/>
        <w:rPr>
          <w:sz w:val="20"/>
          <w:szCs w:val="20"/>
        </w:rPr>
      </w:pPr>
    </w:p>
    <w:p w14:paraId="3A3061BA" w14:textId="77777777" w:rsidR="00026ADA" w:rsidRDefault="00026ADA">
      <w:pPr>
        <w:spacing w:line="240" w:lineRule="auto"/>
        <w:ind w:left="2835"/>
        <w:jc w:val="both"/>
        <w:rPr>
          <w:sz w:val="20"/>
          <w:szCs w:val="20"/>
        </w:rPr>
      </w:pPr>
    </w:p>
    <w:p w14:paraId="6D21F8F4" w14:textId="77777777" w:rsidR="00026ADA" w:rsidRDefault="00026ADA">
      <w:pPr>
        <w:spacing w:line="240" w:lineRule="auto"/>
        <w:ind w:left="2835"/>
        <w:jc w:val="both"/>
        <w:rPr>
          <w:sz w:val="20"/>
          <w:szCs w:val="20"/>
        </w:rPr>
      </w:pPr>
    </w:p>
    <w:p w14:paraId="4B58A76B" w14:textId="77777777" w:rsidR="00026ADA" w:rsidRDefault="00026ADA">
      <w:pPr>
        <w:spacing w:line="240" w:lineRule="auto"/>
        <w:ind w:left="2835"/>
        <w:jc w:val="both"/>
        <w:rPr>
          <w:sz w:val="20"/>
          <w:szCs w:val="20"/>
        </w:rPr>
      </w:pPr>
    </w:p>
    <w:p w14:paraId="231B9A9A" w14:textId="77777777" w:rsidR="00026ADA" w:rsidRDefault="00026ADA">
      <w:pPr>
        <w:spacing w:line="240" w:lineRule="auto"/>
        <w:ind w:left="2835"/>
        <w:jc w:val="both"/>
        <w:rPr>
          <w:sz w:val="20"/>
          <w:szCs w:val="20"/>
        </w:rPr>
      </w:pPr>
    </w:p>
    <w:p w14:paraId="7506BA8B" w14:textId="77777777" w:rsidR="00026ADA" w:rsidRDefault="00026ADA">
      <w:pPr>
        <w:spacing w:line="240" w:lineRule="auto"/>
        <w:ind w:left="2835"/>
        <w:jc w:val="both"/>
        <w:rPr>
          <w:sz w:val="20"/>
          <w:szCs w:val="20"/>
        </w:rPr>
      </w:pPr>
    </w:p>
    <w:p w14:paraId="1E2F53F8" w14:textId="77777777" w:rsidR="00026ADA" w:rsidRDefault="00000000">
      <w:pPr>
        <w:spacing w:line="360" w:lineRule="auto"/>
        <w:rPr>
          <w:sz w:val="24"/>
          <w:szCs w:val="24"/>
        </w:rPr>
      </w:pPr>
      <w:r>
        <w:rPr>
          <w:b/>
          <w:sz w:val="24"/>
          <w:szCs w:val="24"/>
        </w:rPr>
        <w:t>1</w:t>
      </w:r>
      <w:r>
        <w:tab/>
      </w:r>
      <w:r>
        <w:rPr>
          <w:b/>
          <w:sz w:val="24"/>
          <w:szCs w:val="24"/>
        </w:rPr>
        <w:t>INTRODUÇÃO</w:t>
      </w:r>
    </w:p>
    <w:p w14:paraId="18B5131C" w14:textId="77777777" w:rsidR="00026ADA" w:rsidRDefault="00000000">
      <w:pPr>
        <w:spacing w:before="240" w:after="240" w:line="360" w:lineRule="auto"/>
        <w:ind w:firstLine="720"/>
        <w:jc w:val="both"/>
        <w:rPr>
          <w:sz w:val="24"/>
          <w:szCs w:val="24"/>
        </w:rPr>
      </w:pPr>
      <w:r>
        <w:rPr>
          <w:sz w:val="24"/>
          <w:szCs w:val="24"/>
        </w:rPr>
        <w:t>A gestão democrática da escola pública, garantida pela Constituição Federal de 1988 e pela Lei de Diretrizes e Bases da Educação Nacional (LDB n.º 9.394/96), representa um dos pilares fundamentais para a construção de uma educação cidadã, participativa e de qualidade social. Entre os instrumentos que concretizam esse princípio destacam-se os órgãos colegiados, como o Conselho Escolar e a Unidade Executora (</w:t>
      </w:r>
      <w:proofErr w:type="spellStart"/>
      <w:r>
        <w:rPr>
          <w:sz w:val="24"/>
          <w:szCs w:val="24"/>
        </w:rPr>
        <w:t>UEx</w:t>
      </w:r>
      <w:proofErr w:type="spellEnd"/>
      <w:r>
        <w:rPr>
          <w:sz w:val="24"/>
          <w:szCs w:val="24"/>
        </w:rPr>
        <w:t>), cuja atuação está associada ao fortalecimento do controle social, da transparência e da corresponsabilidade no processo de gestão educacional.</w:t>
      </w:r>
    </w:p>
    <w:p w14:paraId="75AACD9E" w14:textId="77777777" w:rsidR="00026ADA" w:rsidRDefault="00000000">
      <w:pPr>
        <w:spacing w:before="240" w:after="240" w:line="360" w:lineRule="auto"/>
        <w:ind w:firstLine="720"/>
        <w:jc w:val="both"/>
        <w:rPr>
          <w:sz w:val="24"/>
          <w:szCs w:val="24"/>
        </w:rPr>
      </w:pPr>
      <w:r>
        <w:rPr>
          <w:sz w:val="24"/>
          <w:szCs w:val="24"/>
        </w:rPr>
        <w:t>Apesar das normativas que asseguram a presença desses colegiados como instâncias de deliberação, fiscalização e mobilização, há indícios de que sua efetividade no cotidiano das escolas públicas ainda é frágil. Observa-se, em diversos contextos, a existência formal dessas estruturas nos documentos institucionais, mas com funcionamento limitado, desarticulado ou esvaziado de participação comunitária. Nesse cenário, torna-se necessário problematizar a maneira como os colegiados coexistem nas escolas e qual a percepção dos gestores sobre suas atribuições, sobreposições e importância no processo decisório.</w:t>
      </w:r>
    </w:p>
    <w:p w14:paraId="349F2C4C" w14:textId="77777777" w:rsidR="00026ADA" w:rsidRDefault="00000000">
      <w:pPr>
        <w:spacing w:before="240" w:after="240" w:line="360" w:lineRule="auto"/>
        <w:ind w:firstLine="720"/>
        <w:jc w:val="both"/>
        <w:rPr>
          <w:sz w:val="24"/>
          <w:szCs w:val="24"/>
        </w:rPr>
      </w:pPr>
      <w:r>
        <w:rPr>
          <w:sz w:val="24"/>
          <w:szCs w:val="24"/>
        </w:rPr>
        <w:t>Diante dessa realidade, este trabalho tem como objetivo analisar a atuação dos conselhos escolares e das unidades executoras em escolas públicas dos municípios de Tocantinópolis (TO) e Porto Franco (MA), com foco na forma como coexistem no cotidiano escolar e na avaliação que os gestores fazem dessa relação. Buscou-se compreender se há clareza quanto às atribuições específicas de cada colegiado, se há sobreposição de funções e quais aspectos ainda carecem de aprimoramento para o fortalecimento da gestão democrática.</w:t>
      </w:r>
    </w:p>
    <w:p w14:paraId="597329DD" w14:textId="77777777" w:rsidR="00026ADA" w:rsidRDefault="00000000">
      <w:pPr>
        <w:spacing w:before="240" w:after="240" w:line="360" w:lineRule="auto"/>
        <w:ind w:firstLine="720"/>
        <w:jc w:val="both"/>
        <w:rPr>
          <w:sz w:val="24"/>
          <w:szCs w:val="24"/>
        </w:rPr>
      </w:pPr>
      <w:r>
        <w:rPr>
          <w:sz w:val="24"/>
          <w:szCs w:val="24"/>
        </w:rPr>
        <w:lastRenderedPageBreak/>
        <w:t>A pesquisa foi orientada por uma abordagem qualitativa, com aplicação de entrevistas semiestruturadas a diretores de quatro escolas públicas localizadas nos referidos municípios. A partir do levantamento e da análise dos dados empíricos, procurou-se confrontar os discursos dos gestores com os fundamentos legais.</w:t>
      </w:r>
    </w:p>
    <w:p w14:paraId="3219DD5A" w14:textId="77777777" w:rsidR="00026ADA" w:rsidRDefault="00000000">
      <w:pPr>
        <w:spacing w:before="240" w:after="240" w:line="360" w:lineRule="auto"/>
        <w:ind w:firstLine="709"/>
        <w:jc w:val="both"/>
        <w:rPr>
          <w:sz w:val="24"/>
          <w:szCs w:val="24"/>
        </w:rPr>
      </w:pPr>
      <w:r>
        <w:rPr>
          <w:sz w:val="24"/>
          <w:szCs w:val="24"/>
        </w:rPr>
        <w:t>A investigação está ancorada na perspectiva crítico-emancipatória da educação, compreendendo a escola como espaço de formação política e construção de cidadania. Nesse sentido, a análise da relação entre os colegiados escolares permite revelar tensões entre o currículo formal e o real, bem como as possibilidades e os limites da participação coletiva na condução da escola pública brasileira.</w:t>
      </w:r>
    </w:p>
    <w:p w14:paraId="254D85E9" w14:textId="77777777" w:rsidR="00026ADA" w:rsidRDefault="00000000">
      <w:pPr>
        <w:spacing w:before="240" w:after="240" w:line="360" w:lineRule="auto"/>
        <w:ind w:firstLine="720"/>
        <w:jc w:val="both"/>
        <w:rPr>
          <w:sz w:val="24"/>
          <w:szCs w:val="24"/>
        </w:rPr>
      </w:pPr>
      <w:r>
        <w:rPr>
          <w:color w:val="000000"/>
          <w:sz w:val="24"/>
          <w:szCs w:val="24"/>
        </w:rPr>
        <w:t>A gestão democrática da escola pública é uma exigência legal e um fundamento essencial para a construção de uma educação cidadã. Prevista no artigo 206, inciso VI, da Constituição Federal de 1988, e reafirmada na Lei de Diretrizes e Bases da Educação Nacional (LDB), Lei n.º 9.394/1996, essa forma de gestão se realiza concretamente através de estruturas que viabilizam a participação efetiva da comunidade escolar. Entre essas estruturas, destacam-se os colegiados escolares, com ênfase para o Conselho Escolar e a Unidade Executora.</w:t>
      </w:r>
    </w:p>
    <w:p w14:paraId="2A1708AC" w14:textId="77777777" w:rsidR="00026ADA" w:rsidRDefault="00000000">
      <w:pPr>
        <w:spacing w:before="240" w:after="240" w:line="360" w:lineRule="auto"/>
        <w:ind w:firstLine="720"/>
        <w:jc w:val="both"/>
        <w:rPr>
          <w:sz w:val="24"/>
          <w:szCs w:val="24"/>
        </w:rPr>
      </w:pPr>
      <w:r>
        <w:rPr>
          <w:color w:val="000000"/>
          <w:sz w:val="24"/>
          <w:szCs w:val="24"/>
        </w:rPr>
        <w:t>Essas instâncias são expressões concretas da gestão colegiada e da participação cidadã, permitindo que professores, funcionários, estudantes, pais e representantes da comunidade deliberem sobre questões fundamentais da vida escolar. Não se trata apenas de garantir voz aos diversos segmentos, mas de instituir mecanismos institucionais que possibilitem decisões compartilhadas, controle social e corresponsabilidade na gestão dos recursos e na qualidade do processo educacional.</w:t>
      </w:r>
    </w:p>
    <w:p w14:paraId="50B47DD5" w14:textId="77777777" w:rsidR="00026ADA" w:rsidRDefault="00000000">
      <w:pPr>
        <w:spacing w:before="240" w:after="240" w:line="360" w:lineRule="auto"/>
        <w:ind w:firstLine="720"/>
        <w:jc w:val="both"/>
        <w:rPr>
          <w:sz w:val="24"/>
          <w:szCs w:val="24"/>
        </w:rPr>
      </w:pPr>
      <w:r>
        <w:rPr>
          <w:color w:val="000000"/>
          <w:sz w:val="24"/>
          <w:szCs w:val="24"/>
        </w:rPr>
        <w:lastRenderedPageBreak/>
        <w:t>A LDB, no art. 14, determina que os sistemas de ensino definirão normas da gestão democrática conforme os princípios de "participação dos profissionais da educação na elaboração do projeto pedagógico da escola" (inciso I) e de "participação das comunidades escolar e local em conselhos escolares ou equivalentes" (inciso II) (BRASIL, 1996). Isso evidencia que o Conselho Escolar deve ser compreendido como um órgão central na operacionalização da gestão democrática.</w:t>
      </w:r>
    </w:p>
    <w:p w14:paraId="374C3BEE" w14:textId="77777777" w:rsidR="00026ADA" w:rsidRDefault="00000000">
      <w:pPr>
        <w:spacing w:before="240" w:after="240" w:line="360" w:lineRule="auto"/>
        <w:ind w:firstLine="720"/>
        <w:jc w:val="both"/>
        <w:rPr>
          <w:sz w:val="24"/>
          <w:szCs w:val="24"/>
        </w:rPr>
      </w:pPr>
      <w:r>
        <w:rPr>
          <w:color w:val="000000"/>
          <w:sz w:val="24"/>
          <w:szCs w:val="24"/>
        </w:rPr>
        <w:t>Segundo Gadotti (2014), “a gestão democrática não é só um princípio pedagógico. É também um preceito constitucional” (p. 8). Para o autor, a efetiva participação social nos processos de tomada de decisão escolar fortalece a democracia e qualifica as políticas educacionais. A criação e o fortalecimento dos colegiados escolares são, portanto, instrumentos fundamentais de democratização das relações institucionais.</w:t>
      </w:r>
    </w:p>
    <w:p w14:paraId="02A3F45A" w14:textId="77777777" w:rsidR="00026ADA" w:rsidRDefault="00000000">
      <w:pPr>
        <w:spacing w:before="240" w:after="240" w:line="360" w:lineRule="auto"/>
        <w:ind w:firstLine="720"/>
        <w:jc w:val="both"/>
        <w:rPr>
          <w:sz w:val="24"/>
          <w:szCs w:val="24"/>
        </w:rPr>
      </w:pPr>
      <w:r>
        <w:rPr>
          <w:color w:val="000000"/>
          <w:sz w:val="24"/>
          <w:szCs w:val="24"/>
        </w:rPr>
        <w:t>No contexto da escola pública brasileira, o Conselho Escolar exerce funções consultivas, deliberativas e fiscalizadoras. Além de acompanhar a execução do projeto político-pedagógico (PPP), o conselho atua na gestão administrativa e financeira, especialmente quando articulado com a Unidade Executora (</w:t>
      </w:r>
      <w:proofErr w:type="spellStart"/>
      <w:r>
        <w:rPr>
          <w:color w:val="000000"/>
          <w:sz w:val="24"/>
          <w:szCs w:val="24"/>
        </w:rPr>
        <w:t>UEx</w:t>
      </w:r>
      <w:proofErr w:type="spellEnd"/>
      <w:r>
        <w:rPr>
          <w:color w:val="000000"/>
          <w:sz w:val="24"/>
          <w:szCs w:val="24"/>
        </w:rPr>
        <w:t>). Esta, por sua vez, é responsável por operacionalizar a aplicação dos recursos públicos recebidos por meio de programas como o Programa Dinheiro Direto na Escola (PDDE).</w:t>
      </w:r>
    </w:p>
    <w:p w14:paraId="66E1E0D5" w14:textId="77777777" w:rsidR="00026ADA" w:rsidRDefault="00000000">
      <w:pPr>
        <w:spacing w:before="240" w:after="240" w:line="360" w:lineRule="auto"/>
        <w:ind w:firstLine="720"/>
        <w:jc w:val="both"/>
        <w:rPr>
          <w:sz w:val="24"/>
          <w:szCs w:val="24"/>
        </w:rPr>
      </w:pPr>
      <w:r>
        <w:rPr>
          <w:color w:val="000000"/>
          <w:sz w:val="24"/>
          <w:szCs w:val="24"/>
        </w:rPr>
        <w:t>A Resolução CNE/CEB n.º 1/2012, que estabelece diretrizes nacionais para a gestão democrática da educação básica na escola pública, reforça o papel dos conselhos escolares como espaços de articulação entre os diferentes segmentos da escola. Segundo o documento, cabe ao Conselho Escolar promover a participação da comunidade nas decisões da escola, garantindo a transparência dos atos administrativos e a defesa do interesse coletivo (Brasil, 2012).</w:t>
      </w:r>
    </w:p>
    <w:p w14:paraId="027B37CE" w14:textId="77777777" w:rsidR="00026ADA" w:rsidRDefault="00000000">
      <w:pPr>
        <w:spacing w:before="240" w:after="240" w:line="360" w:lineRule="auto"/>
        <w:ind w:firstLine="720"/>
        <w:jc w:val="both"/>
        <w:rPr>
          <w:sz w:val="24"/>
          <w:szCs w:val="24"/>
        </w:rPr>
      </w:pPr>
      <w:r>
        <w:rPr>
          <w:color w:val="000000"/>
          <w:sz w:val="24"/>
          <w:szCs w:val="24"/>
        </w:rPr>
        <w:lastRenderedPageBreak/>
        <w:t>O Programa Nacional de Fortalecimento dos Conselhos Escolares, coordenado pelo MEC, também enfatiza a importância desses órgãos na consolidação da gestão democrática. De acordo com os materiais de formação do programa, o Conselho Escolar deve ser compreendido como um colegiado que contribui para a construção de uma cultura participativa na escola, promovendo o diálogo entre os atores escolares e fortalecendo o vínculo da escola com a comunidade local (</w:t>
      </w:r>
      <w:proofErr w:type="spellStart"/>
      <w:r>
        <w:rPr>
          <w:color w:val="000000"/>
          <w:sz w:val="24"/>
          <w:szCs w:val="24"/>
        </w:rPr>
        <w:t>BrasiL</w:t>
      </w:r>
      <w:proofErr w:type="spellEnd"/>
      <w:r>
        <w:rPr>
          <w:color w:val="000000"/>
          <w:sz w:val="24"/>
          <w:szCs w:val="24"/>
        </w:rPr>
        <w:t>, 2014).</w:t>
      </w:r>
    </w:p>
    <w:p w14:paraId="4C189DF2" w14:textId="77777777" w:rsidR="00026ADA" w:rsidRDefault="00000000">
      <w:pPr>
        <w:spacing w:before="240" w:after="240" w:line="360" w:lineRule="auto"/>
        <w:ind w:firstLine="720"/>
        <w:jc w:val="both"/>
        <w:rPr>
          <w:sz w:val="24"/>
          <w:szCs w:val="24"/>
        </w:rPr>
      </w:pPr>
      <w:r>
        <w:rPr>
          <w:color w:val="000000"/>
          <w:sz w:val="24"/>
          <w:szCs w:val="24"/>
        </w:rPr>
        <w:t>A Unidade Executora, por sua vez, é uma associação civil legalmente constituída, formada por membros da comunidade escolar, que tem por finalidade gerir os recursos financeiros recebidos pela escola, especialmente os repassados por programas federais. Sua existência se relaciona diretamente com a autonomia financeira da unidade escolar, e seu funcionamento depende da transparência, da prestação de contas e da participação efetiva dos conselheiros escolares.</w:t>
      </w:r>
    </w:p>
    <w:p w14:paraId="67702B06" w14:textId="77777777" w:rsidR="00026ADA" w:rsidRDefault="00000000">
      <w:pPr>
        <w:spacing w:before="240" w:after="240" w:line="360" w:lineRule="auto"/>
        <w:ind w:firstLine="720"/>
        <w:jc w:val="both"/>
        <w:rPr>
          <w:sz w:val="24"/>
          <w:szCs w:val="24"/>
        </w:rPr>
      </w:pPr>
      <w:r>
        <w:rPr>
          <w:color w:val="000000"/>
          <w:sz w:val="24"/>
          <w:szCs w:val="24"/>
        </w:rPr>
        <w:t>Nesse sentido, Conselho Escolar e Unidade Executora devem atuar de forma integrada, respeitando suas atribuições e buscando garantir a aplicação correta dos recursos, o cumprimento dos objetivos pedagógicos e a gestão responsável. Essa articulação deve ser regida pelos princípios da legalidade, impessoalidade, moralidade, publicidade e eficiência, conforme estabelecido no caput do art. 37 da Constituição Federal de 1988.</w:t>
      </w:r>
    </w:p>
    <w:p w14:paraId="552F7B6A" w14:textId="77777777" w:rsidR="00026ADA" w:rsidRDefault="00000000">
      <w:pPr>
        <w:spacing w:before="240" w:after="240" w:line="360" w:lineRule="auto"/>
        <w:ind w:firstLine="720"/>
        <w:jc w:val="both"/>
        <w:rPr>
          <w:sz w:val="24"/>
          <w:szCs w:val="24"/>
        </w:rPr>
      </w:pPr>
      <w:r>
        <w:rPr>
          <w:color w:val="000000"/>
          <w:sz w:val="24"/>
          <w:szCs w:val="24"/>
        </w:rPr>
        <w:t xml:space="preserve">No âmbito pedagógico, o Conselho Escolar atua na elaboração, acompanhamento e avaliação do Projeto Político-Pedagógico (PPP), influenciando diretamente as práticas educativas. Segundo o Programa Nacional de Fortalecimento dos Conselhos Escolares, o conselho deve "contribuir para a construção de uma cultura participativa na escola, promovendo o diálogo entre os atores escolares e fortalecendo o vínculo da escola com a comunidade local" (Brasil, 2014). O </w:t>
      </w:r>
      <w:r>
        <w:rPr>
          <w:color w:val="000000"/>
          <w:sz w:val="24"/>
          <w:szCs w:val="24"/>
        </w:rPr>
        <w:lastRenderedPageBreak/>
        <w:t>envolvimento do conselho em questões pedagógicas é um fator essencial para que as práticas escolares estejam alinhadas com as necessidades sociais e culturais da comunidade.</w:t>
      </w:r>
    </w:p>
    <w:p w14:paraId="71269D5C" w14:textId="14EE5595" w:rsidR="00026ADA" w:rsidRDefault="00000000" w:rsidP="003F256B">
      <w:pPr>
        <w:spacing w:before="240" w:after="240" w:line="360" w:lineRule="auto"/>
        <w:ind w:firstLine="720"/>
        <w:jc w:val="both"/>
        <w:rPr>
          <w:sz w:val="24"/>
          <w:szCs w:val="24"/>
        </w:rPr>
      </w:pPr>
      <w:r>
        <w:rPr>
          <w:color w:val="000000"/>
          <w:sz w:val="24"/>
          <w:szCs w:val="24"/>
        </w:rPr>
        <w:t>Por fim, a função social do Conselho Escolar é percebida na sua capacidade de integrar a escola com seu entorno social, promovendo o envolvimento das famílias, a articulação com outras instituições e a construção de uma escola cidadã. Como sintetiza Conceição (2007, p. 16), "estes conselhos [...] devem ser entendidos como uma ferramenta de extrema importância para a consolidação de uma escola organizada e pautada na participação e na construção da cidadania de seus alunos".</w:t>
      </w:r>
    </w:p>
    <w:p w14:paraId="716FBB8B" w14:textId="77777777" w:rsidR="00026ADA" w:rsidRDefault="00000000">
      <w:pPr>
        <w:spacing w:before="240" w:after="240" w:line="360" w:lineRule="auto"/>
        <w:jc w:val="both"/>
        <w:rPr>
          <w:sz w:val="24"/>
          <w:szCs w:val="24"/>
        </w:rPr>
      </w:pPr>
      <w:r>
        <w:rPr>
          <w:b/>
          <w:color w:val="000000"/>
          <w:sz w:val="24"/>
          <w:szCs w:val="24"/>
        </w:rPr>
        <w:t>2. UNIDADE EXECUTORA: AUTONOMIA FINANCEIRA E CONTROLE SOCIAL</w:t>
      </w:r>
    </w:p>
    <w:p w14:paraId="667ABDB4" w14:textId="77777777" w:rsidR="00026ADA" w:rsidRDefault="00000000">
      <w:pPr>
        <w:spacing w:before="240" w:after="240" w:line="360" w:lineRule="auto"/>
        <w:ind w:firstLine="720"/>
        <w:jc w:val="both"/>
        <w:rPr>
          <w:sz w:val="24"/>
          <w:szCs w:val="24"/>
        </w:rPr>
      </w:pPr>
      <w:r>
        <w:rPr>
          <w:color w:val="000000"/>
          <w:sz w:val="24"/>
          <w:szCs w:val="24"/>
        </w:rPr>
        <w:t>A Unidade Executora (</w:t>
      </w:r>
      <w:proofErr w:type="spellStart"/>
      <w:r>
        <w:rPr>
          <w:color w:val="000000"/>
          <w:sz w:val="24"/>
          <w:szCs w:val="24"/>
        </w:rPr>
        <w:t>UEx</w:t>
      </w:r>
      <w:proofErr w:type="spellEnd"/>
      <w:r>
        <w:rPr>
          <w:color w:val="000000"/>
          <w:sz w:val="24"/>
          <w:szCs w:val="24"/>
        </w:rPr>
        <w:t>) é um colegiado institucional que desempenha papel fundamental na gestão financeira da escola pública brasileira, atuando como instrumento da autonomia administrativa e da transparência na aplicação de recursos públicos. Sua existência está relacionada a programas de descentralização financeira, especialmente ao Programa Dinheiro Direto na Escola (PDDE), implementado pelo Governo Federal por meio do Fundo Nacional de Desenvolvimento da Educação (FNDE).</w:t>
      </w:r>
    </w:p>
    <w:p w14:paraId="0DCC8620" w14:textId="77777777" w:rsidR="00026ADA" w:rsidRDefault="00000000">
      <w:pPr>
        <w:spacing w:before="240" w:after="240" w:line="360" w:lineRule="auto"/>
        <w:ind w:firstLine="720"/>
        <w:jc w:val="both"/>
        <w:rPr>
          <w:sz w:val="24"/>
          <w:szCs w:val="24"/>
        </w:rPr>
      </w:pPr>
      <w:r>
        <w:rPr>
          <w:color w:val="000000"/>
          <w:sz w:val="24"/>
          <w:szCs w:val="24"/>
        </w:rPr>
        <w:t xml:space="preserve">Do ponto de vista legal, a Unidade Executora encontra respaldo no art. 15 da Lei de Diretrizes e Bases da Educação Nacional (Lei n. 9.394/1996), que estabelece a obrigatoriedade de os sistemas de ensino assegurarem às unidades escolares públicas "progressivos graus de autonomia pedagógica, administrativa e de gestão financeira" (BRASIL, 1996). A autonomia de gestão financeira, nesse contexto, implica a capacidade da escola de gerir diretamente os recursos que lhe são destinados, com </w:t>
      </w:r>
      <w:r>
        <w:rPr>
          <w:color w:val="000000"/>
          <w:sz w:val="24"/>
          <w:szCs w:val="24"/>
        </w:rPr>
        <w:lastRenderedPageBreak/>
        <w:t>vistas à melhoria da infraestrutura, das condições de ensino e da participação comunitária.</w:t>
      </w:r>
    </w:p>
    <w:p w14:paraId="7A422408" w14:textId="77777777" w:rsidR="00026ADA" w:rsidRDefault="00000000">
      <w:pPr>
        <w:spacing w:before="240" w:after="240" w:line="360" w:lineRule="auto"/>
        <w:ind w:firstLine="720"/>
        <w:jc w:val="both"/>
        <w:rPr>
          <w:sz w:val="24"/>
          <w:szCs w:val="24"/>
        </w:rPr>
      </w:pPr>
      <w:r>
        <w:rPr>
          <w:color w:val="000000"/>
          <w:sz w:val="24"/>
          <w:szCs w:val="24"/>
        </w:rPr>
        <w:t xml:space="preserve">A Resolução FNDE n. 15/2007 é o principal marco normativo que regula o funcionamento e as atribuições da Unidade Executora. De acordo com essa resolução, a </w:t>
      </w:r>
      <w:proofErr w:type="spellStart"/>
      <w:r>
        <w:rPr>
          <w:color w:val="000000"/>
          <w:sz w:val="24"/>
          <w:szCs w:val="24"/>
        </w:rPr>
        <w:t>UEx</w:t>
      </w:r>
      <w:proofErr w:type="spellEnd"/>
      <w:r>
        <w:rPr>
          <w:color w:val="000000"/>
          <w:sz w:val="24"/>
          <w:szCs w:val="24"/>
        </w:rPr>
        <w:t xml:space="preserve"> deve ser organizada como uma associação civil sem fins lucrativos, composta por membros da comunidade escolar e regularmente constituída com estatuto social, CNPJ, ata de eleição da diretoria e demais documentos exigidos pela legislação civil. Sua principal finalidade é administrar os recursos financeiros transferidos à escola para execução de programas e projetos voltados à melhoria do ensino (Brasil, 2007).</w:t>
      </w:r>
    </w:p>
    <w:p w14:paraId="566D3FC4" w14:textId="77777777" w:rsidR="00026ADA" w:rsidRDefault="00000000">
      <w:pPr>
        <w:spacing w:before="240" w:after="240" w:line="360" w:lineRule="auto"/>
        <w:ind w:firstLine="720"/>
        <w:jc w:val="both"/>
        <w:rPr>
          <w:sz w:val="24"/>
          <w:szCs w:val="24"/>
        </w:rPr>
      </w:pPr>
      <w:r>
        <w:rPr>
          <w:color w:val="000000"/>
          <w:sz w:val="24"/>
          <w:szCs w:val="24"/>
        </w:rPr>
        <w:t xml:space="preserve">O Manual de Gestão do PDDE, atualizado anualmente pelo FNDE, detalha as responsabilidades da Unidade Executora quanto à elaboração do plano de aplicação, movimentação de recursos, aquisição de bens e serviços, e prestação de contas. A </w:t>
      </w:r>
      <w:proofErr w:type="spellStart"/>
      <w:r>
        <w:rPr>
          <w:color w:val="000000"/>
          <w:sz w:val="24"/>
          <w:szCs w:val="24"/>
        </w:rPr>
        <w:t>UEx</w:t>
      </w:r>
      <w:proofErr w:type="spellEnd"/>
      <w:r>
        <w:rPr>
          <w:color w:val="000000"/>
          <w:sz w:val="24"/>
          <w:szCs w:val="24"/>
        </w:rPr>
        <w:t xml:space="preserve"> deve garantir que os gastos estejam alinhados ao Projeto Político-Pedagógico (PPP) da escola e que reflitam as reais necessidades da comunidade escolar. Para isso, deve atuar em consonância com o Conselho Escolar, promovendo a participação coletiva nas decisões financeiras.</w:t>
      </w:r>
    </w:p>
    <w:p w14:paraId="38341B98" w14:textId="77777777" w:rsidR="00026ADA" w:rsidRDefault="00000000">
      <w:pPr>
        <w:spacing w:before="240" w:after="240" w:line="360" w:lineRule="auto"/>
        <w:ind w:firstLine="720"/>
        <w:jc w:val="both"/>
        <w:rPr>
          <w:sz w:val="24"/>
          <w:szCs w:val="24"/>
        </w:rPr>
      </w:pPr>
      <w:r>
        <w:rPr>
          <w:color w:val="000000"/>
          <w:sz w:val="24"/>
          <w:szCs w:val="24"/>
        </w:rPr>
        <w:t xml:space="preserve">A relação entre a Unidade Executora e o Conselho Escolar é, portanto, de complementaridade e corresponsabilidade. Enquanto o Conselho Escolar exerce função deliberativa, consultiva e fiscalizadora, a </w:t>
      </w:r>
      <w:proofErr w:type="spellStart"/>
      <w:r>
        <w:rPr>
          <w:color w:val="000000"/>
          <w:sz w:val="24"/>
          <w:szCs w:val="24"/>
        </w:rPr>
        <w:t>UEx</w:t>
      </w:r>
      <w:proofErr w:type="spellEnd"/>
      <w:r>
        <w:rPr>
          <w:color w:val="000000"/>
          <w:sz w:val="24"/>
          <w:szCs w:val="24"/>
        </w:rPr>
        <w:t xml:space="preserve"> executa as ações financeiras aprovadas, seguindo os prazos e normas estabelecidos. Essa articulação é essencial para garantir que os recursos públicos sejam aplicados com eficiência, equidade e foco na aprendizagem.</w:t>
      </w:r>
    </w:p>
    <w:p w14:paraId="42136472" w14:textId="77777777" w:rsidR="00026ADA" w:rsidRDefault="00000000">
      <w:pPr>
        <w:spacing w:before="240" w:after="240" w:line="360" w:lineRule="auto"/>
        <w:ind w:firstLine="720"/>
        <w:jc w:val="both"/>
        <w:rPr>
          <w:sz w:val="24"/>
          <w:szCs w:val="24"/>
        </w:rPr>
      </w:pPr>
      <w:r>
        <w:rPr>
          <w:color w:val="000000"/>
          <w:sz w:val="24"/>
          <w:szCs w:val="24"/>
        </w:rPr>
        <w:lastRenderedPageBreak/>
        <w:t xml:space="preserve">Portanto, a </w:t>
      </w:r>
      <w:proofErr w:type="spellStart"/>
      <w:r>
        <w:rPr>
          <w:color w:val="000000"/>
          <w:sz w:val="24"/>
          <w:szCs w:val="24"/>
        </w:rPr>
        <w:t>UEx</w:t>
      </w:r>
      <w:proofErr w:type="spellEnd"/>
      <w:r>
        <w:rPr>
          <w:color w:val="000000"/>
          <w:sz w:val="24"/>
          <w:szCs w:val="24"/>
        </w:rPr>
        <w:t xml:space="preserve"> é um componente essencial da gestão escolar contemporânea. Quando articulada ao projeto pedagógico da escola e integrada ao Conselho Escolar, representa um instrumento poderoso de gestão participativa, controle social e promoção da equidade educacional. Sua existência, regulamentação e funcionamento eficaz são condições imprescindíveis para a materialização da gestão democrática da educação pública.</w:t>
      </w:r>
    </w:p>
    <w:p w14:paraId="7D01352A" w14:textId="77777777" w:rsidR="00026ADA" w:rsidRDefault="00000000">
      <w:pPr>
        <w:spacing w:before="240" w:after="240" w:line="360" w:lineRule="auto"/>
        <w:jc w:val="both"/>
        <w:rPr>
          <w:sz w:val="24"/>
          <w:szCs w:val="24"/>
        </w:rPr>
      </w:pPr>
      <w:r>
        <w:rPr>
          <w:b/>
          <w:color w:val="000000"/>
          <w:sz w:val="24"/>
          <w:szCs w:val="24"/>
        </w:rPr>
        <w:t>3- A COEXISTÊNCIA DOS COLEGIADOS NA AVALIAÇÃO DOS GESTORES.</w:t>
      </w:r>
    </w:p>
    <w:p w14:paraId="32617E99" w14:textId="77777777" w:rsidR="00026ADA" w:rsidRDefault="00000000">
      <w:pPr>
        <w:spacing w:before="240" w:after="240" w:line="360" w:lineRule="auto"/>
        <w:ind w:firstLine="720"/>
        <w:jc w:val="both"/>
        <w:rPr>
          <w:sz w:val="24"/>
          <w:szCs w:val="24"/>
        </w:rPr>
      </w:pPr>
      <w:r>
        <w:rPr>
          <w:color w:val="000000"/>
          <w:sz w:val="24"/>
          <w:szCs w:val="24"/>
        </w:rPr>
        <w:t>A pesquisa foi realizada em duas cidades da região Norte do Brasil: Tocantinópolis, no estado do Tocantins, e Porto Franco, no estado do Maranhão. Apesar de pertencerem a unidades federativas diferentes, os dois municípios compartilham diversas semelhanças geográficas, culturais e socioeconômicas. Ambas as localidades são cortadas pelo rio Tocantins e apresentam estruturas educacionais que refletem as dificuldades comuns às redes públicas de ensino em municípios interioranos do Norte e Nordeste: limitação orçamentária, carência de infraestrutura, e obstáculos à consolidação de práticas democráticas de gestão escolar.</w:t>
      </w:r>
    </w:p>
    <w:p w14:paraId="6142949D" w14:textId="77777777" w:rsidR="00026ADA" w:rsidRDefault="00000000">
      <w:pPr>
        <w:spacing w:before="240" w:after="240" w:line="360" w:lineRule="auto"/>
        <w:ind w:firstLine="720"/>
        <w:jc w:val="both"/>
        <w:rPr>
          <w:sz w:val="24"/>
          <w:szCs w:val="24"/>
        </w:rPr>
      </w:pPr>
      <w:r>
        <w:rPr>
          <w:color w:val="000000"/>
          <w:sz w:val="24"/>
          <w:szCs w:val="24"/>
        </w:rPr>
        <w:t>Foram analisadas quatro escolas públicas: em Tocantinópolis, a Escola Municipal Alto da Boa Vista II e a Escola Municipal Antônio Farias; em Porto Franco, a Unidade Integrada Centro Educacional e a Escola Marcolino Magalhães. Três dessas escolas atendem prioritariamente à Educação Fundamental I, com exceção da Escola Marcolino Magalhães, que atende ao Ensino Fundamental II. Todas as instituições estão localizadas em bairros periféricos e socialmente vulneráveis, o que impõe desafios adicionais à sua organização pedagógica, administrativa e participativa.</w:t>
      </w:r>
    </w:p>
    <w:p w14:paraId="524C2D7D" w14:textId="77777777" w:rsidR="00026ADA" w:rsidRDefault="00000000">
      <w:pPr>
        <w:spacing w:before="240" w:after="240" w:line="360" w:lineRule="auto"/>
        <w:ind w:firstLine="720"/>
        <w:jc w:val="both"/>
        <w:rPr>
          <w:color w:val="000000"/>
          <w:sz w:val="24"/>
          <w:szCs w:val="24"/>
        </w:rPr>
      </w:pPr>
      <w:r>
        <w:rPr>
          <w:color w:val="000000"/>
          <w:sz w:val="24"/>
          <w:szCs w:val="24"/>
        </w:rPr>
        <w:lastRenderedPageBreak/>
        <w:t>A metodologia da pesquisa baseou-se na abordagem qualitativa, sendo realizada uma entrevista semiestruturada com o(a) diretor(a) de cada escola. Essa escolha permitiu uma aproximação mais sensível da realidade vivida pelos gestores e proporcionou uma leitura crítica sobre como os órgãos colegiados, Conselho Escolar e Unidade Executora (</w:t>
      </w:r>
      <w:proofErr w:type="spellStart"/>
      <w:r>
        <w:rPr>
          <w:color w:val="000000"/>
          <w:sz w:val="24"/>
          <w:szCs w:val="24"/>
        </w:rPr>
        <w:t>UEx</w:t>
      </w:r>
      <w:proofErr w:type="spellEnd"/>
      <w:r>
        <w:rPr>
          <w:color w:val="000000"/>
          <w:sz w:val="24"/>
          <w:szCs w:val="24"/>
        </w:rPr>
        <w:t xml:space="preserve">), atuam (ou não) no cotidiano escolar. Todas as participantes da pesquisa aceitaram participar voluntariamente da pesquisa e assinaram um Termo de Consentimento Livre e Esclarecido (TECLE). </w:t>
      </w:r>
    </w:p>
    <w:p w14:paraId="4F7A082C" w14:textId="77777777" w:rsidR="00026ADA" w:rsidRDefault="00000000">
      <w:pPr>
        <w:spacing w:before="240" w:after="240" w:line="360" w:lineRule="auto"/>
        <w:ind w:firstLine="720"/>
        <w:jc w:val="both"/>
        <w:rPr>
          <w:sz w:val="24"/>
          <w:szCs w:val="24"/>
        </w:rPr>
      </w:pPr>
      <w:r>
        <w:rPr>
          <w:color w:val="000000"/>
          <w:sz w:val="24"/>
          <w:szCs w:val="24"/>
        </w:rPr>
        <w:t>A pesquisa adotou uma abordagem qualitativa, utilizando como instrumento uma entrevista com quatro perguntas norteadoras, que buscaram compreender a existência, o funcionamento, as possíveis sobreposições e as percepções de melhoria na relação entre os órgãos colegiados: 1. A escola tem Conselho Escolar? 2. Como é o funcionamento do Conselho Escolar e da Unidade Executora aqui na escola? 3. Você percebe alguma sobreposição ou interferência entre a atuação desses colegiados? 4. Há algo que você acredita que poderia ser melhorado no funcionamento e na relação entre esses órgãos? As entrevistas buscaram investigar a presença, o funcionamento e a articulação entre o Conselho Escolar e a Unidade Executora, além de identificar possíveis sobreposições de atribuições e oportunidades de aprimoramento. A seguir, apresenta-se um panorama sintético das respostas obtidas em cada escola, com base nas falas dos gestores participantes da pesquisa.</w:t>
      </w:r>
    </w:p>
    <w:p w14:paraId="1798722E" w14:textId="77777777" w:rsidR="00026ADA" w:rsidRDefault="00000000">
      <w:pPr>
        <w:spacing w:before="240" w:after="240" w:line="360" w:lineRule="auto"/>
        <w:ind w:firstLine="720"/>
        <w:jc w:val="both"/>
        <w:rPr>
          <w:sz w:val="24"/>
          <w:szCs w:val="24"/>
        </w:rPr>
      </w:pPr>
      <w:r>
        <w:rPr>
          <w:color w:val="000000"/>
          <w:sz w:val="24"/>
          <w:szCs w:val="24"/>
        </w:rPr>
        <w:t xml:space="preserve">Na Escola Municipal Antônio Farias, localizada em Tocantinópolis, o gestor informou que a escola possui Conselho Escolar ativo, com a participação de professores, alunos e membros da comunidade. Entretanto, destacou que o conselho realiza apenas uma reunião anual, geralmente no início do ano letivo. A Unidade Executora, por sua vez, realiza reuniões semestrais. O diretor relatou que ambas as instâncias funcionam de forma separada e não identificou sobreposição de funções </w:t>
      </w:r>
      <w:r>
        <w:rPr>
          <w:color w:val="000000"/>
          <w:sz w:val="24"/>
          <w:szCs w:val="24"/>
        </w:rPr>
        <w:lastRenderedPageBreak/>
        <w:t>entre elas, com exceção da carga de trabalho que recai sobre o próprio gestor, que atua à frente de ambos os colegiados. Apesar disso, não apontou necessidade de mudanças ou melhorias na dinâmica atual.</w:t>
      </w:r>
    </w:p>
    <w:p w14:paraId="4E60FB4B" w14:textId="77777777" w:rsidR="00026ADA" w:rsidRDefault="00000000">
      <w:pPr>
        <w:spacing w:before="240" w:after="240" w:line="360" w:lineRule="auto"/>
        <w:ind w:firstLine="720"/>
        <w:jc w:val="both"/>
        <w:rPr>
          <w:sz w:val="24"/>
          <w:szCs w:val="24"/>
        </w:rPr>
      </w:pPr>
      <w:r>
        <w:rPr>
          <w:color w:val="000000"/>
          <w:sz w:val="24"/>
          <w:szCs w:val="24"/>
        </w:rPr>
        <w:t>Na Escola Municipal Alto da Boa Vista II, também em Tocantinópolis, verificou-se uma situação peculiar: o Conselho Escolar atua como Unidade Executora, sendo responsável tanto pela representação da escola junto ao FNDE quanto pela gestão e execução dos recursos do PDDE. Segundo o relato da diretora, essa entidade tem se articulado com a comunidade escolar para identificar prioridades e realizar as aquisições necessárias de maneira transparente. A gestora afirmou não perceber sobreposição entre as funções dos colegiados e também não indicou melhorias a serem realizadas, sugerindo que a estrutura integrada tem funcionado de forma satisfatória no contexto da escola.</w:t>
      </w:r>
    </w:p>
    <w:p w14:paraId="79954901" w14:textId="77777777" w:rsidR="00026ADA" w:rsidRDefault="00000000">
      <w:pPr>
        <w:spacing w:before="240" w:after="240" w:line="360" w:lineRule="auto"/>
        <w:ind w:firstLine="720"/>
        <w:jc w:val="both"/>
        <w:rPr>
          <w:sz w:val="24"/>
          <w:szCs w:val="24"/>
        </w:rPr>
      </w:pPr>
      <w:r>
        <w:rPr>
          <w:color w:val="000000"/>
          <w:sz w:val="24"/>
          <w:szCs w:val="24"/>
        </w:rPr>
        <w:t>Na cidade de Porto Franco, a Unidade Integrada Centro Educacional apresentou uma organização semelhante. O diretor relatou que tanto o Conselho Escolar quanto a Unidade Executora estão devidamente constituídos e atuam em harmonia. O conselho é formado por membros eleitos e realiza reuniões periódicas, com foco na prestação de contas dos recursos recebidos. O gestor afirmou que os colegiados estão “em sintonia” e não percebe qualquer tipo de interferência entre suas funções. Do mesmo modo, não considerou haver necessidade de mudanças estruturais ou operacionais no relacionamento entre os dois órgãos.</w:t>
      </w:r>
    </w:p>
    <w:p w14:paraId="6F1EA69E" w14:textId="77777777" w:rsidR="00026ADA" w:rsidRDefault="00000000">
      <w:pPr>
        <w:spacing w:before="240" w:after="240" w:line="360" w:lineRule="auto"/>
        <w:ind w:firstLine="720"/>
        <w:jc w:val="both"/>
        <w:rPr>
          <w:sz w:val="24"/>
          <w:szCs w:val="24"/>
        </w:rPr>
      </w:pPr>
      <w:r>
        <w:rPr>
          <w:color w:val="000000"/>
          <w:sz w:val="24"/>
          <w:szCs w:val="24"/>
        </w:rPr>
        <w:t xml:space="preserve">Por fim, na Escola Marcolino Magalhães, também em Porto Franco, constatou-se a presença de um Conselho Escolar ativo, com reuniões semestrais. De acordo com o diretor, o conselho atua principalmente no acompanhamento e fiscalização da execução dos recursos financeiros. O entrevistado reconheceu a existência de uma </w:t>
      </w:r>
      <w:r>
        <w:rPr>
          <w:color w:val="000000"/>
          <w:sz w:val="24"/>
          <w:szCs w:val="24"/>
        </w:rPr>
        <w:lastRenderedPageBreak/>
        <w:t>sobreposição parcial de funções entre o Conselho Escolar e a Unidade Executora, uma vez que o primeiro fiscaliza e o segundo executa os mesmos recursos. No entanto, essa sobreposição não foi considerada negativa. Ao contrário, o gestor afirmou que o modelo atual atende bem às necessidades da escola e que, portanto, não há melhorias a serem implementadas.</w:t>
      </w:r>
    </w:p>
    <w:p w14:paraId="05EAF3F6" w14:textId="77777777" w:rsidR="00026ADA" w:rsidRDefault="00000000">
      <w:pPr>
        <w:spacing w:before="240" w:after="240" w:line="360" w:lineRule="auto"/>
        <w:jc w:val="both"/>
        <w:rPr>
          <w:sz w:val="24"/>
          <w:szCs w:val="24"/>
        </w:rPr>
      </w:pPr>
      <w:r>
        <w:rPr>
          <w:sz w:val="24"/>
          <w:szCs w:val="24"/>
        </w:rPr>
        <w:t xml:space="preserve">3. CONCLUSÕES (AQUI NA CONCLUSÃO SERIA BOM APRESENTAR UMA REVISÃO MAIS DIRETA E CRÍTICA SOBRE A RESPOSTA DE CADA PERGUNTA) </w:t>
      </w:r>
    </w:p>
    <w:p w14:paraId="219DE1E3" w14:textId="779E616D" w:rsidR="00026ADA" w:rsidRDefault="00000000">
      <w:pPr>
        <w:spacing w:before="240" w:after="240" w:line="360" w:lineRule="auto"/>
        <w:ind w:firstLine="720"/>
        <w:jc w:val="both"/>
        <w:rPr>
          <w:sz w:val="24"/>
          <w:szCs w:val="24"/>
        </w:rPr>
      </w:pPr>
      <w:r>
        <w:rPr>
          <w:color w:val="000000"/>
          <w:sz w:val="24"/>
          <w:szCs w:val="24"/>
        </w:rPr>
        <w:t xml:space="preserve">Embora todos os diretores entrevistados com exceção da gestora da Escola Alto da Boa Vista II tenham afirmado que a escola possui Conselho Escolar e Unidade Executora formalmente instituídos, com funcionamento separado e atribuições bem delimitadas, a análise mais atenta das entrevistas revela uma realidade que diverge do discurso oficial. O que se observa, de fato, é a presença desses colegiados apenas no plano formal. Isto é, nos documentos oficiais, como planos de gestão, propostas pedagógicas e registros administrativos, mas não no plano da </w:t>
      </w:r>
      <w:r w:rsidR="003F256B">
        <w:rPr>
          <w:color w:val="000000"/>
          <w:sz w:val="24"/>
          <w:szCs w:val="24"/>
        </w:rPr>
        <w:t>situação real</w:t>
      </w:r>
      <w:r>
        <w:rPr>
          <w:color w:val="000000"/>
          <w:sz w:val="24"/>
          <w:szCs w:val="24"/>
        </w:rPr>
        <w:t>, ou seja, da vivência concreta e cotidiana da gestão escolar participativa.</w:t>
      </w:r>
    </w:p>
    <w:p w14:paraId="40EF79D0" w14:textId="77777777" w:rsidR="00026ADA" w:rsidRDefault="00000000">
      <w:pPr>
        <w:spacing w:before="240" w:after="240" w:line="360" w:lineRule="auto"/>
        <w:ind w:firstLine="720"/>
        <w:jc w:val="both"/>
        <w:rPr>
          <w:sz w:val="24"/>
          <w:szCs w:val="24"/>
        </w:rPr>
      </w:pPr>
      <w:r>
        <w:rPr>
          <w:color w:val="000000"/>
          <w:sz w:val="24"/>
          <w:szCs w:val="24"/>
        </w:rPr>
        <w:t>Durante as entrevistas, foi possível identificar uma fragilidade na compreensão das atribuições específicas de cada colegiado. Em diversas falas, os gestores demonstraram confusão entre as funções do Conselho Escolar e da Unidade Executora, atribuindo a um competências que, legalmente, pertencem ao outro. Esse dado é significativo, pois indica uma lacuna na formação e orientação dos gestores escolares quanto ao papel dos órgãos colegiados, comprometendo a efetividade da gestão democrática prevista pela legislação educacional vigente.</w:t>
      </w:r>
    </w:p>
    <w:p w14:paraId="3E20EAD1" w14:textId="77777777" w:rsidR="00026ADA" w:rsidRDefault="00000000">
      <w:pPr>
        <w:spacing w:before="240" w:after="240" w:line="360" w:lineRule="auto"/>
        <w:ind w:firstLine="720"/>
        <w:jc w:val="both"/>
        <w:rPr>
          <w:sz w:val="24"/>
          <w:szCs w:val="24"/>
        </w:rPr>
      </w:pPr>
      <w:r>
        <w:rPr>
          <w:color w:val="000000"/>
          <w:sz w:val="24"/>
          <w:szCs w:val="24"/>
        </w:rPr>
        <w:lastRenderedPageBreak/>
        <w:t xml:space="preserve">Outro aspecto que se evidenciou de forma recorrente diz respeito à centralidade da Unidade Executora como instância principal de tomada de decisões no âmbito escolar. Em contraste, o Conselho Escolar tem assumido um papel secundário ou meramente protocolar, limitando-se a reuniões esporádicas geralmente uma ou duas por ano com foco predominantemente na prestação de contas. Essa assimetria na atuação dos colegiados revela não apenas uma distorção em relação às finalidades previstas para cada instância, mas também uma tendência à </w:t>
      </w:r>
      <w:proofErr w:type="spellStart"/>
      <w:r>
        <w:rPr>
          <w:color w:val="000000"/>
          <w:sz w:val="24"/>
          <w:szCs w:val="24"/>
        </w:rPr>
        <w:t>tecnocratização</w:t>
      </w:r>
      <w:proofErr w:type="spellEnd"/>
      <w:r>
        <w:rPr>
          <w:color w:val="000000"/>
          <w:sz w:val="24"/>
          <w:szCs w:val="24"/>
        </w:rPr>
        <w:t xml:space="preserve"> da gestão, em detrimento da participação crítica e coletiva da comunidade escolar.</w:t>
      </w:r>
    </w:p>
    <w:p w14:paraId="0FDD2DFE" w14:textId="77777777" w:rsidR="00026ADA" w:rsidRDefault="00000000">
      <w:pPr>
        <w:spacing w:before="240" w:after="240" w:line="360" w:lineRule="auto"/>
        <w:jc w:val="both"/>
        <w:rPr>
          <w:sz w:val="24"/>
          <w:szCs w:val="24"/>
        </w:rPr>
      </w:pPr>
      <w:r>
        <w:rPr>
          <w:b/>
          <w:color w:val="000000"/>
          <w:sz w:val="24"/>
          <w:szCs w:val="24"/>
        </w:rPr>
        <w:t>Referências</w:t>
      </w:r>
    </w:p>
    <w:p w14:paraId="333A297D" w14:textId="77777777" w:rsidR="00026ADA" w:rsidRDefault="00000000">
      <w:pPr>
        <w:spacing w:before="240" w:after="240" w:line="240" w:lineRule="auto"/>
        <w:jc w:val="both"/>
        <w:rPr>
          <w:sz w:val="24"/>
          <w:szCs w:val="24"/>
        </w:rPr>
      </w:pPr>
      <w:r>
        <w:rPr>
          <w:sz w:val="24"/>
          <w:szCs w:val="24"/>
        </w:rPr>
        <w:t xml:space="preserve">BRASIL. </w:t>
      </w:r>
      <w:r>
        <w:rPr>
          <w:b/>
          <w:sz w:val="24"/>
          <w:szCs w:val="24"/>
        </w:rPr>
        <w:t>Constituição da República Federativa do Brasil de 1988</w:t>
      </w:r>
      <w:r>
        <w:rPr>
          <w:sz w:val="24"/>
          <w:szCs w:val="24"/>
        </w:rPr>
        <w:t xml:space="preserve">. Brasília, DF: Presidência da República, 2020. Disponível em: </w:t>
      </w:r>
      <w:hyperlink r:id="rId6">
        <w:r w:rsidR="00026ADA">
          <w:rPr>
            <w:color w:val="0000FF"/>
            <w:sz w:val="24"/>
            <w:szCs w:val="24"/>
            <w:u w:val="single"/>
          </w:rPr>
          <w:t>http://www.planalto.gov.br/ccivil_03/Constituicao/Constituicao.htm</w:t>
        </w:r>
      </w:hyperlink>
      <w:r>
        <w:rPr>
          <w:sz w:val="24"/>
          <w:szCs w:val="24"/>
        </w:rPr>
        <w:t>. Acesso em: 25 out. 2022.</w:t>
      </w:r>
    </w:p>
    <w:p w14:paraId="59566D6F" w14:textId="77777777" w:rsidR="00026ADA" w:rsidRDefault="00000000">
      <w:pPr>
        <w:spacing w:before="240" w:after="240" w:line="240" w:lineRule="auto"/>
        <w:jc w:val="both"/>
        <w:rPr>
          <w:sz w:val="24"/>
          <w:szCs w:val="24"/>
        </w:rPr>
      </w:pPr>
      <w:r>
        <w:rPr>
          <w:sz w:val="24"/>
          <w:szCs w:val="24"/>
        </w:rPr>
        <w:t xml:space="preserve">BRASIL. Lei nº 9.394, de 20 de dezembro de 1996. Estabelece as diretrizes e bases da educação nacional. </w:t>
      </w:r>
      <w:r>
        <w:rPr>
          <w:b/>
          <w:sz w:val="24"/>
          <w:szCs w:val="24"/>
        </w:rPr>
        <w:t>Diário Oficial da União</w:t>
      </w:r>
      <w:r>
        <w:rPr>
          <w:i/>
          <w:sz w:val="24"/>
          <w:szCs w:val="24"/>
        </w:rPr>
        <w:t>: seção 1</w:t>
      </w:r>
      <w:r>
        <w:rPr>
          <w:sz w:val="24"/>
          <w:szCs w:val="24"/>
        </w:rPr>
        <w:t>, Brasília, DF, 23 dez. 1996.</w:t>
      </w:r>
    </w:p>
    <w:p w14:paraId="63B13109" w14:textId="77777777" w:rsidR="00026ADA" w:rsidRDefault="00000000">
      <w:pPr>
        <w:spacing w:before="240" w:after="240" w:line="240" w:lineRule="auto"/>
        <w:jc w:val="both"/>
        <w:rPr>
          <w:sz w:val="24"/>
          <w:szCs w:val="24"/>
        </w:rPr>
      </w:pPr>
      <w:r>
        <w:rPr>
          <w:sz w:val="24"/>
          <w:szCs w:val="24"/>
        </w:rPr>
        <w:t xml:space="preserve">BRASIL. </w:t>
      </w:r>
      <w:r>
        <w:rPr>
          <w:b/>
          <w:i/>
          <w:sz w:val="24"/>
          <w:szCs w:val="24"/>
        </w:rPr>
        <w:t xml:space="preserve">Decreto nº 7.507, de 27 </w:t>
      </w:r>
      <w:r>
        <w:rPr>
          <w:b/>
          <w:sz w:val="24"/>
          <w:szCs w:val="24"/>
        </w:rPr>
        <w:t>de junho de 2011</w:t>
      </w:r>
      <w:r>
        <w:rPr>
          <w:sz w:val="24"/>
          <w:szCs w:val="24"/>
        </w:rPr>
        <w:t xml:space="preserve">. Dispõe sobre a movimentação de recursos federais transferidos a estados, municípios e ao Distrito Federal. Disponível em: </w:t>
      </w:r>
      <w:hyperlink r:id="rId7">
        <w:r w:rsidR="00026ADA">
          <w:rPr>
            <w:color w:val="0000FF"/>
            <w:sz w:val="24"/>
            <w:szCs w:val="24"/>
            <w:u w:val="single"/>
          </w:rPr>
          <w:t>https://www.planalto.gov.br</w:t>
        </w:r>
      </w:hyperlink>
      <w:r>
        <w:rPr>
          <w:sz w:val="24"/>
          <w:szCs w:val="24"/>
        </w:rPr>
        <w:t>. Acesso em: 6 jun. 2025.</w:t>
      </w:r>
    </w:p>
    <w:p w14:paraId="1FB30DD3" w14:textId="77777777" w:rsidR="00026ADA" w:rsidRDefault="00000000">
      <w:pPr>
        <w:spacing w:before="240" w:after="240" w:line="240" w:lineRule="auto"/>
        <w:jc w:val="both"/>
        <w:rPr>
          <w:sz w:val="24"/>
          <w:szCs w:val="24"/>
        </w:rPr>
      </w:pPr>
      <w:r>
        <w:rPr>
          <w:sz w:val="24"/>
          <w:szCs w:val="24"/>
        </w:rPr>
        <w:t xml:space="preserve">BRASIL. Ministério da Educação. Conselho Nacional de Educação. Câmara de Educação Básica. </w:t>
      </w:r>
      <w:r>
        <w:rPr>
          <w:b/>
          <w:sz w:val="24"/>
          <w:szCs w:val="24"/>
        </w:rPr>
        <w:t>Resolução CNE/CEB nº 1,</w:t>
      </w:r>
      <w:r>
        <w:rPr>
          <w:i/>
          <w:sz w:val="24"/>
          <w:szCs w:val="24"/>
        </w:rPr>
        <w:t xml:space="preserve"> de 17 </w:t>
      </w:r>
      <w:r>
        <w:rPr>
          <w:sz w:val="24"/>
          <w:szCs w:val="24"/>
        </w:rPr>
        <w:t xml:space="preserve">de outubro de 2012. Diretrizes Nacionais para a gestão democrática da educação básica na escola pública. Disponível em: </w:t>
      </w:r>
      <w:hyperlink r:id="rId8">
        <w:r w:rsidR="00026ADA">
          <w:rPr>
            <w:color w:val="0000FF"/>
            <w:sz w:val="24"/>
            <w:szCs w:val="24"/>
            <w:u w:val="single"/>
          </w:rPr>
          <w:t>https://normativasconselhos.mec.gov.br</w:t>
        </w:r>
      </w:hyperlink>
      <w:r>
        <w:rPr>
          <w:sz w:val="24"/>
          <w:szCs w:val="24"/>
        </w:rPr>
        <w:t>. Acesso em: 2 jun. 2025.</w:t>
      </w:r>
    </w:p>
    <w:p w14:paraId="33260C2E" w14:textId="77777777" w:rsidR="00026ADA" w:rsidRDefault="00000000">
      <w:pPr>
        <w:spacing w:before="240" w:after="240" w:line="240" w:lineRule="auto"/>
        <w:jc w:val="both"/>
        <w:rPr>
          <w:sz w:val="24"/>
          <w:szCs w:val="24"/>
        </w:rPr>
      </w:pPr>
      <w:r>
        <w:rPr>
          <w:sz w:val="24"/>
          <w:szCs w:val="24"/>
        </w:rPr>
        <w:t xml:space="preserve">BRASIL. Ministério da Educação. Fundo Nacional de Desenvolvimento da Educação. </w:t>
      </w:r>
      <w:r>
        <w:rPr>
          <w:b/>
          <w:sz w:val="24"/>
          <w:szCs w:val="24"/>
        </w:rPr>
        <w:t>Resolução nº 15, de 23 de abril de 2007</w:t>
      </w:r>
      <w:r>
        <w:rPr>
          <w:sz w:val="24"/>
          <w:szCs w:val="24"/>
        </w:rPr>
        <w:t xml:space="preserve">. Dispõe sobre as Unidades Executoras e sua constituição. Disponível em: </w:t>
      </w:r>
      <w:hyperlink r:id="rId9">
        <w:r w:rsidR="00026ADA">
          <w:rPr>
            <w:color w:val="0000FF"/>
            <w:sz w:val="24"/>
            <w:szCs w:val="24"/>
            <w:u w:val="single"/>
          </w:rPr>
          <w:t>https://www.fnde.gov.br</w:t>
        </w:r>
      </w:hyperlink>
      <w:r>
        <w:rPr>
          <w:sz w:val="24"/>
          <w:szCs w:val="24"/>
        </w:rPr>
        <w:t>. Acesso em: 6 jun. 2025.</w:t>
      </w:r>
    </w:p>
    <w:p w14:paraId="55AE00D9" w14:textId="77777777" w:rsidR="00026ADA" w:rsidRDefault="00000000">
      <w:pPr>
        <w:spacing w:before="240" w:after="240" w:line="240" w:lineRule="auto"/>
        <w:jc w:val="both"/>
        <w:rPr>
          <w:sz w:val="24"/>
          <w:szCs w:val="24"/>
        </w:rPr>
      </w:pPr>
      <w:r>
        <w:rPr>
          <w:sz w:val="24"/>
          <w:szCs w:val="24"/>
        </w:rPr>
        <w:lastRenderedPageBreak/>
        <w:t xml:space="preserve">BRASIL. Ministério da Educação. Fundo Nacional de Desenvolvimento da Educação. </w:t>
      </w:r>
      <w:r>
        <w:rPr>
          <w:b/>
          <w:sz w:val="24"/>
          <w:szCs w:val="24"/>
        </w:rPr>
        <w:t>Resolução nº 16, de 15 de agosto de 2024</w:t>
      </w:r>
      <w:r>
        <w:rPr>
          <w:sz w:val="24"/>
          <w:szCs w:val="24"/>
        </w:rPr>
        <w:t xml:space="preserve">. Institui os critérios de destinação de recursos financeiros no âmbito do </w:t>
      </w:r>
      <w:proofErr w:type="spellStart"/>
      <w:r>
        <w:rPr>
          <w:sz w:val="24"/>
          <w:szCs w:val="24"/>
        </w:rPr>
        <w:t>Proec</w:t>
      </w:r>
      <w:proofErr w:type="spellEnd"/>
      <w:r>
        <w:rPr>
          <w:sz w:val="24"/>
          <w:szCs w:val="24"/>
        </w:rPr>
        <w:t xml:space="preserve">. Disponível em: </w:t>
      </w:r>
      <w:hyperlink r:id="rId10">
        <w:r w:rsidR="00026ADA">
          <w:rPr>
            <w:color w:val="0000FF"/>
            <w:sz w:val="24"/>
            <w:szCs w:val="24"/>
            <w:u w:val="single"/>
          </w:rPr>
          <w:t>https://www.in.gov.br</w:t>
        </w:r>
      </w:hyperlink>
      <w:r>
        <w:rPr>
          <w:sz w:val="24"/>
          <w:szCs w:val="24"/>
        </w:rPr>
        <w:t>. Acesso em: 7 jun. 2025.</w:t>
      </w:r>
    </w:p>
    <w:p w14:paraId="0F637142" w14:textId="77777777" w:rsidR="00026ADA" w:rsidRDefault="00000000">
      <w:pPr>
        <w:spacing w:before="240" w:after="240" w:line="240" w:lineRule="auto"/>
        <w:jc w:val="both"/>
        <w:rPr>
          <w:sz w:val="24"/>
          <w:szCs w:val="24"/>
        </w:rPr>
      </w:pPr>
      <w:r>
        <w:rPr>
          <w:sz w:val="24"/>
          <w:szCs w:val="24"/>
        </w:rPr>
        <w:t xml:space="preserve">BRASIL. Ministério da Educação. </w:t>
      </w:r>
      <w:r>
        <w:rPr>
          <w:b/>
          <w:sz w:val="24"/>
          <w:szCs w:val="24"/>
        </w:rPr>
        <w:t>Portaria nº 264</w:t>
      </w:r>
      <w:r>
        <w:rPr>
          <w:i/>
          <w:sz w:val="24"/>
          <w:szCs w:val="24"/>
        </w:rPr>
        <w:t xml:space="preserve">, de </w:t>
      </w:r>
      <w:r>
        <w:rPr>
          <w:sz w:val="24"/>
          <w:szCs w:val="24"/>
        </w:rPr>
        <w:t xml:space="preserve">1º de abril de 2024. Institui o Programa Escola e Comunidade – </w:t>
      </w:r>
      <w:proofErr w:type="spellStart"/>
      <w:r>
        <w:rPr>
          <w:sz w:val="24"/>
          <w:szCs w:val="24"/>
        </w:rPr>
        <w:t>Proec</w:t>
      </w:r>
      <w:proofErr w:type="spellEnd"/>
      <w:r>
        <w:rPr>
          <w:sz w:val="24"/>
          <w:szCs w:val="24"/>
        </w:rPr>
        <w:t xml:space="preserve">. Disponível em: </w:t>
      </w:r>
      <w:hyperlink r:id="rId11">
        <w:r w:rsidR="00026ADA">
          <w:rPr>
            <w:color w:val="0000FF"/>
            <w:sz w:val="24"/>
            <w:szCs w:val="24"/>
            <w:u w:val="single"/>
          </w:rPr>
          <w:t>https://www.in.gov.br</w:t>
        </w:r>
      </w:hyperlink>
      <w:r>
        <w:rPr>
          <w:sz w:val="24"/>
          <w:szCs w:val="24"/>
        </w:rPr>
        <w:t>. Acesso em: 7 jun. 2025.</w:t>
      </w:r>
    </w:p>
    <w:p w14:paraId="74FC9E15" w14:textId="77777777" w:rsidR="00026ADA" w:rsidRDefault="00000000">
      <w:pPr>
        <w:spacing w:before="240" w:after="240" w:line="240" w:lineRule="auto"/>
        <w:jc w:val="both"/>
        <w:rPr>
          <w:sz w:val="24"/>
          <w:szCs w:val="24"/>
        </w:rPr>
      </w:pPr>
      <w:r>
        <w:rPr>
          <w:sz w:val="24"/>
          <w:szCs w:val="24"/>
        </w:rPr>
        <w:t xml:space="preserve">BRASIL. Ministério da Educação. </w:t>
      </w:r>
      <w:r>
        <w:rPr>
          <w:b/>
          <w:sz w:val="24"/>
          <w:szCs w:val="24"/>
        </w:rPr>
        <w:t>Programa Nacional de Fortalecimento dos Conselhos Escolares.</w:t>
      </w:r>
      <w:r>
        <w:rPr>
          <w:sz w:val="24"/>
          <w:szCs w:val="24"/>
        </w:rPr>
        <w:t xml:space="preserve"> Brasília: MEC/SEB, 2014.</w:t>
      </w:r>
    </w:p>
    <w:p w14:paraId="1A4972CF" w14:textId="77777777" w:rsidR="00026ADA" w:rsidRDefault="00000000">
      <w:pPr>
        <w:spacing w:before="240" w:after="240" w:line="240" w:lineRule="auto"/>
        <w:jc w:val="both"/>
        <w:rPr>
          <w:sz w:val="24"/>
          <w:szCs w:val="24"/>
        </w:rPr>
      </w:pPr>
      <w:r>
        <w:rPr>
          <w:sz w:val="24"/>
          <w:szCs w:val="24"/>
        </w:rPr>
        <w:t xml:space="preserve">BRASIL. Fundo Nacional de Desenvolvimento da Educação. </w:t>
      </w:r>
      <w:r>
        <w:rPr>
          <w:b/>
          <w:sz w:val="24"/>
          <w:szCs w:val="24"/>
        </w:rPr>
        <w:t>Manual de Gestão do PDDE</w:t>
      </w:r>
      <w:r>
        <w:rPr>
          <w:sz w:val="24"/>
          <w:szCs w:val="24"/>
        </w:rPr>
        <w:t xml:space="preserve">. Brasília: FNDE, [ed. mais recente]. Disponível em: </w:t>
      </w:r>
      <w:hyperlink r:id="rId12">
        <w:r w:rsidR="00026ADA">
          <w:rPr>
            <w:color w:val="0000FF"/>
            <w:sz w:val="24"/>
            <w:szCs w:val="24"/>
            <w:u w:val="single"/>
          </w:rPr>
          <w:t>https://www.fnde.gov.br</w:t>
        </w:r>
      </w:hyperlink>
      <w:r>
        <w:rPr>
          <w:sz w:val="24"/>
          <w:szCs w:val="24"/>
        </w:rPr>
        <w:t>. Acesso em: 6 jun. 2025</w:t>
      </w:r>
    </w:p>
    <w:p w14:paraId="0EC62753" w14:textId="77777777" w:rsidR="00026ADA" w:rsidRDefault="00000000">
      <w:pPr>
        <w:spacing w:before="240" w:after="240" w:line="240" w:lineRule="auto"/>
        <w:jc w:val="both"/>
        <w:rPr>
          <w:sz w:val="24"/>
          <w:szCs w:val="24"/>
        </w:rPr>
      </w:pPr>
      <w:r>
        <w:rPr>
          <w:sz w:val="24"/>
          <w:szCs w:val="24"/>
        </w:rPr>
        <w:t xml:space="preserve">GADOTTI, Moacir. Gestão democrática com participação popular no planejamento e na organização da educação nacional. In: CONAE 2014. </w:t>
      </w:r>
      <w:r>
        <w:rPr>
          <w:b/>
          <w:sz w:val="24"/>
          <w:szCs w:val="24"/>
        </w:rPr>
        <w:t>Documento-Referência</w:t>
      </w:r>
      <w:r>
        <w:rPr>
          <w:sz w:val="24"/>
          <w:szCs w:val="24"/>
        </w:rPr>
        <w:t>. Brasília: MEC, 2014.</w:t>
      </w:r>
    </w:p>
    <w:p w14:paraId="62DF5080" w14:textId="77777777" w:rsidR="00026ADA" w:rsidRDefault="00026ADA">
      <w:pPr>
        <w:spacing w:line="360" w:lineRule="auto"/>
        <w:jc w:val="both"/>
      </w:pPr>
    </w:p>
    <w:p w14:paraId="2C2024EE" w14:textId="77777777" w:rsidR="00026ADA" w:rsidRDefault="00026ADA">
      <w:pPr>
        <w:spacing w:line="360" w:lineRule="auto"/>
        <w:ind w:firstLine="709"/>
        <w:jc w:val="both"/>
        <w:rPr>
          <w:sz w:val="24"/>
          <w:szCs w:val="24"/>
        </w:rPr>
      </w:pPr>
    </w:p>
    <w:p w14:paraId="68357D8C" w14:textId="77777777" w:rsidR="00026ADA" w:rsidRDefault="00026ADA">
      <w:pPr>
        <w:spacing w:line="360" w:lineRule="auto"/>
        <w:ind w:firstLine="709"/>
        <w:jc w:val="both"/>
        <w:rPr>
          <w:sz w:val="24"/>
          <w:szCs w:val="24"/>
        </w:rPr>
      </w:pPr>
    </w:p>
    <w:p w14:paraId="671E61D0" w14:textId="77777777" w:rsidR="00026ADA" w:rsidRDefault="00026ADA">
      <w:pPr>
        <w:spacing w:line="360" w:lineRule="auto"/>
        <w:jc w:val="both"/>
        <w:rPr>
          <w:sz w:val="24"/>
          <w:szCs w:val="24"/>
        </w:rPr>
      </w:pPr>
    </w:p>
    <w:p w14:paraId="139B4F5E" w14:textId="77777777" w:rsidR="00026ADA" w:rsidRDefault="00026ADA">
      <w:pPr>
        <w:spacing w:line="360" w:lineRule="auto"/>
        <w:ind w:firstLine="709"/>
        <w:jc w:val="both"/>
        <w:rPr>
          <w:sz w:val="24"/>
          <w:szCs w:val="24"/>
        </w:rPr>
      </w:pPr>
    </w:p>
    <w:p w14:paraId="484084B7" w14:textId="77777777" w:rsidR="00026ADA" w:rsidRDefault="00026ADA">
      <w:pPr>
        <w:spacing w:line="360" w:lineRule="auto"/>
        <w:ind w:firstLine="709"/>
        <w:jc w:val="both"/>
        <w:rPr>
          <w:sz w:val="24"/>
          <w:szCs w:val="24"/>
        </w:rPr>
      </w:pPr>
    </w:p>
    <w:p w14:paraId="6E3049D4" w14:textId="77777777" w:rsidR="00026ADA" w:rsidRDefault="00026ADA">
      <w:pPr>
        <w:spacing w:line="240" w:lineRule="auto"/>
        <w:jc w:val="both"/>
        <w:rPr>
          <w:sz w:val="24"/>
          <w:szCs w:val="24"/>
        </w:rPr>
      </w:pPr>
    </w:p>
    <w:p w14:paraId="4D8D32B1" w14:textId="77777777" w:rsidR="00026ADA" w:rsidRDefault="00026ADA">
      <w:pPr>
        <w:spacing w:after="200"/>
        <w:jc w:val="both"/>
        <w:rPr>
          <w:rFonts w:ascii="Calibri" w:eastAsia="Calibri" w:hAnsi="Calibri" w:cs="Calibri"/>
          <w:sz w:val="24"/>
          <w:szCs w:val="24"/>
        </w:rPr>
      </w:pPr>
    </w:p>
    <w:sectPr w:rsidR="00026ADA">
      <w:headerReference w:type="default" r:id="rId13"/>
      <w:footerReference w:type="default" r:id="rId14"/>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211C6" w14:textId="77777777" w:rsidR="00D00617" w:rsidRDefault="00D00617">
      <w:pPr>
        <w:spacing w:line="240" w:lineRule="auto"/>
      </w:pPr>
      <w:r>
        <w:separator/>
      </w:r>
    </w:p>
  </w:endnote>
  <w:endnote w:type="continuationSeparator" w:id="0">
    <w:p w14:paraId="4A78644B" w14:textId="77777777" w:rsidR="00D00617" w:rsidRDefault="00D00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D5E9" w14:textId="52F61A39" w:rsidR="00AE42C6" w:rsidRDefault="00AE42C6">
    <w:pPr>
      <w:widowControl w:val="0"/>
      <w:pBdr>
        <w:top w:val="nil"/>
        <w:left w:val="nil"/>
        <w:bottom w:val="nil"/>
        <w:right w:val="nil"/>
        <w:between w:val="nil"/>
      </w:pBdr>
    </w:pPr>
    <w:r>
      <w:t xml:space="preserve">¹Discente da Universidade Federal do Norte do Tocantins (UFNT), Graduando </w:t>
    </w:r>
    <w:r w:rsidR="000E1EF9">
      <w:t xml:space="preserve">em </w:t>
    </w:r>
    <w:r>
      <w:t xml:space="preserve">licenciatura </w:t>
    </w:r>
    <w:r w:rsidR="000E1EF9">
      <w:t xml:space="preserve">em </w:t>
    </w:r>
    <w:r>
      <w:t xml:space="preserve">Pedagogia, e-mail: marinho.andre@ufnt.edu.br </w:t>
    </w:r>
  </w:p>
  <w:p w14:paraId="173DB0A8" w14:textId="085FFE10" w:rsidR="00026ADA" w:rsidRDefault="00AE42C6">
    <w:pPr>
      <w:widowControl w:val="0"/>
      <w:pBdr>
        <w:top w:val="nil"/>
        <w:left w:val="nil"/>
        <w:bottom w:val="nil"/>
        <w:right w:val="nil"/>
        <w:between w:val="nil"/>
      </w:pBdr>
    </w:pPr>
    <w:r>
      <w:t>²</w:t>
    </w:r>
    <w:r w:rsidRPr="00AE42C6">
      <w:t>Professor da Universidade Federal do Norte do Tocantins (UFNT), Doutor e</w:t>
    </w:r>
    <w:r w:rsidR="007F77AB">
      <w:t>m</w:t>
    </w:r>
    <w:r w:rsidRPr="00AE42C6">
      <w:t xml:space="preserve"> Políticas Públicas, e-mail: cleomar.loctelli@ufnt.edu.br</w:t>
    </w:r>
  </w:p>
  <w:tbl>
    <w:tblPr>
      <w:tblStyle w:val="a"/>
      <w:tblW w:w="9060" w:type="dxa"/>
      <w:tblInd w:w="0" w:type="dxa"/>
      <w:tblLayout w:type="fixed"/>
      <w:tblLook w:val="0600" w:firstRow="0" w:lastRow="0" w:firstColumn="0" w:lastColumn="0" w:noHBand="1" w:noVBand="1"/>
    </w:tblPr>
    <w:tblGrid>
      <w:gridCol w:w="3020"/>
      <w:gridCol w:w="3020"/>
      <w:gridCol w:w="3020"/>
    </w:tblGrid>
    <w:tr w:rsidR="00026ADA" w14:paraId="5AFE5D58" w14:textId="77777777">
      <w:trPr>
        <w:trHeight w:val="300"/>
      </w:trPr>
      <w:tc>
        <w:tcPr>
          <w:tcW w:w="3020" w:type="dxa"/>
        </w:tcPr>
        <w:p w14:paraId="34AED621" w14:textId="77777777" w:rsidR="00026ADA" w:rsidRDefault="00026ADA">
          <w:pPr>
            <w:pBdr>
              <w:top w:val="nil"/>
              <w:left w:val="nil"/>
              <w:bottom w:val="nil"/>
              <w:right w:val="nil"/>
              <w:between w:val="nil"/>
            </w:pBdr>
            <w:tabs>
              <w:tab w:val="center" w:pos="4680"/>
              <w:tab w:val="right" w:pos="9360"/>
            </w:tabs>
            <w:spacing w:line="240" w:lineRule="auto"/>
            <w:ind w:left="-115"/>
            <w:rPr>
              <w:color w:val="000000"/>
            </w:rPr>
          </w:pPr>
        </w:p>
      </w:tc>
      <w:tc>
        <w:tcPr>
          <w:tcW w:w="3020" w:type="dxa"/>
        </w:tcPr>
        <w:p w14:paraId="32597333" w14:textId="77777777" w:rsidR="00026ADA" w:rsidRDefault="00026ADA">
          <w:pPr>
            <w:pBdr>
              <w:top w:val="nil"/>
              <w:left w:val="nil"/>
              <w:bottom w:val="nil"/>
              <w:right w:val="nil"/>
              <w:between w:val="nil"/>
            </w:pBdr>
            <w:tabs>
              <w:tab w:val="center" w:pos="4680"/>
              <w:tab w:val="right" w:pos="9360"/>
            </w:tabs>
            <w:spacing w:line="240" w:lineRule="auto"/>
            <w:jc w:val="center"/>
            <w:rPr>
              <w:color w:val="000000"/>
            </w:rPr>
          </w:pPr>
        </w:p>
      </w:tc>
      <w:tc>
        <w:tcPr>
          <w:tcW w:w="3020" w:type="dxa"/>
        </w:tcPr>
        <w:p w14:paraId="2CA542BF" w14:textId="77777777" w:rsidR="00026ADA" w:rsidRDefault="00026ADA">
          <w:pPr>
            <w:pBdr>
              <w:top w:val="nil"/>
              <w:left w:val="nil"/>
              <w:bottom w:val="nil"/>
              <w:right w:val="nil"/>
              <w:between w:val="nil"/>
            </w:pBdr>
            <w:tabs>
              <w:tab w:val="center" w:pos="4680"/>
              <w:tab w:val="right" w:pos="9360"/>
            </w:tabs>
            <w:spacing w:line="240" w:lineRule="auto"/>
            <w:ind w:right="-115"/>
            <w:jc w:val="right"/>
            <w:rPr>
              <w:color w:val="000000"/>
            </w:rPr>
          </w:pPr>
        </w:p>
      </w:tc>
    </w:tr>
  </w:tbl>
  <w:p w14:paraId="6B4FEF81" w14:textId="77777777" w:rsidR="00026ADA" w:rsidRDefault="00026AD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2E61D" w14:textId="77777777" w:rsidR="00D00617" w:rsidRDefault="00D00617">
      <w:pPr>
        <w:spacing w:line="240" w:lineRule="auto"/>
      </w:pPr>
      <w:r>
        <w:separator/>
      </w:r>
    </w:p>
  </w:footnote>
  <w:footnote w:type="continuationSeparator" w:id="0">
    <w:p w14:paraId="006D7D67" w14:textId="77777777" w:rsidR="00D00617" w:rsidRDefault="00D006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8459" w14:textId="77777777" w:rsidR="00026ADA" w:rsidRDefault="00000000">
    <w:r>
      <w:rPr>
        <w:noProof/>
      </w:rPr>
      <w:drawing>
        <wp:anchor distT="0" distB="0" distL="0" distR="0" simplePos="0" relativeHeight="251658240" behindDoc="1" locked="0" layoutInCell="1" hidden="0" allowOverlap="1" wp14:anchorId="2F39EF40" wp14:editId="5C9C32C7">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ADA"/>
    <w:rsid w:val="00026ADA"/>
    <w:rsid w:val="000E1EF9"/>
    <w:rsid w:val="002D782F"/>
    <w:rsid w:val="003F256B"/>
    <w:rsid w:val="005D5766"/>
    <w:rsid w:val="005F1F1E"/>
    <w:rsid w:val="00775166"/>
    <w:rsid w:val="007953ED"/>
    <w:rsid w:val="007F77AB"/>
    <w:rsid w:val="00AA2523"/>
    <w:rsid w:val="00AE42C6"/>
    <w:rsid w:val="00D00617"/>
    <w:rsid w:val="00DF0562"/>
    <w:rsid w:val="00F76A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7131"/>
  <w15:docId w15:val="{324281C0-1259-45C3-8F22-40AB5D73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abealho">
    <w:name w:val="header"/>
    <w:basedOn w:val="Normal"/>
    <w:link w:val="CabealhoChar"/>
    <w:uiPriority w:val="99"/>
    <w:unhideWhenUsed/>
    <w:rsid w:val="00AE42C6"/>
    <w:pPr>
      <w:tabs>
        <w:tab w:val="center" w:pos="4252"/>
        <w:tab w:val="right" w:pos="8504"/>
      </w:tabs>
      <w:spacing w:line="240" w:lineRule="auto"/>
    </w:pPr>
  </w:style>
  <w:style w:type="character" w:customStyle="1" w:styleId="CabealhoChar">
    <w:name w:val="Cabeçalho Char"/>
    <w:basedOn w:val="Fontepargpadro"/>
    <w:link w:val="Cabealho"/>
    <w:uiPriority w:val="99"/>
    <w:rsid w:val="00AE42C6"/>
  </w:style>
  <w:style w:type="paragraph" w:styleId="Rodap">
    <w:name w:val="footer"/>
    <w:basedOn w:val="Normal"/>
    <w:link w:val="RodapChar"/>
    <w:uiPriority w:val="99"/>
    <w:unhideWhenUsed/>
    <w:rsid w:val="00AE42C6"/>
    <w:pPr>
      <w:tabs>
        <w:tab w:val="center" w:pos="4252"/>
        <w:tab w:val="right" w:pos="8504"/>
      </w:tabs>
      <w:spacing w:line="240" w:lineRule="auto"/>
    </w:pPr>
  </w:style>
  <w:style w:type="character" w:customStyle="1" w:styleId="RodapChar">
    <w:name w:val="Rodapé Char"/>
    <w:basedOn w:val="Fontepargpadro"/>
    <w:link w:val="Rodap"/>
    <w:uiPriority w:val="99"/>
    <w:rsid w:val="00AE4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mativasconselhos.mec.gov.br/"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planalto.gov.br/" TargetMode="External"/><Relationship Id="rId12" Type="http://schemas.openxmlformats.org/officeDocument/2006/relationships/hyperlink" Target="https://www.fnde.gov.b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lanalto.gov.br/ccivil_03/Constituicao/Constituicao.htm" TargetMode="External"/><Relationship Id="rId11" Type="http://schemas.openxmlformats.org/officeDocument/2006/relationships/hyperlink" Target="https://www.in.gov.b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in.gov.br/" TargetMode="External"/><Relationship Id="rId4" Type="http://schemas.openxmlformats.org/officeDocument/2006/relationships/footnotes" Target="footnotes.xml"/><Relationship Id="rId9" Type="http://schemas.openxmlformats.org/officeDocument/2006/relationships/hyperlink" Target="https://www.fnde.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3498</Words>
  <Characters>18893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Lívia Beatriz</dc:creator>
  <cp:lastModifiedBy>Lívia Marinho</cp:lastModifiedBy>
  <cp:revision>3</cp:revision>
  <dcterms:created xsi:type="dcterms:W3CDTF">2025-07-06T09:22:00Z</dcterms:created>
  <dcterms:modified xsi:type="dcterms:W3CDTF">2025-07-06T09:31:00Z</dcterms:modified>
</cp:coreProperties>
</file>