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b w:val="1"/>
          <w:sz w:val="24"/>
          <w:szCs w:val="24"/>
        </w:rPr>
      </w:pPr>
      <w:r w:rsidDel="00000000" w:rsidR="00000000" w:rsidRPr="00000000">
        <w:rPr>
          <w:b w:val="1"/>
          <w:sz w:val="24"/>
          <w:szCs w:val="24"/>
          <w:rtl w:val="0"/>
        </w:rPr>
        <w:t xml:space="preserve">A influência de ideário humanista e pós-humanista na perpetuação da opressão de gênero e raça na sociedade.</w:t>
      </w:r>
    </w:p>
    <w:p w:rsidR="00000000" w:rsidDel="00000000" w:rsidP="00000000" w:rsidRDefault="00000000" w:rsidRPr="00000000" w14:paraId="00000002">
      <w:pPr>
        <w:spacing w:after="240" w:before="240" w:line="360" w:lineRule="auto"/>
        <w:jc w:val="right"/>
        <w:rPr>
          <w:sz w:val="24"/>
          <w:szCs w:val="24"/>
        </w:rPr>
      </w:pPr>
      <w:r w:rsidDel="00000000" w:rsidR="00000000" w:rsidRPr="00000000">
        <w:rPr>
          <w:b w:val="1"/>
          <w:sz w:val="24"/>
          <w:szCs w:val="24"/>
          <w:rtl w:val="0"/>
        </w:rPr>
        <w:tab/>
      </w:r>
      <w:r w:rsidDel="00000000" w:rsidR="00000000" w:rsidRPr="00000000">
        <w:rPr>
          <w:sz w:val="24"/>
          <w:szCs w:val="24"/>
          <w:rtl w:val="0"/>
        </w:rPr>
        <w:t xml:space="preserve">Danielle Araujo Sousa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O artigo analisa o impacto do ideário humanista e pós-humanista na estrutura social, principalmente, na perpetuação da opressão de gênero e raça na sociedade. O trabalho procura fazer uma retomada histórica de como foi elaborado o sistema de hierarquia de povos, raça e gênero. Sendo assim, é enfatizado o papel do Iluminismo, colonização e o apagamento da corporeidade e consequentemente das questões raciais e de gênero do ideário hegemônico reproduzido no sistema capitalista.</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Humanismo</w:t>
      </w:r>
      <w:r w:rsidDel="00000000" w:rsidR="00000000" w:rsidRPr="00000000">
        <w:rPr>
          <w:sz w:val="20"/>
          <w:szCs w:val="20"/>
          <w:vertAlign w:val="baseline"/>
          <w:rtl w:val="0"/>
        </w:rPr>
        <w:t xml:space="preserve">; </w:t>
      </w:r>
      <w:r w:rsidDel="00000000" w:rsidR="00000000" w:rsidRPr="00000000">
        <w:rPr>
          <w:sz w:val="20"/>
          <w:szCs w:val="20"/>
          <w:rtl w:val="0"/>
        </w:rPr>
        <w:t xml:space="preserve">Pós-humanismo; Raça; Gênero.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This article analyzes the impacts of the humanist and post-humanist ideology on the social structure, especially in perpetuating gender and racial oppression in society. The work seeks to take a historical look at how the system of hierarchy of peoples, race and gender was developed. It therefore emphasizes the role of the Enlightenment, colonization and the erasure of corporeality and, consequently, racial and gender issues from the hegemonic ideology reproduced in the capitalist system.</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Humanism; Post-humanism; Race; Gender.</w:t>
      </w:r>
      <w:r w:rsidDel="00000000" w:rsidR="00000000" w:rsidRPr="00000000">
        <w:rPr>
          <w:rtl w:val="0"/>
        </w:rPr>
      </w:r>
    </w:p>
    <w:p w:rsidR="00000000" w:rsidDel="00000000" w:rsidP="00000000" w:rsidRDefault="00000000" w:rsidRPr="00000000" w14:paraId="0000000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sz w:val="24"/>
          <w:szCs w:val="24"/>
          <w:rtl w:val="0"/>
        </w:rPr>
        <w:tab/>
        <w:t xml:space="preserve">O projeto de construção do indivíduo liberal um dos principais responsáveis pela estruturação da vida social na contemporaneidade. Ele foi solidificado durante o Iluminismo e influenciado pelo humanismo, movimento responsável por realizar a construção do sistema de hierarquia racial e de gênero. A partir da década de 90, iniciou-se a dissolução do projeto de construção social do indivíduo liberal com a eclosão do pós-humanismo, no entanto configurou-se uma concepção que determinou a manutenção do </w:t>
      </w:r>
      <w:r w:rsidDel="00000000" w:rsidR="00000000" w:rsidRPr="00000000">
        <w:rPr>
          <w:i w:val="1"/>
          <w:sz w:val="24"/>
          <w:szCs w:val="24"/>
          <w:rtl w:val="0"/>
        </w:rPr>
        <w:t xml:space="preserve">status quo</w:t>
      </w:r>
      <w:r w:rsidDel="00000000" w:rsidR="00000000" w:rsidRPr="00000000">
        <w:rPr>
          <w:sz w:val="24"/>
          <w:szCs w:val="24"/>
          <w:rtl w:val="0"/>
        </w:rPr>
        <w:t xml:space="preserve"> na sociedade.</w:t>
      </w:r>
    </w:p>
    <w:p w:rsidR="00000000" w:rsidDel="00000000" w:rsidP="00000000" w:rsidRDefault="00000000" w:rsidRPr="00000000" w14:paraId="00000010">
      <w:pPr>
        <w:spacing w:line="360" w:lineRule="auto"/>
        <w:jc w:val="both"/>
        <w:rPr>
          <w:sz w:val="24"/>
          <w:szCs w:val="24"/>
        </w:rPr>
      </w:pPr>
      <w:r w:rsidDel="00000000" w:rsidR="00000000" w:rsidRPr="00000000">
        <w:rPr>
          <w:sz w:val="24"/>
          <w:szCs w:val="24"/>
          <w:rtl w:val="0"/>
        </w:rPr>
        <w:tab/>
        <w:t xml:space="preserve">Utilizando uma revisão bibliográfica, o artigo tem o objetivo de discutir a influência do ideário humanista e pós-humanista na solidificação de um sistema sustentado pelas opressões raciais e de gênero. Dessa forma, busca-se analisar como o projeto de construção do indivíduo liberal e posteriormente o apagamento da corporeidade contribuíram para negligenciar demandas de grupos marginalizados na sociedade.</w:t>
      </w:r>
    </w:p>
    <w:p w:rsidR="00000000" w:rsidDel="00000000" w:rsidP="00000000" w:rsidRDefault="00000000" w:rsidRPr="00000000" w14:paraId="00000011">
      <w:pPr>
        <w:spacing w:line="360" w:lineRule="auto"/>
        <w:jc w:val="both"/>
        <w:rPr>
          <w:sz w:val="24"/>
          <w:szCs w:val="24"/>
        </w:rPr>
      </w:pPr>
      <w:r w:rsidDel="00000000" w:rsidR="00000000" w:rsidRPr="00000000">
        <w:rPr>
          <w:sz w:val="24"/>
          <w:szCs w:val="24"/>
          <w:rtl w:val="0"/>
        </w:rPr>
        <w:tab/>
        <w:t xml:space="preserve">Na primeira seção, foi realizada um resgaste histórico origem do Iluminismo e em como esse movimento foi determinante para o projeto de construção do indivíduo liberal, assim como a sua influência para o colonialismo e a política de necropolítica instituída pelo processo de colonização. A segunda seção discute o papel do discurso humanista no apagamento das dimensões raciais e de gênero na sociedade. A terceira seção apresenta a dissolução do projeto liberal de construção do indivíduo moderno, no entanto destaca que esse processo não trouxe a ruptura da homogeneização do ser humano.</w:t>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O Iluminismo e o sistema de hierarquia racial e de gênero</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As ideias sobre autorregulação foram instrumentais para uma mudança do controle autoritário centralizado, de governos absolutistas, que caracterizou a transição da filosofia política europeia durante os séculos XVI e XVII (especialmente em Inglaterra, França e Alemanha) para as filosofias Iluministas da democracia, controle descentralizado e liberalismo na economia. Com a eclosão do liberalismo, o sistema econômico passou a ser gerenciado pelo mercado, conceito sustentado pela ideia de Mão Invisível do mercado apresentada por Adam Smith e pela filosofia política da autorregulação do movimento iluminista. Essa concepção de sistemas econômicos e políticos produziram uma noção complementar do eu liberal como um sujeito autônomo e capaz de realizar a autorregulação atingiu a esfera privada, iniciando-se projeto de construção do indivíduo liberal (Mayr, 1986). Os valores do humanismo liberal são: um eu coerente e racional, o direito desse eu à autonomia e à liberdade, e um sentido de agência ligado a uma crença profunda de promoção do interesse próprio, ligado ao individualismo (Wiener, 1948).</w:t>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ab/>
        <w:t xml:space="preserve">O humanismo liberal também apresenta forte dualidade entre o homem e a natureza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oposições intensamente exploradas no transhumanismo que é um componente do pensamento iluminista (Ranisch; Sorgner, 2014). A ideia de que existem raças diferentes entre os seres humanos surgiu apenas no século XVI. Esse conceito começou a ser desenvolvido durante a era da expansão mercantilista, quando houve uma maior interação entre povos de origens diversas. Esse contexto somado à cultura renascentista construíram o moderno ideário filosófico que enxergava o europeu como o modelo de homem universal, enquanto outros povos com culturas distintas das europeias são considerados menos desenvolvidos (Almeida, 2019).</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O Iluminismo, a partir de seu surgimento, exerceu o papel de base teórica para as grandes revoluções liberais que se seguiram. Essas revoluções reformularam a organização global, fortalecendo o sistema capitalista, que se fundamenta nos princípios iluministas, como a razão e os direitos individuais. Nesse contexto, o processo de colonização foi respaldado por um discurso europeu que se via como “civilizado”, levando aos povos “primitivos” os ideais de liberdade, igualdade e organização mercantil, característicos desse movimento filosófico (Almeida, 2019).  “E foi esse movimento de levar a civilização para onde ela não existia que redundou em um processo de destruição e morte, de espoliação e aviltamento, feito em nome da ração e a que se denominou colonialismo” (Almeida, 2019, p.27).</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Achille Mbembe (2018) conecta os conceitos de soberania e morte ao analisar o processo “civilizatório” que deu origem ao racismo na sociedade. Sendo assim, a definição do ser humano como sujeito está relacionada ao seu confronto com a morte, seja por meio da luta ou do trabalho. De maneira mais ampla, no contexto institucional, a morte se apresenta como uma ferramenta utilizada pelos Estados e povos para afirmar sua soberania (Hegel, 2002). Existem dois tipos de soberania: uma com a finalidade de se alcançar a autonomia e a “instrumentalização generalizada da existência humana e a destruição material de corpos humanos e populações” (Mbembe, 2018, p.10-11).</w:t>
      </w:r>
    </w:p>
    <w:p w:rsidR="00000000" w:rsidDel="00000000" w:rsidP="00000000" w:rsidRDefault="00000000" w:rsidRPr="00000000" w14:paraId="00000018">
      <w:pPr>
        <w:spacing w:line="360" w:lineRule="auto"/>
        <w:jc w:val="both"/>
        <w:rPr>
          <w:sz w:val="24"/>
          <w:szCs w:val="24"/>
        </w:rPr>
      </w:pPr>
      <w:r w:rsidDel="00000000" w:rsidR="00000000" w:rsidRPr="00000000">
        <w:rPr>
          <w:sz w:val="24"/>
          <w:szCs w:val="24"/>
          <w:rtl w:val="0"/>
        </w:rPr>
        <w:tab/>
        <w:t xml:space="preserve">Portanto, a soberania pode ser conceituada como o direito de matar. Na sociedade contemporânea, isso se demonstra por meio do Estado de exceção e pela relação de inimizade entre grupos, onde o direito de matar se torna algo normalizado. Esse poder de decidir quem vive ou morre é conhecido como biopoder. O biopoder foi amplamente exercido durante o nazismo, sendo simbolizado principalmente pelos campos de concentração, além disso foi usado na escravidão e no processo colonial. Nas colônias, as garantias jurídicas eram suspensas, criando uma zona de violência na qual, supostamente, o estado de exceção operava em prol do processo de  “civilização” (Mbembe, 2018).</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ab/>
        <w:t xml:space="preserve">Nesse sentido, existem sujeitos soberanos (cidadãos) que usufruem o biopoder e têm “inimigos” considerados um povo ou pessoas de raças inferiores no ponto de vista desses sujeitos, ou seja, indivíduos com vidas que não possuem valor (Mbembe, 2018). O controle do campo biológico marcado pela categorização, divisão entre os grupos de indivíduos e o estabelecimento de restrições, censura biológica e violência em grupos específicos de pessoas é rotulado de racismo por Foucault (2010)</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w:t>
      </w:r>
    </w:p>
    <w:p w:rsidR="00000000" w:rsidDel="00000000" w:rsidP="00000000" w:rsidRDefault="00000000" w:rsidRPr="00000000" w14:paraId="0000001A">
      <w:pPr>
        <w:spacing w:line="360" w:lineRule="auto"/>
        <w:jc w:val="both"/>
        <w:rPr>
          <w:sz w:val="24"/>
          <w:szCs w:val="24"/>
        </w:rPr>
      </w:pPr>
      <w:r w:rsidDel="00000000" w:rsidR="00000000" w:rsidRPr="00000000">
        <w:rPr>
          <w:rtl w:val="0"/>
        </w:rPr>
      </w:r>
    </w:p>
    <w:p w:rsidR="00000000" w:rsidDel="00000000" w:rsidP="00000000" w:rsidRDefault="00000000" w:rsidRPr="00000000" w14:paraId="0000001B">
      <w:pPr>
        <w:spacing w:line="360" w:lineRule="auto"/>
        <w:jc w:val="both"/>
        <w:rPr>
          <w:b w:val="1"/>
          <w:sz w:val="24"/>
          <w:szCs w:val="24"/>
        </w:rPr>
      </w:pPr>
      <w:r w:rsidDel="00000000" w:rsidR="00000000" w:rsidRPr="00000000">
        <w:rPr>
          <w:b w:val="1"/>
          <w:sz w:val="24"/>
          <w:szCs w:val="24"/>
          <w:vertAlign w:val="baseline"/>
          <w:rtl w:val="0"/>
        </w:rPr>
        <w:t xml:space="preserve">3</w:t>
        <w:tab/>
      </w:r>
      <w:r w:rsidDel="00000000" w:rsidR="00000000" w:rsidRPr="00000000">
        <w:rPr>
          <w:b w:val="1"/>
          <w:sz w:val="24"/>
          <w:szCs w:val="24"/>
          <w:rtl w:val="0"/>
        </w:rPr>
        <w:t xml:space="preserve">Papel do humanismo na estrutura social contemporânea</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Anteriormente, foi discutido a origem do projeto de construção do indivíduo liberal, baseado em preceitos humanistas. Neste tópico será abordado suas influências na composição do pensamento acerca das questões de raça e gênero do sistema capitalista.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De acordo com Hayles (1999), feministas e teóricos pós-coloniais tecem críticas à construção do indivíduo liberal. As teorias feministas apontam que o sujeito humanista liberal tenha construído a imagem de homem branco europeu, presumindo uma universalidade, tem papel de desprivilegiar e suprimir as vozes das mulheres. Os teóricos pós-coloniais acrescentam que além da universalidade do sujeito liberal baseada no homem branco, o humanismo criou essa figura com o conceito de uma identidade unificada e consistente da humanidade, o transhumanismo também focou na hibridização</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Essas teorias demonstram que não existe sujeito ou subjetividade desconsiderando a análise histórica, da linguagem, cultura e das relações de poder. Dessa forma, nota-se que os sistemas de opressão no sistema capitalistas foram construídos por meio do apagamento da identidade de grupos historicamente subjugados, impedindo que as suas manifestações sejam ouvidas e suas demandas atingidas. É possível enxergar fortemente esse aspecto ao observar a como foi constituída a questão de raça e gênero na sociedade (Tadeu, 2000).</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No ponto de vista racial, a eliminação da questão racial é expressa na modernidade pela ideia de democracia racial. A ideologia do embranquecimento originou-se em um contexto onde a miscigenação era celebrada como um símbolo de democracia racial. Ela se configura como um “mito” criado pelas classes dominantes para suavizar o racismo profundamente enraizado na sociedade. No caso do Brasil, uma grande influência veio dos chamados intérpretes do Brasil, com destaque para Gilberto Freyre, que foi crucial na formação dessa ideologia. Freyre desenvolveu o conceito de democracia racial, moldando a visão oficial e pública das relações entre negros e brancos (Gonzalez, 2020).</w:t>
      </w:r>
    </w:p>
    <w:p w:rsidR="00000000" w:rsidDel="00000000" w:rsidP="00000000" w:rsidRDefault="00000000" w:rsidRPr="00000000" w14:paraId="00000020">
      <w:pPr>
        <w:shd w:fill="ffffff" w:val="clear"/>
        <w:spacing w:line="360" w:lineRule="auto"/>
        <w:ind w:firstLine="720"/>
        <w:jc w:val="both"/>
        <w:rPr>
          <w:sz w:val="24"/>
          <w:szCs w:val="24"/>
          <w:highlight w:val="white"/>
        </w:rPr>
      </w:pPr>
      <w:r w:rsidDel="00000000" w:rsidR="00000000" w:rsidRPr="00000000">
        <w:rPr>
          <w:sz w:val="24"/>
          <w:szCs w:val="24"/>
          <w:rtl w:val="0"/>
        </w:rPr>
        <w:t xml:space="preserve">Uma das obras mais conhecidas de Freyre acerca do processo de colonização brasileira é “Casa-Grande e Senzala”. </w:t>
      </w:r>
      <w:r w:rsidDel="00000000" w:rsidR="00000000" w:rsidRPr="00000000">
        <w:rPr>
          <w:sz w:val="24"/>
          <w:szCs w:val="24"/>
          <w:highlight w:val="white"/>
          <w:rtl w:val="0"/>
        </w:rPr>
        <w:t xml:space="preserve">O livro retrata a formação da família brasileira a partir das dinâmicas de classe e raça no colonialismo. A sociedade brasileira teria se estruturado em torno das relações íntimas e afetuosas que ocorriam nas casas-grandes. Nesse contexto, a interação entre os senhores de engenho e as pessoas escravizadas era caracterizada por uma passividade e uma cordialidade aparente (</w:t>
      </w:r>
      <w:r w:rsidDel="00000000" w:rsidR="00000000" w:rsidRPr="00000000">
        <w:rPr>
          <w:sz w:val="24"/>
          <w:szCs w:val="24"/>
          <w:rtl w:val="0"/>
        </w:rPr>
        <w:t xml:space="preserve">Freyre </w:t>
      </w:r>
      <w:hyperlink r:id="rId8">
        <w:r w:rsidDel="00000000" w:rsidR="00000000" w:rsidRPr="00000000">
          <w:rPr>
            <w:i w:val="1"/>
            <w:sz w:val="24"/>
            <w:szCs w:val="24"/>
            <w:rtl w:val="0"/>
          </w:rPr>
          <w:t xml:space="preserve">et al</w:t>
        </w:r>
      </w:hyperlink>
      <w:r w:rsidDel="00000000" w:rsidR="00000000" w:rsidRPr="00000000">
        <w:rPr>
          <w:sz w:val="24"/>
          <w:szCs w:val="24"/>
          <w:rtl w:val="0"/>
        </w:rPr>
        <w:t xml:space="preserve">,</w:t>
      </w:r>
      <w:r w:rsidDel="00000000" w:rsidR="00000000" w:rsidRPr="00000000">
        <w:rPr>
          <w:sz w:val="24"/>
          <w:szCs w:val="24"/>
          <w:rtl w:val="0"/>
        </w:rPr>
        <w:t xml:space="preserve"> 2006)</w:t>
      </w:r>
      <w:r w:rsidDel="00000000" w:rsidR="00000000" w:rsidRPr="00000000">
        <w:rPr>
          <w:sz w:val="24"/>
          <w:szCs w:val="24"/>
          <w:highlight w:val="white"/>
          <w:rtl w:val="0"/>
        </w:rPr>
        <w:t xml:space="preserve">.</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Sendo assim, </w:t>
      </w:r>
      <w:r w:rsidDel="00000000" w:rsidR="00000000" w:rsidRPr="00000000">
        <w:rPr>
          <w:sz w:val="24"/>
          <w:szCs w:val="24"/>
          <w:rtl w:val="0"/>
        </w:rPr>
        <w:t xml:space="preserve">Freyre considera o processo de miscigenação brasileira uma manifestação da harmonia nas relações entre brancos e negros, minimizando a situação violência sexual dos senhores brancos contra as mulheres negras e indígenas que marcou o período colonial.</w:t>
      </w:r>
      <w:r w:rsidDel="00000000" w:rsidR="00000000" w:rsidRPr="00000000">
        <w:rPr>
          <w:sz w:val="24"/>
          <w:szCs w:val="24"/>
          <w:rtl w:val="0"/>
        </w:rPr>
        <w:t xml:space="preserve"> Ademais, ao apresentar a escravidão como um sistema paternalista e harmônico, omitindo a violência presente nas relações entre barancos e negros, Gilberto Freyre contribuiu com a tese de que não existe racismo na sociedade brasileira (Gonzalez, 2020)</w:t>
      </w:r>
      <w:r w:rsidDel="00000000" w:rsidR="00000000" w:rsidRPr="00000000">
        <w:rPr>
          <w:sz w:val="24"/>
          <w:szCs w:val="24"/>
          <w:rtl w:val="0"/>
        </w:rPr>
        <w:t xml:space="preserve">.</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Essa base teórica que estabelece relações raciais durante o processo de colonização continua presente no imaginário social. Ademais, ela adquire novos significados e funções dentro de uma ordem social tida como democrática, que mantém as hierarquias de gênero, cor e raça estabelecidas no período da escravidão (Carneiro, 2003).</w:t>
      </w:r>
    </w:p>
    <w:p w:rsidR="00000000" w:rsidDel="00000000" w:rsidP="00000000" w:rsidRDefault="00000000" w:rsidRPr="00000000" w14:paraId="00000023">
      <w:pPr>
        <w:shd w:fill="ffffff" w:val="clear"/>
        <w:spacing w:line="360" w:lineRule="auto"/>
        <w:ind w:firstLine="697"/>
        <w:jc w:val="both"/>
        <w:rPr>
          <w:sz w:val="24"/>
          <w:szCs w:val="24"/>
        </w:rPr>
      </w:pPr>
      <w:r w:rsidDel="00000000" w:rsidR="00000000" w:rsidRPr="00000000">
        <w:rPr>
          <w:sz w:val="24"/>
          <w:szCs w:val="24"/>
          <w:rtl w:val="0"/>
        </w:rPr>
        <w:t xml:space="preserve">O ideário de inexistência do racismo, juntamente com o discurso meritocrático disseminado pelas instituições, Estado e sociedade, desconsidera as questões discriminatórias de raça e gênero existentes no mercado de trabalho que dificultam a integração de pessoas negras e de mulheres no sistema. Assim, questões relacionadas à criação de políticas de inclusão e à redução das desigualdades sociais por meio da política não são amplamente debatidas, pois a sociedade normalizou uma realidade em que a maioria das pessoas negras recebe salários mais baixos, ocupa posições de trabalho mais precárias, não desempenham funções de poder, vive em áreas periféricas e é frequentemente vítima de violência, muitas vezes com a conivência do Estado (Almeida, 2019).</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Em relação à questão de gênero, o apagamento das demandas das mulheres aconteceu na contemporaneidade por meio da incorporação das elites de um discurso fenimista inofensivo, minimizando as chances de mudanças estruturais. Nese sentido, o feminismo mais disseminado na atualidade, apesar de ter origem baseada no movimento negro e descolonial, foi apropriado e pacificado pelas elites, com a finalidade de incorporar a ideologia neoliberal (Vergès, 2020).</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Sendo assim, o feminismo adquiriu um caráter universal, de modo que o discurso predominante, o feminismo hegemônico, está focado em questões mais amplas, direcionadas principalmente para mulheres brancas da elite, sem considerar aspectos essenciais de outros grupos de mulheres, como questões socioculturais, raciais e de sexualidade. Essa tentativa de simplificar o movimento feminista visa, na verdade, preservar a estrutura social existente, dificultando a expansão de um feminismo que coloca a luta contra o capitalismo e o imperialismo como centrais para a emancipação das mulheres (Vergès, 2020).</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b w:val="1"/>
          <w:sz w:val="24"/>
          <w:szCs w:val="24"/>
        </w:rPr>
      </w:pPr>
      <w:r w:rsidDel="00000000" w:rsidR="00000000" w:rsidRPr="00000000">
        <w:rPr>
          <w:b w:val="1"/>
          <w:sz w:val="24"/>
          <w:szCs w:val="24"/>
          <w:rtl w:val="0"/>
        </w:rPr>
        <w:t xml:space="preserve">4</w:t>
        <w:tab/>
        <w:t xml:space="preserve">A questão racial e de gênero no pós-humanismo</w:t>
      </w:r>
    </w:p>
    <w:p w:rsidR="00000000" w:rsidDel="00000000" w:rsidP="00000000" w:rsidRDefault="00000000" w:rsidRPr="00000000" w14:paraId="00000028">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Com o avanço da cibernética e concepção do pós-humanismo, principalmente a partir da década de 90, houve a dissolução do projeto liberal de construção do indivíduo moderno. A era tecnológica promoveu um fenômeno contrário à perspectiva de intensificação da construção do indivíduo possessivo baseado na liberdade na esfera privada esperada após o fim da URSS e consolidação do capitalismo como principal sistema econômico do mundo (Mariutti, 2020).</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 Nesse sentido, esse fenômeno trouxe a formação de uma nova subjetividade responsável por modificar os parâmetros humanistas de construção do indivíduo. A cibernética encerrou a ideia de oposição e separação entre o homem e a natureza. Os indivíduos na atualidade são acoplados com a tecnologia, utilizando as melhorias técnicas proporcionadas pela cibernética para o seu aprimoramento, de forma que não é mais possível se pensar na figura do homem separada da natureza, pois não existe mais diferenciação entre máquina e organismo, entre técnico e orgânico. Rompendo-se com ideais iluministas, essa dissolução acabou com a ideia de classificar e separar elementos em uma estrutura dicotômica como mente/corpo, civilizado/primitivo, cultura/natureza. Portanto, nota-se que o pós-humanismo atua na contestação da visão humanista a respeito da hierarquização e classificação de diferentes povos e culturas (Haraway, 1991).</w:t>
      </w:r>
    </w:p>
    <w:p w:rsidR="00000000" w:rsidDel="00000000" w:rsidP="00000000" w:rsidRDefault="00000000" w:rsidRPr="00000000" w14:paraId="0000002A">
      <w:pPr>
        <w:spacing w:line="240" w:lineRule="auto"/>
        <w:ind w:left="2267" w:firstLine="0"/>
        <w:jc w:val="both"/>
        <w:rPr>
          <w:sz w:val="20"/>
          <w:szCs w:val="20"/>
        </w:rPr>
      </w:pPr>
      <w:r w:rsidDel="00000000" w:rsidR="00000000" w:rsidRPr="00000000">
        <w:rPr>
          <w:sz w:val="20"/>
          <w:szCs w:val="20"/>
          <w:rtl w:val="0"/>
        </w:rPr>
        <w:t xml:space="preserve">Embodiment has been systematically downplayed or erased in the cybernetic construction of the posthuman in ways that havge not occurred in other critiques of the liberal humanist subject, especially in feminist and postcolonial theories. Indeed, one could argue that the erasure of embodiment is a feature common to both the liberal humanist subject and the cybernetic posthuman. Identified with the rational mind, the liberal subject possessed a body but was not usually represented as being a body. Only because the body is not identified with the self is it possible to claim for the liberal subject its notorious universality, a claim that depends on erasing markers of bodily difference, including sex, race, and ethnicity (Hayles, 1999, p.4-5).</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A ideia de apagamento da corporeidade construída no pós-humanismo, incluindo os aspectos de raça, gênero e etnia, busca criar a imagem universal da humanidade. No entanto, “trata-se de um falso universalismo, pois o seu modelo básico é homem branco europeu entendido nos termos da modernidade, isto é, onde o princípio fundamental da ação repousa no homem pensado como uma unidade discreta claramente destacada do meio em que vive” (Mariutti, 2020, p.4).</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Como foi discutido anteriormente, historicamente a sociedade é formada por uma estrutura patriarcal e racista que construiu as relações sociorraciais da contemporaneidade. Nesse aspecto, o apagamento da corporeidade acaba por perpetuar a manutenção do </w:t>
      </w:r>
      <w:r w:rsidDel="00000000" w:rsidR="00000000" w:rsidRPr="00000000">
        <w:rPr>
          <w:i w:val="1"/>
          <w:sz w:val="24"/>
          <w:szCs w:val="24"/>
          <w:rtl w:val="0"/>
        </w:rPr>
        <w:t xml:space="preserve">status quo</w:t>
      </w:r>
      <w:r w:rsidDel="00000000" w:rsidR="00000000" w:rsidRPr="00000000">
        <w:rPr>
          <w:sz w:val="24"/>
          <w:szCs w:val="24"/>
          <w:rtl w:val="0"/>
        </w:rPr>
        <w:t xml:space="preserve"> na sociedade, porque as estruturas de opressão social constituídas no processo civilizatório, principalmente, em relação à questão racial e de gênero são desconsideradas.</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b w:val="1"/>
          <w:sz w:val="24"/>
          <w:szCs w:val="24"/>
          <w:rtl w:val="0"/>
        </w:rPr>
        <w:t xml:space="preserve">5</w:t>
        <w:tab/>
        <w:t xml:space="preserve">CONCLUSÃO</w:t>
      </w:r>
      <w:r w:rsidDel="00000000" w:rsidR="00000000" w:rsidRPr="00000000">
        <w:rPr>
          <w:rtl w:val="0"/>
        </w:rPr>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ab/>
        <w:t xml:space="preserve">Observa-se que a ideologia humanista sustentou o projeto construção do indivíduo liberal, estruturando uma sociedade através de hierarquias raciais e de gênero. O pós-humanismo, apesar de romper com os ideais propostos pelo humanismo, manteve inalterada as estruturas de poder e o apagamento das corporalidades dissidentes e a manutenção do </w:t>
      </w:r>
      <w:r w:rsidDel="00000000" w:rsidR="00000000" w:rsidRPr="00000000">
        <w:rPr>
          <w:i w:val="1"/>
          <w:sz w:val="24"/>
          <w:szCs w:val="24"/>
          <w:rtl w:val="0"/>
        </w:rPr>
        <w:t xml:space="preserve">status quo</w:t>
      </w:r>
      <w:r w:rsidDel="00000000" w:rsidR="00000000" w:rsidRPr="00000000">
        <w:rPr>
          <w:sz w:val="24"/>
          <w:szCs w:val="24"/>
          <w:rtl w:val="0"/>
        </w:rPr>
        <w:t xml:space="preserve">.</w:t>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ab/>
        <w:t xml:space="preserve">Sendo assim, é primordial superar o ideário eurocêntrico e homogêneo de humanidade sedimentado no humanismo e ratificado no pós-humanismo. Para tal propósito, é essencial a disseminação de epistemologias críticas ao projeto de construção do indivíduo liberal, essencialmente, aquelas que apresentam perspectivas que não apagam a estrutura de opressão de povos marginalizados. Ademais, é fundamental incorporar políticas públicas para mitigar e superar tal estrutura de coerção social instituída na sociedade.</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3">
      <w:pPr>
        <w:shd w:fill="ffffff" w:val="clear"/>
        <w:spacing w:after="240" w:before="240" w:line="360" w:lineRule="auto"/>
        <w:jc w:val="both"/>
        <w:rPr>
          <w:sz w:val="24"/>
          <w:szCs w:val="24"/>
        </w:rPr>
      </w:pPr>
      <w:r w:rsidDel="00000000" w:rsidR="00000000" w:rsidRPr="00000000">
        <w:rPr>
          <w:sz w:val="24"/>
          <w:szCs w:val="24"/>
          <w:rtl w:val="0"/>
        </w:rPr>
        <w:t xml:space="preserve">ALMEIDA, S. </w:t>
      </w:r>
      <w:r w:rsidDel="00000000" w:rsidR="00000000" w:rsidRPr="00000000">
        <w:rPr>
          <w:b w:val="1"/>
          <w:sz w:val="24"/>
          <w:szCs w:val="24"/>
          <w:rtl w:val="0"/>
        </w:rPr>
        <w:t xml:space="preserve">O que é racismo estrutural?.</w:t>
      </w:r>
      <w:r w:rsidDel="00000000" w:rsidR="00000000" w:rsidRPr="00000000">
        <w:rPr>
          <w:sz w:val="24"/>
          <w:szCs w:val="24"/>
          <w:rtl w:val="0"/>
        </w:rPr>
        <w:t xml:space="preserve"> Belo Horizonte (MG): Letramento, 2018.</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 xml:space="preserve">CARNEIRO, S. </w:t>
      </w:r>
      <w:r w:rsidDel="00000000" w:rsidR="00000000" w:rsidRPr="00000000">
        <w:rPr>
          <w:b w:val="1"/>
          <w:sz w:val="24"/>
          <w:szCs w:val="24"/>
          <w:rtl w:val="0"/>
        </w:rPr>
        <w:t xml:space="preserve">Enegrecer o feminismo</w:t>
      </w:r>
      <w:r w:rsidDel="00000000" w:rsidR="00000000" w:rsidRPr="00000000">
        <w:rPr>
          <w:sz w:val="24"/>
          <w:szCs w:val="24"/>
          <w:rtl w:val="0"/>
        </w:rPr>
        <w:t xml:space="preserve">: a situação da mulher negra na América Latina a partir de uma perspectiva de gênero. Racismos contemporâneos. Rio de Janeiro: Takano Editora, v. 49, 2003.</w:t>
      </w:r>
    </w:p>
    <w:p w:rsidR="00000000" w:rsidDel="00000000" w:rsidP="00000000" w:rsidRDefault="00000000" w:rsidRPr="00000000" w14:paraId="00000035">
      <w:pPr>
        <w:shd w:fill="ffffff" w:val="clear"/>
        <w:spacing w:after="240" w:before="240" w:line="360" w:lineRule="auto"/>
        <w:jc w:val="both"/>
        <w:rPr>
          <w:sz w:val="24"/>
          <w:szCs w:val="24"/>
        </w:rPr>
      </w:pPr>
      <w:r w:rsidDel="00000000" w:rsidR="00000000" w:rsidRPr="00000000">
        <w:rPr>
          <w:sz w:val="24"/>
          <w:szCs w:val="24"/>
          <w:rtl w:val="0"/>
        </w:rPr>
        <w:t xml:space="preserve">FEDERICI, S. </w:t>
      </w:r>
      <w:r w:rsidDel="00000000" w:rsidR="00000000" w:rsidRPr="00000000">
        <w:rPr>
          <w:b w:val="1"/>
          <w:sz w:val="24"/>
          <w:szCs w:val="24"/>
          <w:rtl w:val="0"/>
        </w:rPr>
        <w:t xml:space="preserve">Caliban and the witch: </w:t>
      </w:r>
      <w:r w:rsidDel="00000000" w:rsidR="00000000" w:rsidRPr="00000000">
        <w:rPr>
          <w:sz w:val="24"/>
          <w:szCs w:val="24"/>
          <w:rtl w:val="0"/>
        </w:rPr>
        <w:t xml:space="preserve">Women, the body, and primitive accumulation. Nova Iorque, NY, USA: Autonomedia, 2004.</w:t>
      </w:r>
    </w:p>
    <w:p w:rsidR="00000000" w:rsidDel="00000000" w:rsidP="00000000" w:rsidRDefault="00000000" w:rsidRPr="00000000" w14:paraId="00000036">
      <w:pPr>
        <w:spacing w:line="360" w:lineRule="auto"/>
        <w:jc w:val="both"/>
        <w:rPr>
          <w:sz w:val="24"/>
          <w:szCs w:val="24"/>
        </w:rPr>
      </w:pPr>
      <w:r w:rsidDel="00000000" w:rsidR="00000000" w:rsidRPr="00000000">
        <w:rPr>
          <w:sz w:val="24"/>
          <w:szCs w:val="24"/>
          <w:rtl w:val="0"/>
        </w:rPr>
        <w:t xml:space="preserve">FOUCAUTL, Michel. </w:t>
      </w:r>
      <w:r w:rsidDel="00000000" w:rsidR="00000000" w:rsidRPr="00000000">
        <w:rPr>
          <w:b w:val="1"/>
          <w:sz w:val="24"/>
          <w:szCs w:val="24"/>
          <w:rtl w:val="0"/>
        </w:rPr>
        <w:t xml:space="preserve">Em defesa da sociedade</w:t>
      </w:r>
      <w:r w:rsidDel="00000000" w:rsidR="00000000" w:rsidRPr="00000000">
        <w:rPr>
          <w:sz w:val="24"/>
          <w:szCs w:val="24"/>
          <w:rtl w:val="0"/>
        </w:rPr>
        <w:t xml:space="preserve">. São Paulo: Martins Fontes, 2010.</w:t>
      </w:r>
    </w:p>
    <w:p w:rsidR="00000000" w:rsidDel="00000000" w:rsidP="00000000" w:rsidRDefault="00000000" w:rsidRPr="00000000" w14:paraId="00000037">
      <w:pPr>
        <w:spacing w:line="360" w:lineRule="auto"/>
        <w:jc w:val="both"/>
        <w:rPr>
          <w:sz w:val="24"/>
          <w:szCs w:val="24"/>
        </w:rPr>
      </w:pPr>
      <w:r w:rsidDel="00000000" w:rsidR="00000000" w:rsidRPr="00000000">
        <w:rPr>
          <w:rtl w:val="0"/>
        </w:rPr>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FREYRE, G; CARDOSO, F; FONSECA, Edson Nery da;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b w:val="1"/>
          <w:sz w:val="24"/>
          <w:szCs w:val="24"/>
          <w:rtl w:val="0"/>
        </w:rPr>
        <w:t xml:space="preserve">Casa-grande &amp; senzala: formação da família brasileira sob o regime da economia patriarcal</w:t>
      </w:r>
      <w:r w:rsidDel="00000000" w:rsidR="00000000" w:rsidRPr="00000000">
        <w:rPr>
          <w:sz w:val="24"/>
          <w:szCs w:val="24"/>
          <w:rtl w:val="0"/>
        </w:rPr>
        <w:t xml:space="preserve">. 51a edição, 10a reimpressão. São Paulo: Global Editora, 2006.</w:t>
      </w:r>
    </w:p>
    <w:p w:rsidR="00000000" w:rsidDel="00000000" w:rsidP="00000000" w:rsidRDefault="00000000" w:rsidRPr="00000000" w14:paraId="00000039">
      <w:pPr>
        <w:shd w:fill="ffffff" w:val="clear"/>
        <w:spacing w:after="240" w:before="240" w:line="360" w:lineRule="auto"/>
        <w:jc w:val="both"/>
        <w:rPr>
          <w:sz w:val="24"/>
          <w:szCs w:val="24"/>
        </w:rPr>
      </w:pPr>
      <w:r w:rsidDel="00000000" w:rsidR="00000000" w:rsidRPr="00000000">
        <w:rPr>
          <w:sz w:val="24"/>
          <w:szCs w:val="24"/>
          <w:rtl w:val="0"/>
        </w:rPr>
        <w:t xml:space="preserve">GONZALEZ, L. </w:t>
      </w:r>
      <w:r w:rsidDel="00000000" w:rsidR="00000000" w:rsidRPr="00000000">
        <w:rPr>
          <w:b w:val="1"/>
          <w:sz w:val="24"/>
          <w:szCs w:val="24"/>
          <w:rtl w:val="0"/>
        </w:rPr>
        <w:t xml:space="preserve">Por um feminismo afro-latino-americano</w:t>
      </w:r>
      <w:r w:rsidDel="00000000" w:rsidR="00000000" w:rsidRPr="00000000">
        <w:rPr>
          <w:sz w:val="24"/>
          <w:szCs w:val="24"/>
          <w:rtl w:val="0"/>
        </w:rPr>
        <w:t xml:space="preserve">: ensaios, intervenções e diálogos. Rio De Janeiro: Zahar, 2020.</w:t>
      </w:r>
    </w:p>
    <w:p w:rsidR="00000000" w:rsidDel="00000000" w:rsidP="00000000" w:rsidRDefault="00000000" w:rsidRPr="00000000" w14:paraId="0000003A">
      <w:pPr>
        <w:spacing w:after="240" w:before="240" w:line="360" w:lineRule="auto"/>
        <w:jc w:val="both"/>
        <w:rPr>
          <w:sz w:val="24"/>
          <w:szCs w:val="24"/>
        </w:rPr>
      </w:pPr>
      <w:r w:rsidDel="00000000" w:rsidR="00000000" w:rsidRPr="00000000">
        <w:rPr>
          <w:sz w:val="24"/>
          <w:szCs w:val="24"/>
          <w:rtl w:val="0"/>
        </w:rPr>
        <w:t xml:space="preserve">HABERMAS, J. (2006). </w:t>
      </w:r>
      <w:r w:rsidDel="00000000" w:rsidR="00000000" w:rsidRPr="00000000">
        <w:rPr>
          <w:b w:val="1"/>
          <w:sz w:val="24"/>
          <w:szCs w:val="24"/>
          <w:rtl w:val="0"/>
        </w:rPr>
        <w:t xml:space="preserve">O futuro da natureza humana</w:t>
      </w:r>
      <w:r w:rsidDel="00000000" w:rsidR="00000000" w:rsidRPr="00000000">
        <w:rPr>
          <w:sz w:val="24"/>
          <w:szCs w:val="24"/>
          <w:rtl w:val="0"/>
        </w:rPr>
        <w:t xml:space="preserve">: a caminho de uma eugenia liberal (M.B. Bettencourt, Trad.). Coimbra: Edições Almedina. (Obra original publicada em 2001).</w:t>
      </w:r>
    </w:p>
    <w:p w:rsidR="00000000" w:rsidDel="00000000" w:rsidP="00000000" w:rsidRDefault="00000000" w:rsidRPr="00000000" w14:paraId="0000003B">
      <w:pPr>
        <w:shd w:fill="ffffff" w:val="clear"/>
        <w:spacing w:before="240" w:line="360" w:lineRule="auto"/>
        <w:jc w:val="both"/>
        <w:rPr>
          <w:sz w:val="24"/>
          <w:szCs w:val="24"/>
        </w:rPr>
      </w:pPr>
      <w:r w:rsidDel="00000000" w:rsidR="00000000" w:rsidRPr="00000000">
        <w:rPr>
          <w:sz w:val="24"/>
          <w:szCs w:val="24"/>
          <w:rtl w:val="0"/>
        </w:rPr>
        <w:t xml:space="preserve">HALL, S. &amp; DU GAY, P. (1996). </w:t>
      </w:r>
      <w:r w:rsidDel="00000000" w:rsidR="00000000" w:rsidRPr="00000000">
        <w:rPr>
          <w:b w:val="1"/>
          <w:sz w:val="24"/>
          <w:szCs w:val="24"/>
          <w:rtl w:val="0"/>
        </w:rPr>
        <w:t xml:space="preserve">Questions of Cultural Identity</w:t>
      </w:r>
      <w:r w:rsidDel="00000000" w:rsidR="00000000" w:rsidRPr="00000000">
        <w:rPr>
          <w:sz w:val="24"/>
          <w:szCs w:val="24"/>
          <w:rtl w:val="0"/>
        </w:rPr>
        <w:t xml:space="preserve">. London: Sage</w:t>
      </w:r>
    </w:p>
    <w:p w:rsidR="00000000" w:rsidDel="00000000" w:rsidP="00000000" w:rsidRDefault="00000000" w:rsidRPr="00000000" w14:paraId="0000003C">
      <w:pPr>
        <w:shd w:fill="ffffff" w:val="clear"/>
        <w:spacing w:after="240" w:before="240" w:line="360" w:lineRule="auto"/>
        <w:jc w:val="both"/>
        <w:rPr>
          <w:sz w:val="24"/>
          <w:szCs w:val="24"/>
        </w:rPr>
      </w:pPr>
      <w:r w:rsidDel="00000000" w:rsidR="00000000" w:rsidRPr="00000000">
        <w:rPr>
          <w:sz w:val="24"/>
          <w:szCs w:val="24"/>
          <w:rtl w:val="0"/>
        </w:rPr>
        <w:t xml:space="preserve">HARAWAY, D. </w:t>
      </w:r>
      <w:r w:rsidDel="00000000" w:rsidR="00000000" w:rsidRPr="00000000">
        <w:rPr>
          <w:b w:val="1"/>
          <w:sz w:val="24"/>
          <w:szCs w:val="24"/>
          <w:rtl w:val="0"/>
        </w:rPr>
        <w:t xml:space="preserve">A Cyborg Manifesto</w:t>
      </w:r>
      <w:r w:rsidDel="00000000" w:rsidR="00000000" w:rsidRPr="00000000">
        <w:rPr>
          <w:sz w:val="24"/>
          <w:szCs w:val="24"/>
          <w:rtl w:val="0"/>
        </w:rPr>
        <w:t xml:space="preserve">: Science, Technology, and Socialist-Feminism in the Late Twentieth Century”, do livro da autora, Simians, Cyborgs, and Women. The Reinvention of Nature, editora Routledge, 1991.</w:t>
      </w:r>
    </w:p>
    <w:p w:rsidR="00000000" w:rsidDel="00000000" w:rsidP="00000000" w:rsidRDefault="00000000" w:rsidRPr="00000000" w14:paraId="0000003D">
      <w:pPr>
        <w:spacing w:after="240" w:before="240" w:line="360" w:lineRule="auto"/>
        <w:jc w:val="both"/>
        <w:rPr>
          <w:sz w:val="24"/>
          <w:szCs w:val="24"/>
        </w:rPr>
      </w:pPr>
      <w:r w:rsidDel="00000000" w:rsidR="00000000" w:rsidRPr="00000000">
        <w:rPr>
          <w:sz w:val="24"/>
          <w:szCs w:val="24"/>
          <w:rtl w:val="0"/>
        </w:rPr>
        <w:t xml:space="preserve">HARAWAY, D. </w:t>
      </w:r>
      <w:r w:rsidDel="00000000" w:rsidR="00000000" w:rsidRPr="00000000">
        <w:rPr>
          <w:b w:val="1"/>
          <w:sz w:val="24"/>
          <w:szCs w:val="24"/>
          <w:rtl w:val="0"/>
        </w:rPr>
        <w:t xml:space="preserve">Simians, Cyborgs, and Women</w:t>
      </w:r>
      <w:r w:rsidDel="00000000" w:rsidR="00000000" w:rsidRPr="00000000">
        <w:rPr>
          <w:sz w:val="24"/>
          <w:szCs w:val="24"/>
          <w:rtl w:val="0"/>
        </w:rPr>
        <w:t xml:space="preserve">: the reinvention of nature. Nova York: Routledge, 1991.</w:t>
      </w:r>
    </w:p>
    <w:p w:rsidR="00000000" w:rsidDel="00000000" w:rsidP="00000000" w:rsidRDefault="00000000" w:rsidRPr="00000000" w14:paraId="0000003E">
      <w:pPr>
        <w:spacing w:after="240" w:before="240" w:line="360" w:lineRule="auto"/>
        <w:jc w:val="both"/>
        <w:rPr>
          <w:sz w:val="24"/>
          <w:szCs w:val="24"/>
        </w:rPr>
      </w:pPr>
      <w:r w:rsidDel="00000000" w:rsidR="00000000" w:rsidRPr="00000000">
        <w:rPr>
          <w:sz w:val="24"/>
          <w:szCs w:val="24"/>
          <w:rtl w:val="0"/>
        </w:rPr>
        <w:t xml:space="preserve">HAYLES, N. </w:t>
      </w:r>
      <w:r w:rsidDel="00000000" w:rsidR="00000000" w:rsidRPr="00000000">
        <w:rPr>
          <w:b w:val="1"/>
          <w:sz w:val="24"/>
          <w:szCs w:val="24"/>
          <w:rtl w:val="0"/>
        </w:rPr>
        <w:t xml:space="preserve">How we Became Posthuman</w:t>
      </w:r>
      <w:r w:rsidDel="00000000" w:rsidR="00000000" w:rsidRPr="00000000">
        <w:rPr>
          <w:sz w:val="24"/>
          <w:szCs w:val="24"/>
          <w:rtl w:val="0"/>
        </w:rPr>
        <w:t xml:space="preserve">: virtual bodies in cybernetics, literatura and informatics. Chicago: Univ. of Chicago Press, 1999.</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MARIUTTI, E. </w:t>
      </w:r>
      <w:r w:rsidDel="00000000" w:rsidR="00000000" w:rsidRPr="00000000">
        <w:rPr>
          <w:b w:val="1"/>
          <w:sz w:val="24"/>
          <w:szCs w:val="24"/>
          <w:rtl w:val="0"/>
        </w:rPr>
        <w:t xml:space="preserve">Do individualismo possessivo ao indivíduo possuído:</w:t>
      </w:r>
      <w:r w:rsidDel="00000000" w:rsidR="00000000" w:rsidRPr="00000000">
        <w:rPr>
          <w:sz w:val="24"/>
          <w:szCs w:val="24"/>
          <w:rtl w:val="0"/>
        </w:rPr>
        <w:t xml:space="preserve"> a dissolução do projeto liberal de construção do indivíduo moderno, 2020.</w:t>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 xml:space="preserve">MAYR, O. </w:t>
      </w:r>
      <w:r w:rsidDel="00000000" w:rsidR="00000000" w:rsidRPr="00000000">
        <w:rPr>
          <w:b w:val="1"/>
          <w:sz w:val="24"/>
          <w:szCs w:val="24"/>
          <w:rtl w:val="0"/>
        </w:rPr>
        <w:t xml:space="preserve">Authority, Liberty, and Automatic Machinery in Early Modem Europe </w:t>
      </w:r>
      <w:r w:rsidDel="00000000" w:rsidR="00000000" w:rsidRPr="00000000">
        <w:rPr>
          <w:sz w:val="24"/>
          <w:szCs w:val="24"/>
          <w:rtl w:val="0"/>
        </w:rPr>
        <w:t xml:space="preserve">(Baltimore: Johns Hopkins University Press, 1986).</w:t>
      </w:r>
    </w:p>
    <w:p w:rsidR="00000000" w:rsidDel="00000000" w:rsidP="00000000" w:rsidRDefault="00000000" w:rsidRPr="00000000" w14:paraId="00000042">
      <w:pPr>
        <w:shd w:fill="ffffff" w:val="clear"/>
        <w:spacing w:before="240" w:line="360" w:lineRule="auto"/>
        <w:jc w:val="both"/>
        <w:rPr>
          <w:sz w:val="24"/>
          <w:szCs w:val="24"/>
        </w:rPr>
      </w:pPr>
      <w:r w:rsidDel="00000000" w:rsidR="00000000" w:rsidRPr="00000000">
        <w:rPr>
          <w:sz w:val="24"/>
          <w:szCs w:val="24"/>
          <w:rtl w:val="0"/>
        </w:rPr>
        <w:t xml:space="preserve">MBEMBE, A. </w:t>
      </w:r>
      <w:r w:rsidDel="00000000" w:rsidR="00000000" w:rsidRPr="00000000">
        <w:rPr>
          <w:b w:val="1"/>
          <w:sz w:val="24"/>
          <w:szCs w:val="24"/>
          <w:rtl w:val="0"/>
        </w:rPr>
        <w:t xml:space="preserve">Necropolítica</w:t>
      </w:r>
      <w:r w:rsidDel="00000000" w:rsidR="00000000" w:rsidRPr="00000000">
        <w:rPr>
          <w:sz w:val="24"/>
          <w:szCs w:val="24"/>
          <w:rtl w:val="0"/>
        </w:rPr>
        <w:t xml:space="preserve">: biopoder, estado de exceção, política da morte. Traduzido por Renata Santini. São Paulo: n-1 edições, 2018.</w:t>
      </w:r>
    </w:p>
    <w:p w:rsidR="00000000" w:rsidDel="00000000" w:rsidP="00000000" w:rsidRDefault="00000000" w:rsidRPr="00000000" w14:paraId="00000043">
      <w:pPr>
        <w:spacing w:line="360" w:lineRule="auto"/>
        <w:jc w:val="both"/>
        <w:rPr>
          <w:sz w:val="24"/>
          <w:szCs w:val="24"/>
        </w:rPr>
      </w:pPr>
      <w:r w:rsidDel="00000000" w:rsidR="00000000" w:rsidRPr="00000000">
        <w:rPr>
          <w:sz w:val="24"/>
          <w:szCs w:val="24"/>
          <w:rtl w:val="0"/>
        </w:rPr>
        <w:t xml:space="preserve">RANISCH, R; SORGNER, S. </w:t>
      </w:r>
      <w:r w:rsidDel="00000000" w:rsidR="00000000" w:rsidRPr="00000000">
        <w:rPr>
          <w:b w:val="1"/>
          <w:sz w:val="24"/>
          <w:szCs w:val="24"/>
          <w:rtl w:val="0"/>
        </w:rPr>
        <w:t xml:space="preserve">Post- and transhumanism</w:t>
      </w:r>
      <w:r w:rsidDel="00000000" w:rsidR="00000000" w:rsidRPr="00000000">
        <w:rPr>
          <w:sz w:val="24"/>
          <w:szCs w:val="24"/>
          <w:rtl w:val="0"/>
        </w:rPr>
        <w:t xml:space="preserve">: an introduction, 2014.</w:t>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VERGÈS, F. </w:t>
      </w:r>
      <w:r w:rsidDel="00000000" w:rsidR="00000000" w:rsidRPr="00000000">
        <w:rPr>
          <w:b w:val="1"/>
          <w:sz w:val="24"/>
          <w:szCs w:val="24"/>
          <w:rtl w:val="0"/>
        </w:rPr>
        <w:t xml:space="preserve">Um feminismo decolonial</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Trad. de Jamille Pinheiro Dias e Raquel Camargo. São Paulo: Editora Ubu, 2020.</w:t>
      </w:r>
    </w:p>
    <w:p w:rsidR="00000000" w:rsidDel="00000000" w:rsidP="00000000" w:rsidRDefault="00000000" w:rsidRPr="00000000" w14:paraId="00000045">
      <w:pPr>
        <w:spacing w:line="360" w:lineRule="auto"/>
        <w:jc w:val="both"/>
        <w:rPr>
          <w:sz w:val="24"/>
          <w:szCs w:val="24"/>
        </w:rPr>
      </w:pPr>
      <w:r w:rsidDel="00000000" w:rsidR="00000000" w:rsidRPr="00000000">
        <w:rPr>
          <w:sz w:val="24"/>
          <w:szCs w:val="24"/>
          <w:rtl w:val="0"/>
        </w:rPr>
        <w:t xml:space="preserve">WIENER, N. </w:t>
      </w:r>
      <w:r w:rsidDel="00000000" w:rsidR="00000000" w:rsidRPr="00000000">
        <w:rPr>
          <w:b w:val="1"/>
          <w:sz w:val="24"/>
          <w:szCs w:val="24"/>
          <w:rtl w:val="0"/>
        </w:rPr>
        <w:t xml:space="preserve">Cybernetics; or, Control and Communication in the Animal and the Machine</w:t>
      </w:r>
      <w:r w:rsidDel="00000000" w:rsidR="00000000" w:rsidRPr="00000000">
        <w:rPr>
          <w:sz w:val="24"/>
          <w:szCs w:val="24"/>
          <w:rtl w:val="0"/>
        </w:rPr>
        <w:t xml:space="preserve">. Cambridge: MIT Press, 1948.</w:t>
      </w: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4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Nesse sentido, Silvia Federici (2004) apresenta essa dualidade como a responsável pela origem do sistema patriarcal, pois as mulheres eram consideradas seres emocionais por serem ligadas à natureza (por conta da maternidade), assim como animais irracionais. Dessa forma elas eram vistas como indivíduos menos racionais e classificadas como primitivas.</w:t>
      </w:r>
    </w:p>
  </w:footnote>
  <w:footnote w:id="2">
    <w:p w:rsidR="00000000" w:rsidDel="00000000" w:rsidP="00000000" w:rsidRDefault="00000000" w:rsidRPr="00000000" w14:paraId="0000004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0"/>
          <w:szCs w:val="20"/>
          <w:rtl w:val="0"/>
        </w:rPr>
        <w:t xml:space="preserve">Portanto, é possível constatar que a construção do pensamento iluminista, influenciado por ideias ideais humanistas, têm um papel central na estruturação do sistema de hierarquia racial.</w:t>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footnote>
  <w:footnote w:id="3">
    <w:p w:rsidR="00000000" w:rsidDel="00000000" w:rsidP="00000000" w:rsidRDefault="00000000" w:rsidRPr="00000000" w14:paraId="0000004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hibridismo é considerado, por diversas escolas de pensamento e por muitos autores literários, uma das principais armas contra o colonialismo. Isso acontece pois, durante o período de globalização, houve uma ‘crise de identidade’ no aspecto intercultural, que consiste num declínio das identidades tradicionais e o surgimento de novas formas de identificação alinhadas a valores e cultura dos países desenvolvidos (Hall; Du gay, 1996).</w:t>
      </w:r>
    </w:p>
  </w:footnote>
  <w:footnote w:id="0">
    <w:p w:rsidR="00000000" w:rsidDel="00000000" w:rsidP="00000000" w:rsidRDefault="00000000" w:rsidRPr="00000000" w14:paraId="000000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em Desenvolvimento Econômico pela UNICAMP. E-mail: daniellearaujo.s@hotmail.com</w:t>
      </w:r>
    </w:p>
    <w:p w:rsidR="00000000" w:rsidDel="00000000" w:rsidP="00000000" w:rsidRDefault="00000000" w:rsidRPr="00000000" w14:paraId="0000004C">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cielo.br/j/ts/a/TGKDBPYy6cM7XkjLcktwdjb/#B33_re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ahNeQJc3csBzNo/tYeu43zgXyA==">CgMxLjA4AHIhMWFlc2hIaWM0NzFwbGNsbWliUVVDMk5lVjhHX1oxOHph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