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28190" w14:textId="77777777" w:rsidR="001B340A" w:rsidRPr="00D67F63" w:rsidRDefault="001B340A" w:rsidP="001B340A">
      <w:pPr>
        <w:jc w:val="center"/>
        <w:rPr>
          <w:sz w:val="24"/>
          <w:szCs w:val="24"/>
        </w:rPr>
      </w:pPr>
      <w:r w:rsidRPr="00D67F63">
        <w:rPr>
          <w:b/>
          <w:bCs/>
          <w:sz w:val="24"/>
          <w:szCs w:val="24"/>
        </w:rPr>
        <w:t>Estado, Movimentos Sociais e Políticas de Educação do Campo:</w:t>
      </w:r>
      <w:r w:rsidRPr="00D67F63">
        <w:rPr>
          <w:sz w:val="24"/>
          <w:szCs w:val="24"/>
        </w:rPr>
        <w:t xml:space="preserve"> projetos em disputas</w:t>
      </w:r>
    </w:p>
    <w:p w14:paraId="45014F93" w14:textId="77777777" w:rsidR="001B340A" w:rsidRDefault="001B340A" w:rsidP="001B340A">
      <w:pPr>
        <w:spacing w:line="240" w:lineRule="auto"/>
        <w:ind w:left="2835"/>
        <w:jc w:val="both"/>
        <w:rPr>
          <w:b/>
          <w:sz w:val="20"/>
          <w:szCs w:val="20"/>
        </w:rPr>
      </w:pPr>
    </w:p>
    <w:p w14:paraId="5E568135" w14:textId="77777777" w:rsidR="001B340A" w:rsidRDefault="001B340A" w:rsidP="001B340A">
      <w:pPr>
        <w:spacing w:line="240" w:lineRule="auto"/>
        <w:jc w:val="right"/>
        <w:rPr>
          <w:b/>
          <w:color w:val="000000"/>
          <w:sz w:val="20"/>
          <w:szCs w:val="20"/>
        </w:rPr>
      </w:pPr>
      <w:r w:rsidRPr="00BE7E6B">
        <w:rPr>
          <w:b/>
          <w:color w:val="000000"/>
          <w:sz w:val="20"/>
          <w:szCs w:val="20"/>
        </w:rPr>
        <w:t>Diana Costa Diniz</w:t>
      </w:r>
      <w:r w:rsidRPr="00BE7E6B">
        <w:rPr>
          <w:rStyle w:val="Refdenotaderodap"/>
          <w:b/>
          <w:color w:val="000000"/>
          <w:sz w:val="20"/>
          <w:szCs w:val="20"/>
        </w:rPr>
        <w:footnoteReference w:id="1"/>
      </w:r>
    </w:p>
    <w:p w14:paraId="37A7C10B" w14:textId="77777777" w:rsidR="001B340A" w:rsidRDefault="001B340A" w:rsidP="001B340A">
      <w:pPr>
        <w:spacing w:line="240" w:lineRule="auto"/>
        <w:jc w:val="right"/>
        <w:rPr>
          <w:b/>
          <w:color w:val="000000"/>
          <w:sz w:val="20"/>
          <w:szCs w:val="20"/>
        </w:rPr>
      </w:pPr>
      <w:r>
        <w:rPr>
          <w:b/>
          <w:color w:val="000000"/>
          <w:sz w:val="20"/>
          <w:szCs w:val="20"/>
        </w:rPr>
        <w:t>Marinalva Sousa Macedo</w:t>
      </w:r>
      <w:r>
        <w:rPr>
          <w:rStyle w:val="Refdenotaderodap"/>
          <w:b/>
          <w:color w:val="000000"/>
          <w:sz w:val="20"/>
          <w:szCs w:val="20"/>
        </w:rPr>
        <w:footnoteReference w:id="2"/>
      </w:r>
    </w:p>
    <w:p w14:paraId="39A5A753" w14:textId="77777777" w:rsidR="001B340A" w:rsidRPr="00BE7E6B" w:rsidRDefault="001B340A" w:rsidP="001B340A">
      <w:pPr>
        <w:spacing w:line="240" w:lineRule="auto"/>
        <w:jc w:val="right"/>
        <w:rPr>
          <w:b/>
          <w:color w:val="000000"/>
          <w:sz w:val="20"/>
          <w:szCs w:val="20"/>
        </w:rPr>
      </w:pPr>
      <w:r>
        <w:rPr>
          <w:b/>
          <w:color w:val="000000"/>
          <w:sz w:val="20"/>
          <w:szCs w:val="20"/>
        </w:rPr>
        <w:t>Pedro Henrique Gomes Xavier</w:t>
      </w:r>
      <w:r>
        <w:rPr>
          <w:rStyle w:val="Refdenotaderodap"/>
          <w:b/>
          <w:color w:val="000000"/>
          <w:sz w:val="20"/>
          <w:szCs w:val="20"/>
        </w:rPr>
        <w:footnoteReference w:id="3"/>
      </w:r>
    </w:p>
    <w:p w14:paraId="2310FD4F" w14:textId="77777777" w:rsidR="001B340A" w:rsidRDefault="001B340A" w:rsidP="001B340A">
      <w:pPr>
        <w:spacing w:line="240" w:lineRule="auto"/>
        <w:ind w:left="2835"/>
        <w:jc w:val="right"/>
        <w:rPr>
          <w:b/>
          <w:sz w:val="20"/>
          <w:szCs w:val="20"/>
        </w:rPr>
      </w:pPr>
      <w:r>
        <w:rPr>
          <w:b/>
          <w:sz w:val="20"/>
          <w:szCs w:val="20"/>
        </w:rPr>
        <w:t>Rita de Cássia Gomes Nascimento</w:t>
      </w:r>
      <w:r>
        <w:rPr>
          <w:rStyle w:val="Refdenotaderodap"/>
          <w:b/>
          <w:sz w:val="20"/>
          <w:szCs w:val="20"/>
        </w:rPr>
        <w:footnoteReference w:id="4"/>
      </w:r>
    </w:p>
    <w:p w14:paraId="5DD29797" w14:textId="77777777" w:rsidR="001B340A" w:rsidRDefault="001B340A" w:rsidP="001B340A">
      <w:pPr>
        <w:spacing w:line="240" w:lineRule="auto"/>
        <w:ind w:left="2835"/>
        <w:jc w:val="both"/>
        <w:rPr>
          <w:b/>
          <w:sz w:val="20"/>
          <w:szCs w:val="20"/>
        </w:rPr>
      </w:pPr>
    </w:p>
    <w:p w14:paraId="730E582A" w14:textId="77777777" w:rsidR="001B340A" w:rsidRPr="0047313C" w:rsidRDefault="001B340A" w:rsidP="001B340A">
      <w:pPr>
        <w:spacing w:line="240" w:lineRule="auto"/>
        <w:jc w:val="center"/>
        <w:rPr>
          <w:b/>
          <w:sz w:val="24"/>
          <w:szCs w:val="24"/>
        </w:rPr>
      </w:pPr>
      <w:r w:rsidRPr="0047313C">
        <w:rPr>
          <w:b/>
          <w:sz w:val="24"/>
          <w:szCs w:val="24"/>
        </w:rPr>
        <w:t>Resumo</w:t>
      </w:r>
    </w:p>
    <w:p w14:paraId="08593B12" w14:textId="77777777" w:rsidR="001B340A" w:rsidRPr="0047313C" w:rsidRDefault="001B340A" w:rsidP="001B340A">
      <w:pPr>
        <w:spacing w:line="240" w:lineRule="auto"/>
        <w:ind w:left="2835"/>
        <w:jc w:val="both"/>
        <w:rPr>
          <w:b/>
          <w:sz w:val="20"/>
          <w:szCs w:val="20"/>
        </w:rPr>
      </w:pPr>
      <w:bookmarkStart w:id="0" w:name="_Hlk202599354"/>
    </w:p>
    <w:bookmarkEnd w:id="0"/>
    <w:p w14:paraId="623BE619" w14:textId="77777777" w:rsidR="001B340A" w:rsidRPr="0047313C" w:rsidRDefault="001B340A" w:rsidP="0047313C">
      <w:pPr>
        <w:spacing w:line="240" w:lineRule="auto"/>
        <w:jc w:val="both"/>
        <w:rPr>
          <w:b/>
          <w:color w:val="000000"/>
          <w:sz w:val="24"/>
          <w:szCs w:val="24"/>
        </w:rPr>
      </w:pPr>
      <w:r w:rsidRPr="0047313C">
        <w:rPr>
          <w:color w:val="000000"/>
          <w:sz w:val="24"/>
          <w:szCs w:val="24"/>
        </w:rPr>
        <w:t xml:space="preserve">O presente trabalho analisa as disputas políticas e pedagógicas relativas à garantia do direito à Educação Básica e Superior do Campo, analisando as relações dialéticas entre movimentos sociais populares do campo e o Estado neoliberal brasileiro no contexto da mundialização do capital. O objetivo consiste em refletir criticamente sobre as políticas de formação de educadores para as escolas de Educação Básica do Campo, no contexto das políticas educacionais implementadas a partir da década de 1990 e o papel do Estado como percursor desta formação e responsável pela oferta da educação pública enquanto direito universal. Nessa trajetória, torna-se importante abordar as diversas interpretações sobre a formação humana em uma sociedade de classes nos contextos sócio-históricos, destacando-se as disputas entre os atores sociais na defesa de suas concepções e projetos de formação. A Educação do Campo foi construída como paradigma diferenciado por ser construída pelos e para os diferentes sujeitos, territórios, práticas sociais e identidades culturais que compõem a diversidade do campo brasileiro. A Educação Rural, se expressa através de um modelo educacional a serviço dos interesses da classe dominante ao descaracterizar os sujeitos de sua identidade camponesa, confunde-os e faz-lhes submissos por meio do sentimento de inferioridade. Para tanto, serão analisadas as Diretrizes Curriculares </w:t>
      </w:r>
      <w:r w:rsidRPr="0047313C">
        <w:rPr>
          <w:color w:val="000000"/>
          <w:sz w:val="24"/>
          <w:szCs w:val="24"/>
        </w:rPr>
        <w:lastRenderedPageBreak/>
        <w:t xml:space="preserve">de formação de professores e os Projetos Pedagógicos dos Cursos (PPCs) das licenciaturas, compreendendo o Estado em sua dimensão legislativa e normativa como instituição responsável por assegurar a dominação e exploração de classe. Tal dominação manifesta-se através do papel exercido nos campos político e ideológico, bem como em processos de legitimação do consentimento junto às demais instituições da sociedade. A defesa da formação qualificada dos profissionais da educação constitui-se em desafio dentro de um contexto no qual o Estado brasileiro, inserido numa correlação de forças hegemônica com e para o capital, atua como legitimador da concepção de educação como mercadoria, promovendo sua desresponsabilização quanto ao dever constitucional de garantir à população o acesso à educação pública de qualidade. Nesse processo de mercantilização educacional, as reformas neoliberais transformam o direito social em bem de consumo. Assim, a disputa na Educação do Campo não se restringe apenas no que diz respeito à educação, mas também, dentro de um projeto de Campo, assim, o avanço do agronegócio intensifica sua ofensiva sobre a educação interferindo diretamente nas propostas curriculares através de programas educacionais que disseminam a ideologia do capital agrário nas instituições de ensino da Educação Básica; além disso, tem estabelecido </w:t>
      </w:r>
      <w:r w:rsidRPr="0047313C">
        <w:rPr>
          <w:rFonts w:eastAsia="Times New Roman"/>
          <w:color w:val="000000"/>
          <w:sz w:val="24"/>
          <w:szCs w:val="24"/>
        </w:rPr>
        <w:t xml:space="preserve">estratégias de difusão ideológica por meio de materiais didáticos e formação docente disseminados por meio de aparelhos de hegemonias das frações agrárias; e, consequentemente, </w:t>
      </w:r>
      <w:r w:rsidRPr="0047313C">
        <w:rPr>
          <w:color w:val="000000"/>
          <w:sz w:val="24"/>
          <w:szCs w:val="24"/>
        </w:rPr>
        <w:t>contribuído para o fechamento de escolas do campo, processo que resulta na desterritorialização das comunidades camponesas e no êxodo rural. A estratégia reformista, portanto, não apenas legitima os supostos "defeitos e fracassos aparentes" do campo educacional como justificativa para a privatização, mas também se articula aos interesses do agronegócio na disputa pela hegemonia, impedindo a superação dos problemas estruturais existentes e aprofundando as desigualdades educacionais.</w:t>
      </w:r>
      <w:r w:rsidRPr="0047313C">
        <w:rPr>
          <w:b/>
          <w:color w:val="000000"/>
          <w:sz w:val="24"/>
          <w:szCs w:val="24"/>
        </w:rPr>
        <w:t xml:space="preserve"> </w:t>
      </w:r>
    </w:p>
    <w:p w14:paraId="2EF72EA4" w14:textId="77777777" w:rsidR="001B340A" w:rsidRPr="0047313C" w:rsidRDefault="001B340A" w:rsidP="001B340A">
      <w:pPr>
        <w:spacing w:line="240" w:lineRule="auto"/>
        <w:jc w:val="both"/>
        <w:rPr>
          <w:sz w:val="20"/>
          <w:szCs w:val="20"/>
        </w:rPr>
      </w:pPr>
    </w:p>
    <w:p w14:paraId="5BC51016" w14:textId="77777777" w:rsidR="001B340A" w:rsidRPr="0047313C" w:rsidRDefault="001B340A" w:rsidP="001B340A">
      <w:pPr>
        <w:spacing w:line="360" w:lineRule="auto"/>
        <w:jc w:val="both"/>
        <w:rPr>
          <w:sz w:val="24"/>
          <w:szCs w:val="24"/>
        </w:rPr>
      </w:pPr>
      <w:r w:rsidRPr="0047313C">
        <w:rPr>
          <w:b/>
          <w:sz w:val="24"/>
          <w:szCs w:val="24"/>
        </w:rPr>
        <w:t>Palavras-chave</w:t>
      </w:r>
      <w:r w:rsidRPr="0047313C">
        <w:rPr>
          <w:sz w:val="24"/>
          <w:szCs w:val="24"/>
        </w:rPr>
        <w:t xml:space="preserve">: Estado e Movimentos Sociais; Educação do Campo; Agronegócio e Educação. </w:t>
      </w:r>
    </w:p>
    <w:p w14:paraId="3206F2E9" w14:textId="77777777" w:rsidR="001B340A" w:rsidRPr="0047313C" w:rsidRDefault="001B340A" w:rsidP="001B340A">
      <w:pPr>
        <w:spacing w:line="360" w:lineRule="auto"/>
        <w:rPr>
          <w:b/>
          <w:sz w:val="24"/>
          <w:szCs w:val="24"/>
        </w:rPr>
      </w:pPr>
    </w:p>
    <w:p w14:paraId="4FA1A318" w14:textId="77777777" w:rsidR="001B340A" w:rsidRPr="0047313C" w:rsidRDefault="001B340A" w:rsidP="001B340A">
      <w:pPr>
        <w:spacing w:line="360" w:lineRule="auto"/>
        <w:rPr>
          <w:b/>
          <w:sz w:val="24"/>
          <w:szCs w:val="24"/>
        </w:rPr>
      </w:pPr>
    </w:p>
    <w:p w14:paraId="06FAB061" w14:textId="77777777" w:rsidR="001B340A" w:rsidRDefault="001B340A" w:rsidP="001B340A">
      <w:pPr>
        <w:spacing w:line="360" w:lineRule="auto"/>
        <w:rPr>
          <w:b/>
          <w:sz w:val="24"/>
          <w:szCs w:val="24"/>
        </w:rPr>
      </w:pPr>
    </w:p>
    <w:p w14:paraId="450FAF6A" w14:textId="77777777" w:rsidR="00612841" w:rsidRDefault="00612841" w:rsidP="001B340A">
      <w:pPr>
        <w:pStyle w:val="NormalWeb"/>
        <w:spacing w:before="0" w:beforeAutospacing="0" w:after="0" w:afterAutospacing="0"/>
        <w:rPr>
          <w:rFonts w:ascii="Arial" w:hAnsi="Arial" w:cs="Arial"/>
          <w:b/>
          <w:bCs/>
          <w:color w:val="000000"/>
        </w:rPr>
      </w:pPr>
    </w:p>
    <w:p w14:paraId="1799B3A3" w14:textId="77777777" w:rsidR="00612841" w:rsidRDefault="00612841" w:rsidP="001B340A">
      <w:pPr>
        <w:pStyle w:val="NormalWeb"/>
        <w:spacing w:before="0" w:beforeAutospacing="0" w:after="0" w:afterAutospacing="0"/>
        <w:rPr>
          <w:rFonts w:ascii="Arial" w:hAnsi="Arial" w:cs="Arial"/>
          <w:b/>
          <w:bCs/>
          <w:color w:val="000000"/>
        </w:rPr>
      </w:pPr>
    </w:p>
    <w:p w14:paraId="07722BE6" w14:textId="77777777" w:rsidR="00612841" w:rsidRDefault="00612841" w:rsidP="001B340A">
      <w:pPr>
        <w:pStyle w:val="NormalWeb"/>
        <w:spacing w:before="0" w:beforeAutospacing="0" w:after="0" w:afterAutospacing="0"/>
        <w:rPr>
          <w:rFonts w:ascii="Arial" w:hAnsi="Arial" w:cs="Arial"/>
          <w:b/>
          <w:bCs/>
          <w:color w:val="000000"/>
        </w:rPr>
      </w:pPr>
    </w:p>
    <w:p w14:paraId="35458BF0" w14:textId="77777777" w:rsidR="00612841" w:rsidRDefault="00612841" w:rsidP="001B340A">
      <w:pPr>
        <w:pStyle w:val="NormalWeb"/>
        <w:spacing w:before="0" w:beforeAutospacing="0" w:after="0" w:afterAutospacing="0"/>
        <w:rPr>
          <w:rFonts w:ascii="Arial" w:hAnsi="Arial" w:cs="Arial"/>
          <w:b/>
          <w:bCs/>
          <w:color w:val="000000"/>
        </w:rPr>
      </w:pPr>
    </w:p>
    <w:p w14:paraId="1A39F787" w14:textId="77777777" w:rsidR="00612841" w:rsidRDefault="00612841" w:rsidP="001B340A">
      <w:pPr>
        <w:pStyle w:val="NormalWeb"/>
        <w:spacing w:before="0" w:beforeAutospacing="0" w:after="0" w:afterAutospacing="0"/>
        <w:rPr>
          <w:rFonts w:ascii="Arial" w:hAnsi="Arial" w:cs="Arial"/>
          <w:b/>
          <w:bCs/>
          <w:color w:val="000000"/>
        </w:rPr>
      </w:pPr>
    </w:p>
    <w:p w14:paraId="0970B524" w14:textId="77777777" w:rsidR="00612841" w:rsidRDefault="00612841" w:rsidP="001B340A">
      <w:pPr>
        <w:pStyle w:val="NormalWeb"/>
        <w:spacing w:before="0" w:beforeAutospacing="0" w:after="0" w:afterAutospacing="0"/>
        <w:rPr>
          <w:rFonts w:ascii="Arial" w:hAnsi="Arial" w:cs="Arial"/>
          <w:b/>
          <w:bCs/>
          <w:color w:val="000000"/>
        </w:rPr>
      </w:pPr>
    </w:p>
    <w:p w14:paraId="4BC85E39" w14:textId="77777777" w:rsidR="00612841" w:rsidRDefault="00612841" w:rsidP="001B340A">
      <w:pPr>
        <w:pStyle w:val="NormalWeb"/>
        <w:spacing w:before="0" w:beforeAutospacing="0" w:after="0" w:afterAutospacing="0"/>
        <w:rPr>
          <w:rFonts w:ascii="Arial" w:hAnsi="Arial" w:cs="Arial"/>
          <w:b/>
          <w:bCs/>
          <w:color w:val="000000"/>
        </w:rPr>
      </w:pPr>
    </w:p>
    <w:p w14:paraId="2C8E4485" w14:textId="77777777" w:rsidR="00612841" w:rsidRDefault="00612841" w:rsidP="001B340A">
      <w:pPr>
        <w:pStyle w:val="NormalWeb"/>
        <w:spacing w:before="0" w:beforeAutospacing="0" w:after="0" w:afterAutospacing="0"/>
        <w:rPr>
          <w:rFonts w:ascii="Arial" w:hAnsi="Arial" w:cs="Arial"/>
          <w:b/>
          <w:bCs/>
          <w:color w:val="000000"/>
        </w:rPr>
      </w:pPr>
    </w:p>
    <w:p w14:paraId="0F430DDE" w14:textId="77777777" w:rsidR="00612841" w:rsidRDefault="00612841" w:rsidP="001B340A">
      <w:pPr>
        <w:pStyle w:val="NormalWeb"/>
        <w:spacing w:before="0" w:beforeAutospacing="0" w:after="0" w:afterAutospacing="0"/>
        <w:rPr>
          <w:rFonts w:ascii="Arial" w:hAnsi="Arial" w:cs="Arial"/>
          <w:b/>
          <w:bCs/>
          <w:color w:val="000000"/>
        </w:rPr>
      </w:pPr>
    </w:p>
    <w:p w14:paraId="38F9248F" w14:textId="40CBD877" w:rsidR="00612841" w:rsidRDefault="00612841" w:rsidP="00612841">
      <w:pPr>
        <w:jc w:val="center"/>
        <w:rPr>
          <w:sz w:val="24"/>
          <w:szCs w:val="24"/>
        </w:rPr>
      </w:pPr>
      <w:r w:rsidRPr="0047313C">
        <w:rPr>
          <w:b/>
          <w:sz w:val="24"/>
          <w:szCs w:val="24"/>
        </w:rPr>
        <w:lastRenderedPageBreak/>
        <w:t>ESTADO, LUTA DE CLASSES E POLITICAS PÚBLICAS-</w:t>
      </w:r>
      <w:r w:rsidRPr="0047313C">
        <w:rPr>
          <w:sz w:val="24"/>
          <w:szCs w:val="24"/>
        </w:rPr>
        <w:t xml:space="preserve"> contribuições ao debate atual sobre as políticas de Educação do Campo</w:t>
      </w:r>
    </w:p>
    <w:p w14:paraId="673C1B74" w14:textId="77777777" w:rsidR="0073467F" w:rsidRDefault="0073467F" w:rsidP="00612841">
      <w:pPr>
        <w:jc w:val="center"/>
        <w:rPr>
          <w:sz w:val="24"/>
          <w:szCs w:val="24"/>
        </w:rPr>
      </w:pPr>
    </w:p>
    <w:p w14:paraId="348880B2" w14:textId="77777777" w:rsidR="0073467F" w:rsidRDefault="0073467F" w:rsidP="0073467F">
      <w:pPr>
        <w:spacing w:line="240" w:lineRule="auto"/>
        <w:jc w:val="right"/>
        <w:rPr>
          <w:b/>
          <w:color w:val="000000"/>
          <w:sz w:val="20"/>
          <w:szCs w:val="20"/>
        </w:rPr>
      </w:pPr>
      <w:r>
        <w:rPr>
          <w:b/>
          <w:color w:val="000000"/>
          <w:sz w:val="20"/>
          <w:szCs w:val="20"/>
        </w:rPr>
        <w:t>Marinalva Sousa Macedo</w:t>
      </w:r>
      <w:r>
        <w:rPr>
          <w:rStyle w:val="Refdenotaderodap"/>
          <w:b/>
          <w:color w:val="000000"/>
          <w:sz w:val="20"/>
          <w:szCs w:val="20"/>
        </w:rPr>
        <w:footnoteReference w:id="5"/>
      </w:r>
    </w:p>
    <w:p w14:paraId="0BA78848" w14:textId="66609FF5" w:rsidR="0073467F" w:rsidRDefault="0073467F" w:rsidP="00612841">
      <w:pPr>
        <w:jc w:val="center"/>
        <w:rPr>
          <w:sz w:val="24"/>
          <w:szCs w:val="24"/>
        </w:rPr>
      </w:pPr>
    </w:p>
    <w:p w14:paraId="23E57364" w14:textId="77777777" w:rsidR="0073467F" w:rsidRDefault="0073467F" w:rsidP="00612841">
      <w:pPr>
        <w:jc w:val="center"/>
        <w:rPr>
          <w:sz w:val="24"/>
          <w:szCs w:val="24"/>
        </w:rPr>
      </w:pPr>
    </w:p>
    <w:p w14:paraId="585CCDD9" w14:textId="77777777" w:rsidR="0073467F" w:rsidRPr="00397096" w:rsidRDefault="0073467F" w:rsidP="0073467F">
      <w:pPr>
        <w:ind w:left="3402"/>
        <w:rPr>
          <w:b/>
          <w:sz w:val="20"/>
          <w:szCs w:val="20"/>
        </w:rPr>
      </w:pPr>
      <w:r w:rsidRPr="00397096">
        <w:rPr>
          <w:b/>
          <w:sz w:val="20"/>
          <w:szCs w:val="20"/>
        </w:rPr>
        <w:t>Resumo</w:t>
      </w:r>
    </w:p>
    <w:p w14:paraId="7B51DB30" w14:textId="619D78EB" w:rsidR="0073467F" w:rsidRPr="00137ADC" w:rsidRDefault="0073467F" w:rsidP="0073467F">
      <w:pPr>
        <w:pStyle w:val="Cabealho"/>
        <w:ind w:left="3402"/>
        <w:jc w:val="both"/>
        <w:rPr>
          <w:sz w:val="20"/>
          <w:szCs w:val="20"/>
        </w:rPr>
      </w:pPr>
      <w:r w:rsidRPr="00137ADC">
        <w:rPr>
          <w:sz w:val="20"/>
          <w:szCs w:val="20"/>
        </w:rPr>
        <w:t xml:space="preserve">O artigo aborda as políticas educacionais para a população camponesa, enquanto ação do Estado, </w:t>
      </w:r>
      <w:r w:rsidRPr="00137ADC">
        <w:rPr>
          <w:color w:val="000000"/>
          <w:sz w:val="20"/>
          <w:szCs w:val="20"/>
        </w:rPr>
        <w:t>na relação com os dois projetos antagônicos de educação, evidenciando as tensões e contradições desse movimento histórico no embate no e com Estado entendido como expressão da correlação de forças existentes na sociedade de classe, pois,</w:t>
      </w:r>
      <w:r w:rsidRPr="00137ADC">
        <w:rPr>
          <w:sz w:val="20"/>
          <w:szCs w:val="20"/>
        </w:rPr>
        <w:t xml:space="preserve"> o Estado age por meio das políticas que adota com base no movimento da luta de classes . Ressalta-se que a luta por políticas públicas para o campo tem como marco histórico a realização do I Encontro Nacional de Educadoras e Educadoras da Reforma Agrária - I ENERA, reafirmado nas I e II Conferências Nacionais Por uma Educação do Campo. Destacando que os movimentos sociais que lutam por políticas públicas para a população camponesa têm sido capazes de fazer avançar, em diferentes frentes de atuação, incluindo as conquistas no âmbito das políticas educacionais, como por exemplo, a </w:t>
      </w:r>
      <w:proofErr w:type="spellStart"/>
      <w:r w:rsidRPr="00137ADC">
        <w:rPr>
          <w:sz w:val="20"/>
          <w:szCs w:val="20"/>
        </w:rPr>
        <w:t>Politica</w:t>
      </w:r>
      <w:proofErr w:type="spellEnd"/>
      <w:r w:rsidRPr="00137ADC">
        <w:rPr>
          <w:sz w:val="20"/>
          <w:szCs w:val="20"/>
        </w:rPr>
        <w:t xml:space="preserve"> Nacional de Educação na Reforma Agrária-PRONERA e as Licenciaturas em Educação do Campo.</w:t>
      </w:r>
    </w:p>
    <w:p w14:paraId="0E52CD15" w14:textId="77777777" w:rsidR="0073467F" w:rsidRPr="00137ADC" w:rsidRDefault="0073467F" w:rsidP="0073467F">
      <w:pPr>
        <w:pStyle w:val="Cabealho"/>
        <w:ind w:left="3402"/>
        <w:jc w:val="both"/>
        <w:rPr>
          <w:sz w:val="20"/>
          <w:szCs w:val="20"/>
        </w:rPr>
      </w:pPr>
    </w:p>
    <w:p w14:paraId="19924FDC" w14:textId="0EA23365" w:rsidR="0073467F" w:rsidRPr="00137ADC" w:rsidRDefault="0073467F" w:rsidP="0073467F">
      <w:pPr>
        <w:pStyle w:val="Cabealho"/>
        <w:ind w:left="3402"/>
        <w:jc w:val="both"/>
        <w:rPr>
          <w:sz w:val="20"/>
          <w:szCs w:val="20"/>
        </w:rPr>
      </w:pPr>
      <w:r w:rsidRPr="00137ADC">
        <w:rPr>
          <w:b/>
          <w:sz w:val="20"/>
          <w:szCs w:val="20"/>
        </w:rPr>
        <w:t xml:space="preserve">Palavra- Chaves: </w:t>
      </w:r>
      <w:r w:rsidRPr="00137ADC">
        <w:rPr>
          <w:sz w:val="20"/>
          <w:szCs w:val="20"/>
        </w:rPr>
        <w:t>Estado; Luta de Cl</w:t>
      </w:r>
      <w:r>
        <w:rPr>
          <w:sz w:val="20"/>
          <w:szCs w:val="20"/>
        </w:rPr>
        <w:t>asses; Políticas Públicas</w:t>
      </w:r>
    </w:p>
    <w:p w14:paraId="1D0E6B5D" w14:textId="77777777" w:rsidR="0073467F" w:rsidRPr="00137ADC" w:rsidRDefault="0073467F" w:rsidP="0073467F">
      <w:pPr>
        <w:pStyle w:val="Cabealho"/>
        <w:ind w:left="3402"/>
        <w:jc w:val="both"/>
        <w:rPr>
          <w:sz w:val="20"/>
          <w:szCs w:val="20"/>
        </w:rPr>
      </w:pPr>
    </w:p>
    <w:p w14:paraId="4D398A5A" w14:textId="77777777" w:rsidR="0073467F" w:rsidRPr="005E3576" w:rsidRDefault="0073467F" w:rsidP="0073467F">
      <w:pPr>
        <w:spacing w:line="240" w:lineRule="auto"/>
        <w:ind w:left="2835"/>
        <w:jc w:val="both"/>
        <w:rPr>
          <w:b/>
          <w:sz w:val="20"/>
          <w:szCs w:val="20"/>
          <w:lang w:val="en-US"/>
        </w:rPr>
      </w:pPr>
      <w:r>
        <w:rPr>
          <w:b/>
          <w:sz w:val="20"/>
          <w:szCs w:val="20"/>
          <w:lang w:val="en-US"/>
        </w:rPr>
        <w:t xml:space="preserve">         </w:t>
      </w:r>
      <w:r w:rsidRPr="005E3576">
        <w:rPr>
          <w:b/>
          <w:sz w:val="20"/>
          <w:szCs w:val="20"/>
          <w:lang w:val="en-US"/>
        </w:rPr>
        <w:t>Abstract</w:t>
      </w:r>
    </w:p>
    <w:p w14:paraId="337D880C" w14:textId="77777777" w:rsidR="0073467F" w:rsidRPr="00137ADC" w:rsidRDefault="0073467F" w:rsidP="0073467F">
      <w:pPr>
        <w:pStyle w:val="Cabealho"/>
        <w:ind w:left="3402"/>
        <w:jc w:val="both"/>
        <w:rPr>
          <w:sz w:val="20"/>
          <w:szCs w:val="20"/>
        </w:rPr>
      </w:pPr>
      <w:proofErr w:type="spellStart"/>
      <w:r w:rsidRPr="00137ADC">
        <w:rPr>
          <w:sz w:val="20"/>
          <w:szCs w:val="20"/>
        </w:rPr>
        <w:t>This</w:t>
      </w:r>
      <w:proofErr w:type="spellEnd"/>
      <w:r w:rsidRPr="00137ADC">
        <w:rPr>
          <w:sz w:val="20"/>
          <w:szCs w:val="20"/>
        </w:rPr>
        <w:t xml:space="preserve"> </w:t>
      </w:r>
      <w:proofErr w:type="spellStart"/>
      <w:r w:rsidRPr="00137ADC">
        <w:rPr>
          <w:sz w:val="20"/>
          <w:szCs w:val="20"/>
        </w:rPr>
        <w:t>article</w:t>
      </w:r>
      <w:proofErr w:type="spellEnd"/>
      <w:r w:rsidRPr="00137ADC">
        <w:rPr>
          <w:sz w:val="20"/>
          <w:szCs w:val="20"/>
        </w:rPr>
        <w:t xml:space="preserve"> </w:t>
      </w:r>
      <w:proofErr w:type="spellStart"/>
      <w:r w:rsidRPr="00137ADC">
        <w:rPr>
          <w:sz w:val="20"/>
          <w:szCs w:val="20"/>
        </w:rPr>
        <w:t>addresses</w:t>
      </w:r>
      <w:proofErr w:type="spellEnd"/>
      <w:r w:rsidRPr="00137ADC">
        <w:rPr>
          <w:sz w:val="20"/>
          <w:szCs w:val="20"/>
        </w:rPr>
        <w:t xml:space="preserve"> </w:t>
      </w:r>
      <w:proofErr w:type="spellStart"/>
      <w:r w:rsidRPr="00137ADC">
        <w:rPr>
          <w:sz w:val="20"/>
          <w:szCs w:val="20"/>
        </w:rPr>
        <w:t>educational</w:t>
      </w:r>
      <w:proofErr w:type="spellEnd"/>
      <w:r w:rsidRPr="00137ADC">
        <w:rPr>
          <w:sz w:val="20"/>
          <w:szCs w:val="20"/>
        </w:rPr>
        <w:t xml:space="preserve"> policies for </w:t>
      </w:r>
      <w:proofErr w:type="spellStart"/>
      <w:r w:rsidRPr="00137ADC">
        <w:rPr>
          <w:sz w:val="20"/>
          <w:szCs w:val="20"/>
        </w:rPr>
        <w:t>the</w:t>
      </w:r>
      <w:proofErr w:type="spellEnd"/>
      <w:r w:rsidRPr="00137ADC">
        <w:rPr>
          <w:sz w:val="20"/>
          <w:szCs w:val="20"/>
        </w:rPr>
        <w:t xml:space="preserve"> rural </w:t>
      </w:r>
      <w:proofErr w:type="spellStart"/>
      <w:r w:rsidRPr="00137ADC">
        <w:rPr>
          <w:sz w:val="20"/>
          <w:szCs w:val="20"/>
        </w:rPr>
        <w:t>population</w:t>
      </w:r>
      <w:proofErr w:type="spellEnd"/>
      <w:r w:rsidRPr="00137ADC">
        <w:rPr>
          <w:sz w:val="20"/>
          <w:szCs w:val="20"/>
        </w:rPr>
        <w:t xml:space="preserve"> as a </w:t>
      </w:r>
      <w:proofErr w:type="spellStart"/>
      <w:r w:rsidRPr="00137ADC">
        <w:rPr>
          <w:sz w:val="20"/>
          <w:szCs w:val="20"/>
        </w:rPr>
        <w:t>State</w:t>
      </w:r>
      <w:proofErr w:type="spellEnd"/>
      <w:r w:rsidRPr="00137ADC">
        <w:rPr>
          <w:sz w:val="20"/>
          <w:szCs w:val="20"/>
        </w:rPr>
        <w:t xml:space="preserve"> </w:t>
      </w:r>
      <w:proofErr w:type="spellStart"/>
      <w:r w:rsidRPr="00137ADC">
        <w:rPr>
          <w:sz w:val="20"/>
          <w:szCs w:val="20"/>
        </w:rPr>
        <w:t>action</w:t>
      </w:r>
      <w:proofErr w:type="spellEnd"/>
      <w:r w:rsidRPr="00137ADC">
        <w:rPr>
          <w:sz w:val="20"/>
          <w:szCs w:val="20"/>
        </w:rPr>
        <w:t xml:space="preserve"> in </w:t>
      </w:r>
      <w:proofErr w:type="spellStart"/>
      <w:r w:rsidRPr="00137ADC">
        <w:rPr>
          <w:sz w:val="20"/>
          <w:szCs w:val="20"/>
        </w:rPr>
        <w:t>relation</w:t>
      </w:r>
      <w:proofErr w:type="spellEnd"/>
      <w:r w:rsidRPr="00137ADC">
        <w:rPr>
          <w:sz w:val="20"/>
          <w:szCs w:val="20"/>
        </w:rPr>
        <w:t xml:space="preserve"> </w:t>
      </w:r>
      <w:proofErr w:type="spellStart"/>
      <w:r w:rsidRPr="00137ADC">
        <w:rPr>
          <w:sz w:val="20"/>
          <w:szCs w:val="20"/>
        </w:rPr>
        <w:t>to</w:t>
      </w:r>
      <w:proofErr w:type="spellEnd"/>
      <w:r w:rsidRPr="00137ADC">
        <w:rPr>
          <w:sz w:val="20"/>
          <w:szCs w:val="20"/>
        </w:rPr>
        <w:t xml:space="preserve"> </w:t>
      </w:r>
      <w:proofErr w:type="spellStart"/>
      <w:r w:rsidRPr="00137ADC">
        <w:rPr>
          <w:sz w:val="20"/>
          <w:szCs w:val="20"/>
        </w:rPr>
        <w:t>two</w:t>
      </w:r>
      <w:proofErr w:type="spellEnd"/>
      <w:r w:rsidRPr="00137ADC">
        <w:rPr>
          <w:sz w:val="20"/>
          <w:szCs w:val="20"/>
        </w:rPr>
        <w:t xml:space="preserve"> </w:t>
      </w:r>
      <w:proofErr w:type="spellStart"/>
      <w:r w:rsidRPr="00137ADC">
        <w:rPr>
          <w:sz w:val="20"/>
          <w:szCs w:val="20"/>
        </w:rPr>
        <w:t>antagonistic</w:t>
      </w:r>
      <w:proofErr w:type="spellEnd"/>
      <w:r w:rsidRPr="00137ADC">
        <w:rPr>
          <w:sz w:val="20"/>
          <w:szCs w:val="20"/>
        </w:rPr>
        <w:t xml:space="preserve"> </w:t>
      </w:r>
      <w:proofErr w:type="spellStart"/>
      <w:r w:rsidRPr="00137ADC">
        <w:rPr>
          <w:sz w:val="20"/>
          <w:szCs w:val="20"/>
        </w:rPr>
        <w:t>educational</w:t>
      </w:r>
      <w:proofErr w:type="spellEnd"/>
      <w:r w:rsidRPr="00137ADC">
        <w:rPr>
          <w:sz w:val="20"/>
          <w:szCs w:val="20"/>
        </w:rPr>
        <w:t xml:space="preserve"> </w:t>
      </w:r>
      <w:proofErr w:type="spellStart"/>
      <w:r w:rsidRPr="00137ADC">
        <w:rPr>
          <w:sz w:val="20"/>
          <w:szCs w:val="20"/>
        </w:rPr>
        <w:t>projects</w:t>
      </w:r>
      <w:proofErr w:type="spellEnd"/>
      <w:r w:rsidRPr="00137ADC">
        <w:rPr>
          <w:sz w:val="20"/>
          <w:szCs w:val="20"/>
        </w:rPr>
        <w:t xml:space="preserve">. It </w:t>
      </w:r>
      <w:proofErr w:type="spellStart"/>
      <w:r w:rsidRPr="00137ADC">
        <w:rPr>
          <w:sz w:val="20"/>
          <w:szCs w:val="20"/>
        </w:rPr>
        <w:t>highlights</w:t>
      </w:r>
      <w:proofErr w:type="spellEnd"/>
      <w:r w:rsidRPr="00137ADC">
        <w:rPr>
          <w:sz w:val="20"/>
          <w:szCs w:val="20"/>
        </w:rPr>
        <w:t xml:space="preserve"> </w:t>
      </w:r>
      <w:proofErr w:type="spellStart"/>
      <w:r w:rsidRPr="00137ADC">
        <w:rPr>
          <w:sz w:val="20"/>
          <w:szCs w:val="20"/>
        </w:rPr>
        <w:t>the</w:t>
      </w:r>
      <w:proofErr w:type="spellEnd"/>
      <w:r w:rsidRPr="00137ADC">
        <w:rPr>
          <w:sz w:val="20"/>
          <w:szCs w:val="20"/>
        </w:rPr>
        <w:t xml:space="preserve"> </w:t>
      </w:r>
      <w:proofErr w:type="spellStart"/>
      <w:r w:rsidRPr="00137ADC">
        <w:rPr>
          <w:sz w:val="20"/>
          <w:szCs w:val="20"/>
        </w:rPr>
        <w:t>tensions</w:t>
      </w:r>
      <w:proofErr w:type="spellEnd"/>
      <w:r w:rsidRPr="00137ADC">
        <w:rPr>
          <w:sz w:val="20"/>
          <w:szCs w:val="20"/>
        </w:rPr>
        <w:t xml:space="preserve"> </w:t>
      </w:r>
      <w:proofErr w:type="spellStart"/>
      <w:r w:rsidRPr="00137ADC">
        <w:rPr>
          <w:sz w:val="20"/>
          <w:szCs w:val="20"/>
        </w:rPr>
        <w:t>and</w:t>
      </w:r>
      <w:proofErr w:type="spellEnd"/>
      <w:r w:rsidRPr="00137ADC">
        <w:rPr>
          <w:sz w:val="20"/>
          <w:szCs w:val="20"/>
        </w:rPr>
        <w:t xml:space="preserve"> </w:t>
      </w:r>
      <w:proofErr w:type="spellStart"/>
      <w:r w:rsidRPr="00137ADC">
        <w:rPr>
          <w:sz w:val="20"/>
          <w:szCs w:val="20"/>
        </w:rPr>
        <w:t>contradictions</w:t>
      </w:r>
      <w:proofErr w:type="spellEnd"/>
      <w:r w:rsidRPr="00137ADC">
        <w:rPr>
          <w:sz w:val="20"/>
          <w:szCs w:val="20"/>
        </w:rPr>
        <w:t xml:space="preserve"> </w:t>
      </w:r>
      <w:proofErr w:type="spellStart"/>
      <w:r w:rsidRPr="00137ADC">
        <w:rPr>
          <w:sz w:val="20"/>
          <w:szCs w:val="20"/>
        </w:rPr>
        <w:t>of</w:t>
      </w:r>
      <w:proofErr w:type="spellEnd"/>
      <w:r w:rsidRPr="00137ADC">
        <w:rPr>
          <w:sz w:val="20"/>
          <w:szCs w:val="20"/>
        </w:rPr>
        <w:t xml:space="preserve"> </w:t>
      </w:r>
      <w:proofErr w:type="spellStart"/>
      <w:r w:rsidRPr="00137ADC">
        <w:rPr>
          <w:sz w:val="20"/>
          <w:szCs w:val="20"/>
        </w:rPr>
        <w:t>this</w:t>
      </w:r>
      <w:proofErr w:type="spellEnd"/>
      <w:r w:rsidRPr="00137ADC">
        <w:rPr>
          <w:sz w:val="20"/>
          <w:szCs w:val="20"/>
        </w:rPr>
        <w:t xml:space="preserve"> </w:t>
      </w:r>
      <w:proofErr w:type="spellStart"/>
      <w:r w:rsidRPr="00137ADC">
        <w:rPr>
          <w:sz w:val="20"/>
          <w:szCs w:val="20"/>
        </w:rPr>
        <w:t>historical</w:t>
      </w:r>
      <w:proofErr w:type="spellEnd"/>
      <w:r w:rsidRPr="00137ADC">
        <w:rPr>
          <w:sz w:val="20"/>
          <w:szCs w:val="20"/>
        </w:rPr>
        <w:t xml:space="preserve"> </w:t>
      </w:r>
      <w:proofErr w:type="spellStart"/>
      <w:r w:rsidRPr="00137ADC">
        <w:rPr>
          <w:sz w:val="20"/>
          <w:szCs w:val="20"/>
        </w:rPr>
        <w:t>movement</w:t>
      </w:r>
      <w:proofErr w:type="spellEnd"/>
      <w:r w:rsidRPr="00137ADC">
        <w:rPr>
          <w:sz w:val="20"/>
          <w:szCs w:val="20"/>
        </w:rPr>
        <w:t xml:space="preserve"> in </w:t>
      </w:r>
      <w:proofErr w:type="spellStart"/>
      <w:r w:rsidRPr="00137ADC">
        <w:rPr>
          <w:sz w:val="20"/>
          <w:szCs w:val="20"/>
        </w:rPr>
        <w:t>the</w:t>
      </w:r>
      <w:proofErr w:type="spellEnd"/>
      <w:r w:rsidRPr="00137ADC">
        <w:rPr>
          <w:sz w:val="20"/>
          <w:szCs w:val="20"/>
        </w:rPr>
        <w:t xml:space="preserve"> </w:t>
      </w:r>
      <w:proofErr w:type="spellStart"/>
      <w:r w:rsidRPr="00137ADC">
        <w:rPr>
          <w:sz w:val="20"/>
          <w:szCs w:val="20"/>
        </w:rPr>
        <w:t>clash</w:t>
      </w:r>
      <w:proofErr w:type="spellEnd"/>
      <w:r w:rsidRPr="00137ADC">
        <w:rPr>
          <w:sz w:val="20"/>
          <w:szCs w:val="20"/>
        </w:rPr>
        <w:t xml:space="preserve"> </w:t>
      </w:r>
      <w:proofErr w:type="spellStart"/>
      <w:r w:rsidRPr="00137ADC">
        <w:rPr>
          <w:sz w:val="20"/>
          <w:szCs w:val="20"/>
        </w:rPr>
        <w:t>within</w:t>
      </w:r>
      <w:proofErr w:type="spellEnd"/>
      <w:r w:rsidRPr="00137ADC">
        <w:rPr>
          <w:sz w:val="20"/>
          <w:szCs w:val="20"/>
        </w:rPr>
        <w:t xml:space="preserve"> </w:t>
      </w:r>
      <w:proofErr w:type="spellStart"/>
      <w:r w:rsidRPr="00137ADC">
        <w:rPr>
          <w:sz w:val="20"/>
          <w:szCs w:val="20"/>
        </w:rPr>
        <w:t>and</w:t>
      </w:r>
      <w:proofErr w:type="spellEnd"/>
      <w:r w:rsidRPr="00137ADC">
        <w:rPr>
          <w:sz w:val="20"/>
          <w:szCs w:val="20"/>
        </w:rPr>
        <w:t xml:space="preserve"> </w:t>
      </w:r>
      <w:proofErr w:type="spellStart"/>
      <w:r w:rsidRPr="00137ADC">
        <w:rPr>
          <w:sz w:val="20"/>
          <w:szCs w:val="20"/>
        </w:rPr>
        <w:t>with</w:t>
      </w:r>
      <w:proofErr w:type="spellEnd"/>
      <w:r w:rsidRPr="00137ADC">
        <w:rPr>
          <w:sz w:val="20"/>
          <w:szCs w:val="20"/>
        </w:rPr>
        <w:t xml:space="preserve"> </w:t>
      </w:r>
      <w:proofErr w:type="spellStart"/>
      <w:r w:rsidRPr="00137ADC">
        <w:rPr>
          <w:sz w:val="20"/>
          <w:szCs w:val="20"/>
        </w:rPr>
        <w:t>the</w:t>
      </w:r>
      <w:proofErr w:type="spellEnd"/>
      <w:r w:rsidRPr="00137ADC">
        <w:rPr>
          <w:sz w:val="20"/>
          <w:szCs w:val="20"/>
        </w:rPr>
        <w:t xml:space="preserve"> </w:t>
      </w:r>
      <w:proofErr w:type="spellStart"/>
      <w:r w:rsidRPr="00137ADC">
        <w:rPr>
          <w:sz w:val="20"/>
          <w:szCs w:val="20"/>
        </w:rPr>
        <w:t>State</w:t>
      </w:r>
      <w:proofErr w:type="spellEnd"/>
      <w:r w:rsidRPr="00137ADC">
        <w:rPr>
          <w:sz w:val="20"/>
          <w:szCs w:val="20"/>
        </w:rPr>
        <w:t xml:space="preserve">, </w:t>
      </w:r>
      <w:proofErr w:type="spellStart"/>
      <w:r w:rsidRPr="00137ADC">
        <w:rPr>
          <w:sz w:val="20"/>
          <w:szCs w:val="20"/>
        </w:rPr>
        <w:t>understood</w:t>
      </w:r>
      <w:proofErr w:type="spellEnd"/>
      <w:r w:rsidRPr="00137ADC">
        <w:rPr>
          <w:sz w:val="20"/>
          <w:szCs w:val="20"/>
        </w:rPr>
        <w:t xml:space="preserve"> as </w:t>
      </w:r>
      <w:proofErr w:type="spellStart"/>
      <w:r w:rsidRPr="00137ADC">
        <w:rPr>
          <w:sz w:val="20"/>
          <w:szCs w:val="20"/>
        </w:rPr>
        <w:t>an</w:t>
      </w:r>
      <w:proofErr w:type="spellEnd"/>
      <w:r w:rsidRPr="00137ADC">
        <w:rPr>
          <w:sz w:val="20"/>
          <w:szCs w:val="20"/>
        </w:rPr>
        <w:t xml:space="preserve"> </w:t>
      </w:r>
      <w:proofErr w:type="spellStart"/>
      <w:r w:rsidRPr="00137ADC">
        <w:rPr>
          <w:sz w:val="20"/>
          <w:szCs w:val="20"/>
        </w:rPr>
        <w:t>expression</w:t>
      </w:r>
      <w:proofErr w:type="spellEnd"/>
      <w:r w:rsidRPr="00137ADC">
        <w:rPr>
          <w:sz w:val="20"/>
          <w:szCs w:val="20"/>
        </w:rPr>
        <w:t xml:space="preserve"> </w:t>
      </w:r>
      <w:proofErr w:type="spellStart"/>
      <w:r w:rsidRPr="00137ADC">
        <w:rPr>
          <w:sz w:val="20"/>
          <w:szCs w:val="20"/>
        </w:rPr>
        <w:t>of</w:t>
      </w:r>
      <w:proofErr w:type="spellEnd"/>
      <w:r w:rsidRPr="00137ADC">
        <w:rPr>
          <w:sz w:val="20"/>
          <w:szCs w:val="20"/>
        </w:rPr>
        <w:t xml:space="preserve"> </w:t>
      </w:r>
      <w:proofErr w:type="spellStart"/>
      <w:r w:rsidRPr="00137ADC">
        <w:rPr>
          <w:sz w:val="20"/>
          <w:szCs w:val="20"/>
        </w:rPr>
        <w:t>the</w:t>
      </w:r>
      <w:proofErr w:type="spellEnd"/>
      <w:r w:rsidRPr="00137ADC">
        <w:rPr>
          <w:sz w:val="20"/>
          <w:szCs w:val="20"/>
        </w:rPr>
        <w:t xml:space="preserve"> </w:t>
      </w:r>
      <w:proofErr w:type="spellStart"/>
      <w:r w:rsidRPr="00137ADC">
        <w:rPr>
          <w:sz w:val="20"/>
          <w:szCs w:val="20"/>
        </w:rPr>
        <w:t>correlation</w:t>
      </w:r>
      <w:proofErr w:type="spellEnd"/>
      <w:r w:rsidRPr="00137ADC">
        <w:rPr>
          <w:sz w:val="20"/>
          <w:szCs w:val="20"/>
        </w:rPr>
        <w:t xml:space="preserve"> </w:t>
      </w:r>
      <w:proofErr w:type="spellStart"/>
      <w:r w:rsidRPr="00137ADC">
        <w:rPr>
          <w:sz w:val="20"/>
          <w:szCs w:val="20"/>
        </w:rPr>
        <w:t>of</w:t>
      </w:r>
      <w:proofErr w:type="spellEnd"/>
      <w:r w:rsidRPr="00137ADC">
        <w:rPr>
          <w:sz w:val="20"/>
          <w:szCs w:val="20"/>
        </w:rPr>
        <w:t xml:space="preserve"> forces </w:t>
      </w:r>
      <w:proofErr w:type="spellStart"/>
      <w:r w:rsidRPr="00137ADC">
        <w:rPr>
          <w:sz w:val="20"/>
          <w:szCs w:val="20"/>
        </w:rPr>
        <w:t>existing</w:t>
      </w:r>
      <w:proofErr w:type="spellEnd"/>
      <w:r w:rsidRPr="00137ADC">
        <w:rPr>
          <w:sz w:val="20"/>
          <w:szCs w:val="20"/>
        </w:rPr>
        <w:t xml:space="preserve"> in </w:t>
      </w:r>
      <w:proofErr w:type="spellStart"/>
      <w:r w:rsidRPr="00137ADC">
        <w:rPr>
          <w:sz w:val="20"/>
          <w:szCs w:val="20"/>
        </w:rPr>
        <w:t>class</w:t>
      </w:r>
      <w:proofErr w:type="spellEnd"/>
      <w:r w:rsidRPr="00137ADC">
        <w:rPr>
          <w:sz w:val="20"/>
          <w:szCs w:val="20"/>
        </w:rPr>
        <w:t xml:space="preserve"> </w:t>
      </w:r>
      <w:proofErr w:type="spellStart"/>
      <w:r w:rsidRPr="00137ADC">
        <w:rPr>
          <w:sz w:val="20"/>
          <w:szCs w:val="20"/>
        </w:rPr>
        <w:t>society</w:t>
      </w:r>
      <w:proofErr w:type="spellEnd"/>
      <w:r w:rsidRPr="00137ADC">
        <w:rPr>
          <w:sz w:val="20"/>
          <w:szCs w:val="20"/>
        </w:rPr>
        <w:t xml:space="preserve">. The </w:t>
      </w:r>
      <w:proofErr w:type="spellStart"/>
      <w:r w:rsidRPr="00137ADC">
        <w:rPr>
          <w:sz w:val="20"/>
          <w:szCs w:val="20"/>
        </w:rPr>
        <w:t>State</w:t>
      </w:r>
      <w:proofErr w:type="spellEnd"/>
      <w:r w:rsidRPr="00137ADC">
        <w:rPr>
          <w:sz w:val="20"/>
          <w:szCs w:val="20"/>
        </w:rPr>
        <w:t xml:space="preserve"> </w:t>
      </w:r>
      <w:proofErr w:type="spellStart"/>
      <w:r w:rsidRPr="00137ADC">
        <w:rPr>
          <w:sz w:val="20"/>
          <w:szCs w:val="20"/>
        </w:rPr>
        <w:t>acts</w:t>
      </w:r>
      <w:proofErr w:type="spellEnd"/>
      <w:r w:rsidRPr="00137ADC">
        <w:rPr>
          <w:sz w:val="20"/>
          <w:szCs w:val="20"/>
        </w:rPr>
        <w:t xml:space="preserve"> </w:t>
      </w:r>
      <w:proofErr w:type="spellStart"/>
      <w:r w:rsidRPr="00137ADC">
        <w:rPr>
          <w:sz w:val="20"/>
          <w:szCs w:val="20"/>
        </w:rPr>
        <w:t>through</w:t>
      </w:r>
      <w:proofErr w:type="spellEnd"/>
      <w:r w:rsidRPr="00137ADC">
        <w:rPr>
          <w:sz w:val="20"/>
          <w:szCs w:val="20"/>
        </w:rPr>
        <w:t xml:space="preserve"> its policies </w:t>
      </w:r>
      <w:proofErr w:type="spellStart"/>
      <w:r w:rsidRPr="00137ADC">
        <w:rPr>
          <w:sz w:val="20"/>
          <w:szCs w:val="20"/>
        </w:rPr>
        <w:t>based</w:t>
      </w:r>
      <w:proofErr w:type="spellEnd"/>
      <w:r w:rsidRPr="00137ADC">
        <w:rPr>
          <w:sz w:val="20"/>
          <w:szCs w:val="20"/>
        </w:rPr>
        <w:t xml:space="preserve"> </w:t>
      </w:r>
      <w:proofErr w:type="spellStart"/>
      <w:r w:rsidRPr="00137ADC">
        <w:rPr>
          <w:sz w:val="20"/>
          <w:szCs w:val="20"/>
        </w:rPr>
        <w:t>on</w:t>
      </w:r>
      <w:proofErr w:type="spellEnd"/>
      <w:r w:rsidRPr="00137ADC">
        <w:rPr>
          <w:sz w:val="20"/>
          <w:szCs w:val="20"/>
        </w:rPr>
        <w:t xml:space="preserve"> </w:t>
      </w:r>
      <w:proofErr w:type="spellStart"/>
      <w:r w:rsidRPr="00137ADC">
        <w:rPr>
          <w:sz w:val="20"/>
          <w:szCs w:val="20"/>
        </w:rPr>
        <w:t>the</w:t>
      </w:r>
      <w:proofErr w:type="spellEnd"/>
      <w:r w:rsidRPr="00137ADC">
        <w:rPr>
          <w:sz w:val="20"/>
          <w:szCs w:val="20"/>
        </w:rPr>
        <w:t xml:space="preserve"> </w:t>
      </w:r>
      <w:proofErr w:type="spellStart"/>
      <w:r w:rsidRPr="00137ADC">
        <w:rPr>
          <w:sz w:val="20"/>
          <w:szCs w:val="20"/>
        </w:rPr>
        <w:t>class</w:t>
      </w:r>
      <w:proofErr w:type="spellEnd"/>
      <w:r w:rsidRPr="00137ADC">
        <w:rPr>
          <w:sz w:val="20"/>
          <w:szCs w:val="20"/>
        </w:rPr>
        <w:t xml:space="preserve"> </w:t>
      </w:r>
      <w:proofErr w:type="spellStart"/>
      <w:r w:rsidRPr="00137ADC">
        <w:rPr>
          <w:sz w:val="20"/>
          <w:szCs w:val="20"/>
        </w:rPr>
        <w:t>struggle</w:t>
      </w:r>
      <w:proofErr w:type="spellEnd"/>
      <w:r w:rsidRPr="00137ADC">
        <w:rPr>
          <w:sz w:val="20"/>
          <w:szCs w:val="20"/>
        </w:rPr>
        <w:t xml:space="preserve">. It </w:t>
      </w:r>
      <w:proofErr w:type="spellStart"/>
      <w:r w:rsidRPr="00137ADC">
        <w:rPr>
          <w:sz w:val="20"/>
          <w:szCs w:val="20"/>
        </w:rPr>
        <w:t>is</w:t>
      </w:r>
      <w:proofErr w:type="spellEnd"/>
      <w:r w:rsidRPr="00137ADC">
        <w:rPr>
          <w:sz w:val="20"/>
          <w:szCs w:val="20"/>
        </w:rPr>
        <w:t xml:space="preserve"> </w:t>
      </w:r>
      <w:proofErr w:type="spellStart"/>
      <w:r w:rsidRPr="00137ADC">
        <w:rPr>
          <w:sz w:val="20"/>
          <w:szCs w:val="20"/>
        </w:rPr>
        <w:t>noteworthy</w:t>
      </w:r>
      <w:proofErr w:type="spellEnd"/>
      <w:r w:rsidRPr="00137ADC">
        <w:rPr>
          <w:sz w:val="20"/>
          <w:szCs w:val="20"/>
        </w:rPr>
        <w:t xml:space="preserve"> </w:t>
      </w:r>
      <w:proofErr w:type="spellStart"/>
      <w:r w:rsidRPr="00137ADC">
        <w:rPr>
          <w:sz w:val="20"/>
          <w:szCs w:val="20"/>
        </w:rPr>
        <w:t>that</w:t>
      </w:r>
      <w:proofErr w:type="spellEnd"/>
      <w:r w:rsidRPr="00137ADC">
        <w:rPr>
          <w:sz w:val="20"/>
          <w:szCs w:val="20"/>
        </w:rPr>
        <w:t xml:space="preserve"> </w:t>
      </w:r>
      <w:proofErr w:type="spellStart"/>
      <w:r w:rsidRPr="00137ADC">
        <w:rPr>
          <w:sz w:val="20"/>
          <w:szCs w:val="20"/>
        </w:rPr>
        <w:t>the</w:t>
      </w:r>
      <w:proofErr w:type="spellEnd"/>
      <w:r w:rsidRPr="00137ADC">
        <w:rPr>
          <w:sz w:val="20"/>
          <w:szCs w:val="20"/>
        </w:rPr>
        <w:t xml:space="preserve"> </w:t>
      </w:r>
      <w:proofErr w:type="spellStart"/>
      <w:r w:rsidRPr="00137ADC">
        <w:rPr>
          <w:sz w:val="20"/>
          <w:szCs w:val="20"/>
        </w:rPr>
        <w:t>struggle</w:t>
      </w:r>
      <w:proofErr w:type="spellEnd"/>
      <w:r w:rsidRPr="00137ADC">
        <w:rPr>
          <w:sz w:val="20"/>
          <w:szCs w:val="20"/>
        </w:rPr>
        <w:t xml:space="preserve"> for </w:t>
      </w:r>
      <w:proofErr w:type="spellStart"/>
      <w:r w:rsidRPr="00137ADC">
        <w:rPr>
          <w:sz w:val="20"/>
          <w:szCs w:val="20"/>
        </w:rPr>
        <w:t>public</w:t>
      </w:r>
      <w:proofErr w:type="spellEnd"/>
      <w:r w:rsidRPr="00137ADC">
        <w:rPr>
          <w:sz w:val="20"/>
          <w:szCs w:val="20"/>
        </w:rPr>
        <w:t xml:space="preserve"> policies for </w:t>
      </w:r>
      <w:proofErr w:type="spellStart"/>
      <w:r w:rsidRPr="00137ADC">
        <w:rPr>
          <w:sz w:val="20"/>
          <w:szCs w:val="20"/>
        </w:rPr>
        <w:t>the</w:t>
      </w:r>
      <w:proofErr w:type="spellEnd"/>
      <w:r w:rsidRPr="00137ADC">
        <w:rPr>
          <w:sz w:val="20"/>
          <w:szCs w:val="20"/>
        </w:rPr>
        <w:t xml:space="preserve"> rural </w:t>
      </w:r>
      <w:proofErr w:type="spellStart"/>
      <w:r w:rsidRPr="00137ADC">
        <w:rPr>
          <w:sz w:val="20"/>
          <w:szCs w:val="20"/>
        </w:rPr>
        <w:t>population</w:t>
      </w:r>
      <w:proofErr w:type="spellEnd"/>
      <w:r w:rsidRPr="00137ADC">
        <w:rPr>
          <w:sz w:val="20"/>
          <w:szCs w:val="20"/>
        </w:rPr>
        <w:t xml:space="preserve"> </w:t>
      </w:r>
      <w:proofErr w:type="spellStart"/>
      <w:r w:rsidRPr="00137ADC">
        <w:rPr>
          <w:sz w:val="20"/>
          <w:szCs w:val="20"/>
        </w:rPr>
        <w:t>has</w:t>
      </w:r>
      <w:proofErr w:type="spellEnd"/>
      <w:r w:rsidRPr="00137ADC">
        <w:rPr>
          <w:sz w:val="20"/>
          <w:szCs w:val="20"/>
        </w:rPr>
        <w:t xml:space="preserve"> as a </w:t>
      </w:r>
      <w:proofErr w:type="spellStart"/>
      <w:r w:rsidRPr="00137ADC">
        <w:rPr>
          <w:sz w:val="20"/>
          <w:szCs w:val="20"/>
        </w:rPr>
        <w:t>historical</w:t>
      </w:r>
      <w:proofErr w:type="spellEnd"/>
      <w:r w:rsidRPr="00137ADC">
        <w:rPr>
          <w:sz w:val="20"/>
          <w:szCs w:val="20"/>
        </w:rPr>
        <w:t xml:space="preserve"> </w:t>
      </w:r>
      <w:proofErr w:type="spellStart"/>
      <w:r w:rsidRPr="00137ADC">
        <w:rPr>
          <w:sz w:val="20"/>
          <w:szCs w:val="20"/>
        </w:rPr>
        <w:t>milestone</w:t>
      </w:r>
      <w:proofErr w:type="spellEnd"/>
      <w:r w:rsidRPr="00137ADC">
        <w:rPr>
          <w:sz w:val="20"/>
          <w:szCs w:val="20"/>
        </w:rPr>
        <w:t xml:space="preserve"> </w:t>
      </w:r>
      <w:proofErr w:type="spellStart"/>
      <w:r w:rsidRPr="00137ADC">
        <w:rPr>
          <w:sz w:val="20"/>
          <w:szCs w:val="20"/>
        </w:rPr>
        <w:t>the</w:t>
      </w:r>
      <w:proofErr w:type="spellEnd"/>
      <w:r w:rsidRPr="00137ADC">
        <w:rPr>
          <w:sz w:val="20"/>
          <w:szCs w:val="20"/>
        </w:rPr>
        <w:t xml:space="preserve"> holding </w:t>
      </w:r>
      <w:proofErr w:type="spellStart"/>
      <w:r w:rsidRPr="00137ADC">
        <w:rPr>
          <w:sz w:val="20"/>
          <w:szCs w:val="20"/>
        </w:rPr>
        <w:t>of</w:t>
      </w:r>
      <w:proofErr w:type="spellEnd"/>
      <w:r w:rsidRPr="00137ADC">
        <w:rPr>
          <w:sz w:val="20"/>
          <w:szCs w:val="20"/>
        </w:rPr>
        <w:t xml:space="preserve"> </w:t>
      </w:r>
      <w:proofErr w:type="spellStart"/>
      <w:r w:rsidRPr="00137ADC">
        <w:rPr>
          <w:sz w:val="20"/>
          <w:szCs w:val="20"/>
        </w:rPr>
        <w:t>the</w:t>
      </w:r>
      <w:proofErr w:type="spellEnd"/>
      <w:r w:rsidRPr="00137ADC">
        <w:rPr>
          <w:sz w:val="20"/>
          <w:szCs w:val="20"/>
        </w:rPr>
        <w:t xml:space="preserve"> </w:t>
      </w:r>
      <w:proofErr w:type="spellStart"/>
      <w:r w:rsidRPr="00137ADC">
        <w:rPr>
          <w:sz w:val="20"/>
          <w:szCs w:val="20"/>
        </w:rPr>
        <w:t>First</w:t>
      </w:r>
      <w:proofErr w:type="spellEnd"/>
      <w:r w:rsidRPr="00137ADC">
        <w:rPr>
          <w:sz w:val="20"/>
          <w:szCs w:val="20"/>
        </w:rPr>
        <w:t xml:space="preserve"> </w:t>
      </w:r>
      <w:proofErr w:type="spellStart"/>
      <w:r w:rsidRPr="00137ADC">
        <w:rPr>
          <w:sz w:val="20"/>
          <w:szCs w:val="20"/>
        </w:rPr>
        <w:t>National</w:t>
      </w:r>
      <w:proofErr w:type="spellEnd"/>
      <w:r w:rsidRPr="00137ADC">
        <w:rPr>
          <w:sz w:val="20"/>
          <w:szCs w:val="20"/>
        </w:rPr>
        <w:t xml:space="preserve"> Meeting </w:t>
      </w:r>
      <w:proofErr w:type="spellStart"/>
      <w:r w:rsidRPr="00137ADC">
        <w:rPr>
          <w:sz w:val="20"/>
          <w:szCs w:val="20"/>
        </w:rPr>
        <w:t>of</w:t>
      </w:r>
      <w:proofErr w:type="spellEnd"/>
      <w:r w:rsidRPr="00137ADC">
        <w:rPr>
          <w:sz w:val="20"/>
          <w:szCs w:val="20"/>
        </w:rPr>
        <w:t xml:space="preserve"> </w:t>
      </w:r>
      <w:proofErr w:type="spellStart"/>
      <w:r w:rsidRPr="00137ADC">
        <w:rPr>
          <w:sz w:val="20"/>
          <w:szCs w:val="20"/>
        </w:rPr>
        <w:t>Educators</w:t>
      </w:r>
      <w:proofErr w:type="spellEnd"/>
      <w:r w:rsidRPr="00137ADC">
        <w:rPr>
          <w:sz w:val="20"/>
          <w:szCs w:val="20"/>
        </w:rPr>
        <w:t xml:space="preserve"> </w:t>
      </w:r>
      <w:proofErr w:type="spellStart"/>
      <w:r w:rsidRPr="00137ADC">
        <w:rPr>
          <w:sz w:val="20"/>
          <w:szCs w:val="20"/>
        </w:rPr>
        <w:t>of</w:t>
      </w:r>
      <w:proofErr w:type="spellEnd"/>
      <w:r w:rsidRPr="00137ADC">
        <w:rPr>
          <w:sz w:val="20"/>
          <w:szCs w:val="20"/>
        </w:rPr>
        <w:t xml:space="preserve"> </w:t>
      </w:r>
      <w:proofErr w:type="spellStart"/>
      <w:r w:rsidRPr="00137ADC">
        <w:rPr>
          <w:sz w:val="20"/>
          <w:szCs w:val="20"/>
        </w:rPr>
        <w:t>Agrarian</w:t>
      </w:r>
      <w:proofErr w:type="spellEnd"/>
      <w:r w:rsidRPr="00137ADC">
        <w:rPr>
          <w:sz w:val="20"/>
          <w:szCs w:val="20"/>
        </w:rPr>
        <w:t xml:space="preserve"> </w:t>
      </w:r>
      <w:proofErr w:type="spellStart"/>
      <w:r w:rsidRPr="00137ADC">
        <w:rPr>
          <w:sz w:val="20"/>
          <w:szCs w:val="20"/>
        </w:rPr>
        <w:t>Reform</w:t>
      </w:r>
      <w:proofErr w:type="spellEnd"/>
      <w:r w:rsidRPr="00137ADC">
        <w:rPr>
          <w:sz w:val="20"/>
          <w:szCs w:val="20"/>
        </w:rPr>
        <w:t xml:space="preserve"> (I ENERA), </w:t>
      </w:r>
      <w:proofErr w:type="spellStart"/>
      <w:r w:rsidRPr="00137ADC">
        <w:rPr>
          <w:sz w:val="20"/>
          <w:szCs w:val="20"/>
        </w:rPr>
        <w:t>reaffirmed</w:t>
      </w:r>
      <w:proofErr w:type="spellEnd"/>
      <w:r w:rsidRPr="00137ADC">
        <w:rPr>
          <w:sz w:val="20"/>
          <w:szCs w:val="20"/>
        </w:rPr>
        <w:t xml:space="preserve"> in </w:t>
      </w:r>
      <w:proofErr w:type="spellStart"/>
      <w:r w:rsidRPr="00137ADC">
        <w:rPr>
          <w:sz w:val="20"/>
          <w:szCs w:val="20"/>
        </w:rPr>
        <w:t>the</w:t>
      </w:r>
      <w:proofErr w:type="spellEnd"/>
      <w:r w:rsidRPr="00137ADC">
        <w:rPr>
          <w:sz w:val="20"/>
          <w:szCs w:val="20"/>
        </w:rPr>
        <w:t xml:space="preserve"> </w:t>
      </w:r>
      <w:proofErr w:type="spellStart"/>
      <w:r w:rsidRPr="00137ADC">
        <w:rPr>
          <w:sz w:val="20"/>
          <w:szCs w:val="20"/>
        </w:rPr>
        <w:t>First</w:t>
      </w:r>
      <w:proofErr w:type="spellEnd"/>
      <w:r w:rsidRPr="00137ADC">
        <w:rPr>
          <w:sz w:val="20"/>
          <w:szCs w:val="20"/>
        </w:rPr>
        <w:t xml:space="preserve"> </w:t>
      </w:r>
      <w:proofErr w:type="spellStart"/>
      <w:r w:rsidRPr="00137ADC">
        <w:rPr>
          <w:sz w:val="20"/>
          <w:szCs w:val="20"/>
        </w:rPr>
        <w:t>and</w:t>
      </w:r>
      <w:proofErr w:type="spellEnd"/>
      <w:r w:rsidRPr="00137ADC">
        <w:rPr>
          <w:sz w:val="20"/>
          <w:szCs w:val="20"/>
        </w:rPr>
        <w:t xml:space="preserve"> </w:t>
      </w:r>
      <w:proofErr w:type="spellStart"/>
      <w:r w:rsidRPr="00137ADC">
        <w:rPr>
          <w:sz w:val="20"/>
          <w:szCs w:val="20"/>
        </w:rPr>
        <w:t>Second</w:t>
      </w:r>
      <w:proofErr w:type="spellEnd"/>
      <w:r w:rsidRPr="00137ADC">
        <w:rPr>
          <w:sz w:val="20"/>
          <w:szCs w:val="20"/>
        </w:rPr>
        <w:t xml:space="preserve"> </w:t>
      </w:r>
      <w:proofErr w:type="spellStart"/>
      <w:r w:rsidRPr="00137ADC">
        <w:rPr>
          <w:sz w:val="20"/>
          <w:szCs w:val="20"/>
        </w:rPr>
        <w:t>National</w:t>
      </w:r>
      <w:proofErr w:type="spellEnd"/>
      <w:r w:rsidRPr="00137ADC">
        <w:rPr>
          <w:sz w:val="20"/>
          <w:szCs w:val="20"/>
        </w:rPr>
        <w:t xml:space="preserve"> </w:t>
      </w:r>
      <w:proofErr w:type="spellStart"/>
      <w:r w:rsidRPr="00137ADC">
        <w:rPr>
          <w:sz w:val="20"/>
          <w:szCs w:val="20"/>
        </w:rPr>
        <w:t>Conferences</w:t>
      </w:r>
      <w:proofErr w:type="spellEnd"/>
      <w:r w:rsidRPr="00137ADC">
        <w:rPr>
          <w:sz w:val="20"/>
          <w:szCs w:val="20"/>
        </w:rPr>
        <w:t xml:space="preserve"> for Rural </w:t>
      </w:r>
      <w:proofErr w:type="spellStart"/>
      <w:r w:rsidRPr="00137ADC">
        <w:rPr>
          <w:sz w:val="20"/>
          <w:szCs w:val="20"/>
        </w:rPr>
        <w:t>Education</w:t>
      </w:r>
      <w:proofErr w:type="spellEnd"/>
      <w:r w:rsidRPr="00137ADC">
        <w:rPr>
          <w:sz w:val="20"/>
          <w:szCs w:val="20"/>
        </w:rPr>
        <w:t xml:space="preserve">. It </w:t>
      </w:r>
      <w:proofErr w:type="spellStart"/>
      <w:r w:rsidRPr="00137ADC">
        <w:rPr>
          <w:sz w:val="20"/>
          <w:szCs w:val="20"/>
        </w:rPr>
        <w:t>is</w:t>
      </w:r>
      <w:proofErr w:type="spellEnd"/>
      <w:r w:rsidRPr="00137ADC">
        <w:rPr>
          <w:sz w:val="20"/>
          <w:szCs w:val="20"/>
        </w:rPr>
        <w:t xml:space="preserve"> </w:t>
      </w:r>
      <w:proofErr w:type="spellStart"/>
      <w:r w:rsidRPr="00137ADC">
        <w:rPr>
          <w:sz w:val="20"/>
          <w:szCs w:val="20"/>
        </w:rPr>
        <w:t>worth</w:t>
      </w:r>
      <w:proofErr w:type="spellEnd"/>
      <w:r w:rsidRPr="00137ADC">
        <w:rPr>
          <w:sz w:val="20"/>
          <w:szCs w:val="20"/>
        </w:rPr>
        <w:t xml:space="preserve"> </w:t>
      </w:r>
      <w:proofErr w:type="spellStart"/>
      <w:r w:rsidRPr="00137ADC">
        <w:rPr>
          <w:sz w:val="20"/>
          <w:szCs w:val="20"/>
        </w:rPr>
        <w:t>highlighting</w:t>
      </w:r>
      <w:proofErr w:type="spellEnd"/>
      <w:r w:rsidRPr="00137ADC">
        <w:rPr>
          <w:sz w:val="20"/>
          <w:szCs w:val="20"/>
        </w:rPr>
        <w:t xml:space="preserve"> </w:t>
      </w:r>
      <w:proofErr w:type="spellStart"/>
      <w:r w:rsidRPr="00137ADC">
        <w:rPr>
          <w:sz w:val="20"/>
          <w:szCs w:val="20"/>
        </w:rPr>
        <w:t>that</w:t>
      </w:r>
      <w:proofErr w:type="spellEnd"/>
      <w:r w:rsidRPr="00137ADC">
        <w:rPr>
          <w:sz w:val="20"/>
          <w:szCs w:val="20"/>
        </w:rPr>
        <w:t xml:space="preserve"> </w:t>
      </w:r>
      <w:proofErr w:type="spellStart"/>
      <w:r w:rsidRPr="00137ADC">
        <w:rPr>
          <w:sz w:val="20"/>
          <w:szCs w:val="20"/>
        </w:rPr>
        <w:t>the</w:t>
      </w:r>
      <w:proofErr w:type="spellEnd"/>
      <w:r w:rsidRPr="00137ADC">
        <w:rPr>
          <w:sz w:val="20"/>
          <w:szCs w:val="20"/>
        </w:rPr>
        <w:t xml:space="preserve"> social </w:t>
      </w:r>
      <w:proofErr w:type="spellStart"/>
      <w:r w:rsidRPr="00137ADC">
        <w:rPr>
          <w:sz w:val="20"/>
          <w:szCs w:val="20"/>
        </w:rPr>
        <w:t>movements</w:t>
      </w:r>
      <w:proofErr w:type="spellEnd"/>
      <w:r w:rsidRPr="00137ADC">
        <w:rPr>
          <w:sz w:val="20"/>
          <w:szCs w:val="20"/>
        </w:rPr>
        <w:t xml:space="preserve"> </w:t>
      </w:r>
      <w:proofErr w:type="spellStart"/>
      <w:r w:rsidRPr="00137ADC">
        <w:rPr>
          <w:sz w:val="20"/>
          <w:szCs w:val="20"/>
        </w:rPr>
        <w:t>fighting</w:t>
      </w:r>
      <w:proofErr w:type="spellEnd"/>
      <w:r w:rsidRPr="00137ADC">
        <w:rPr>
          <w:sz w:val="20"/>
          <w:szCs w:val="20"/>
        </w:rPr>
        <w:t xml:space="preserve"> for </w:t>
      </w:r>
      <w:proofErr w:type="spellStart"/>
      <w:r w:rsidRPr="00137ADC">
        <w:rPr>
          <w:sz w:val="20"/>
          <w:szCs w:val="20"/>
        </w:rPr>
        <w:t>public</w:t>
      </w:r>
      <w:proofErr w:type="spellEnd"/>
      <w:r w:rsidRPr="00137ADC">
        <w:rPr>
          <w:sz w:val="20"/>
          <w:szCs w:val="20"/>
        </w:rPr>
        <w:t xml:space="preserve"> policies for </w:t>
      </w:r>
      <w:proofErr w:type="spellStart"/>
      <w:r w:rsidRPr="00137ADC">
        <w:rPr>
          <w:sz w:val="20"/>
          <w:szCs w:val="20"/>
        </w:rPr>
        <w:t>the</w:t>
      </w:r>
      <w:proofErr w:type="spellEnd"/>
      <w:r w:rsidRPr="00137ADC">
        <w:rPr>
          <w:sz w:val="20"/>
          <w:szCs w:val="20"/>
        </w:rPr>
        <w:t xml:space="preserve"> rural </w:t>
      </w:r>
      <w:proofErr w:type="spellStart"/>
      <w:r w:rsidRPr="00137ADC">
        <w:rPr>
          <w:sz w:val="20"/>
          <w:szCs w:val="20"/>
        </w:rPr>
        <w:t>population</w:t>
      </w:r>
      <w:proofErr w:type="spellEnd"/>
      <w:r w:rsidRPr="00137ADC">
        <w:rPr>
          <w:sz w:val="20"/>
          <w:szCs w:val="20"/>
        </w:rPr>
        <w:t xml:space="preserve"> </w:t>
      </w:r>
      <w:proofErr w:type="spellStart"/>
      <w:r w:rsidRPr="00137ADC">
        <w:rPr>
          <w:sz w:val="20"/>
          <w:szCs w:val="20"/>
        </w:rPr>
        <w:t>have</w:t>
      </w:r>
      <w:proofErr w:type="spellEnd"/>
      <w:r w:rsidRPr="00137ADC">
        <w:rPr>
          <w:sz w:val="20"/>
          <w:szCs w:val="20"/>
        </w:rPr>
        <w:t xml:space="preserve"> </w:t>
      </w:r>
      <w:proofErr w:type="spellStart"/>
      <w:r w:rsidRPr="00137ADC">
        <w:rPr>
          <w:sz w:val="20"/>
          <w:szCs w:val="20"/>
        </w:rPr>
        <w:t>been</w:t>
      </w:r>
      <w:proofErr w:type="spellEnd"/>
      <w:r w:rsidRPr="00137ADC">
        <w:rPr>
          <w:sz w:val="20"/>
          <w:szCs w:val="20"/>
        </w:rPr>
        <w:t xml:space="preserve"> </w:t>
      </w:r>
      <w:proofErr w:type="spellStart"/>
      <w:r w:rsidRPr="00137ADC">
        <w:rPr>
          <w:sz w:val="20"/>
          <w:szCs w:val="20"/>
        </w:rPr>
        <w:t>able</w:t>
      </w:r>
      <w:proofErr w:type="spellEnd"/>
      <w:r w:rsidRPr="00137ADC">
        <w:rPr>
          <w:sz w:val="20"/>
          <w:szCs w:val="20"/>
        </w:rPr>
        <w:t xml:space="preserve"> </w:t>
      </w:r>
      <w:proofErr w:type="spellStart"/>
      <w:r w:rsidRPr="00137ADC">
        <w:rPr>
          <w:sz w:val="20"/>
          <w:szCs w:val="20"/>
        </w:rPr>
        <w:t>to</w:t>
      </w:r>
      <w:proofErr w:type="spellEnd"/>
      <w:r w:rsidRPr="00137ADC">
        <w:rPr>
          <w:sz w:val="20"/>
          <w:szCs w:val="20"/>
        </w:rPr>
        <w:t xml:space="preserve"> </w:t>
      </w:r>
      <w:proofErr w:type="spellStart"/>
      <w:r w:rsidRPr="00137ADC">
        <w:rPr>
          <w:sz w:val="20"/>
          <w:szCs w:val="20"/>
        </w:rPr>
        <w:t>advance</w:t>
      </w:r>
      <w:proofErr w:type="spellEnd"/>
      <w:r w:rsidRPr="00137ADC">
        <w:rPr>
          <w:sz w:val="20"/>
          <w:szCs w:val="20"/>
        </w:rPr>
        <w:t xml:space="preserve"> </w:t>
      </w:r>
      <w:proofErr w:type="spellStart"/>
      <w:r w:rsidRPr="00137ADC">
        <w:rPr>
          <w:sz w:val="20"/>
          <w:szCs w:val="20"/>
        </w:rPr>
        <w:t>on</w:t>
      </w:r>
      <w:proofErr w:type="spellEnd"/>
      <w:r w:rsidRPr="00137ADC">
        <w:rPr>
          <w:sz w:val="20"/>
          <w:szCs w:val="20"/>
        </w:rPr>
        <w:t xml:space="preserve"> </w:t>
      </w:r>
      <w:proofErr w:type="spellStart"/>
      <w:r w:rsidRPr="00137ADC">
        <w:rPr>
          <w:sz w:val="20"/>
          <w:szCs w:val="20"/>
        </w:rPr>
        <w:t>different</w:t>
      </w:r>
      <w:proofErr w:type="spellEnd"/>
      <w:r w:rsidRPr="00137ADC">
        <w:rPr>
          <w:sz w:val="20"/>
          <w:szCs w:val="20"/>
        </w:rPr>
        <w:t xml:space="preserve"> fronts, </w:t>
      </w:r>
      <w:proofErr w:type="spellStart"/>
      <w:r w:rsidRPr="00137ADC">
        <w:rPr>
          <w:sz w:val="20"/>
          <w:szCs w:val="20"/>
        </w:rPr>
        <w:t>including</w:t>
      </w:r>
      <w:proofErr w:type="spellEnd"/>
      <w:r w:rsidRPr="00137ADC">
        <w:rPr>
          <w:sz w:val="20"/>
          <w:szCs w:val="20"/>
        </w:rPr>
        <w:t xml:space="preserve"> </w:t>
      </w:r>
      <w:proofErr w:type="spellStart"/>
      <w:r w:rsidRPr="00137ADC">
        <w:rPr>
          <w:sz w:val="20"/>
          <w:szCs w:val="20"/>
        </w:rPr>
        <w:t>achievements</w:t>
      </w:r>
      <w:proofErr w:type="spellEnd"/>
      <w:r w:rsidRPr="00137ADC">
        <w:rPr>
          <w:sz w:val="20"/>
          <w:szCs w:val="20"/>
        </w:rPr>
        <w:t xml:space="preserve"> in </w:t>
      </w:r>
      <w:proofErr w:type="spellStart"/>
      <w:r w:rsidRPr="00137ADC">
        <w:rPr>
          <w:sz w:val="20"/>
          <w:szCs w:val="20"/>
        </w:rPr>
        <w:t>the</w:t>
      </w:r>
      <w:proofErr w:type="spellEnd"/>
      <w:r w:rsidRPr="00137ADC">
        <w:rPr>
          <w:sz w:val="20"/>
          <w:szCs w:val="20"/>
        </w:rPr>
        <w:t xml:space="preserve"> </w:t>
      </w:r>
      <w:proofErr w:type="spellStart"/>
      <w:r w:rsidRPr="00137ADC">
        <w:rPr>
          <w:sz w:val="20"/>
          <w:szCs w:val="20"/>
        </w:rPr>
        <w:t>field</w:t>
      </w:r>
      <w:proofErr w:type="spellEnd"/>
      <w:r w:rsidRPr="00137ADC">
        <w:rPr>
          <w:sz w:val="20"/>
          <w:szCs w:val="20"/>
        </w:rPr>
        <w:t xml:space="preserve"> </w:t>
      </w:r>
      <w:proofErr w:type="spellStart"/>
      <w:r w:rsidRPr="00137ADC">
        <w:rPr>
          <w:sz w:val="20"/>
          <w:szCs w:val="20"/>
        </w:rPr>
        <w:t>of</w:t>
      </w:r>
      <w:proofErr w:type="spellEnd"/>
      <w:r w:rsidRPr="00137ADC">
        <w:rPr>
          <w:sz w:val="20"/>
          <w:szCs w:val="20"/>
        </w:rPr>
        <w:t xml:space="preserve"> </w:t>
      </w:r>
      <w:proofErr w:type="spellStart"/>
      <w:r w:rsidRPr="00137ADC">
        <w:rPr>
          <w:sz w:val="20"/>
          <w:szCs w:val="20"/>
        </w:rPr>
        <w:t>educational</w:t>
      </w:r>
      <w:proofErr w:type="spellEnd"/>
      <w:r w:rsidRPr="00137ADC">
        <w:rPr>
          <w:sz w:val="20"/>
          <w:szCs w:val="20"/>
        </w:rPr>
        <w:t xml:space="preserve"> policies, </w:t>
      </w:r>
      <w:proofErr w:type="spellStart"/>
      <w:r w:rsidRPr="00137ADC">
        <w:rPr>
          <w:sz w:val="20"/>
          <w:szCs w:val="20"/>
        </w:rPr>
        <w:t>such</w:t>
      </w:r>
      <w:proofErr w:type="spellEnd"/>
      <w:r w:rsidRPr="00137ADC">
        <w:rPr>
          <w:sz w:val="20"/>
          <w:szCs w:val="20"/>
        </w:rPr>
        <w:t xml:space="preserve"> </w:t>
      </w:r>
      <w:r w:rsidRPr="00137ADC">
        <w:rPr>
          <w:sz w:val="20"/>
          <w:szCs w:val="20"/>
        </w:rPr>
        <w:lastRenderedPageBreak/>
        <w:t xml:space="preserve">as </w:t>
      </w:r>
      <w:proofErr w:type="spellStart"/>
      <w:r w:rsidRPr="00137ADC">
        <w:rPr>
          <w:sz w:val="20"/>
          <w:szCs w:val="20"/>
        </w:rPr>
        <w:t>the</w:t>
      </w:r>
      <w:proofErr w:type="spellEnd"/>
      <w:r w:rsidRPr="00137ADC">
        <w:rPr>
          <w:sz w:val="20"/>
          <w:szCs w:val="20"/>
        </w:rPr>
        <w:t xml:space="preserve"> </w:t>
      </w:r>
      <w:proofErr w:type="spellStart"/>
      <w:r w:rsidRPr="00137ADC">
        <w:rPr>
          <w:sz w:val="20"/>
          <w:szCs w:val="20"/>
        </w:rPr>
        <w:t>National</w:t>
      </w:r>
      <w:proofErr w:type="spellEnd"/>
      <w:r w:rsidRPr="00137ADC">
        <w:rPr>
          <w:sz w:val="20"/>
          <w:szCs w:val="20"/>
        </w:rPr>
        <w:t xml:space="preserve"> </w:t>
      </w:r>
      <w:proofErr w:type="spellStart"/>
      <w:r w:rsidRPr="00137ADC">
        <w:rPr>
          <w:sz w:val="20"/>
          <w:szCs w:val="20"/>
        </w:rPr>
        <w:t>Policy</w:t>
      </w:r>
      <w:proofErr w:type="spellEnd"/>
      <w:r w:rsidRPr="00137ADC">
        <w:rPr>
          <w:sz w:val="20"/>
          <w:szCs w:val="20"/>
        </w:rPr>
        <w:t xml:space="preserve"> for </w:t>
      </w:r>
      <w:proofErr w:type="spellStart"/>
      <w:r w:rsidRPr="00137ADC">
        <w:rPr>
          <w:sz w:val="20"/>
          <w:szCs w:val="20"/>
        </w:rPr>
        <w:t>Education</w:t>
      </w:r>
      <w:proofErr w:type="spellEnd"/>
      <w:r w:rsidRPr="00137ADC">
        <w:rPr>
          <w:sz w:val="20"/>
          <w:szCs w:val="20"/>
        </w:rPr>
        <w:t xml:space="preserve"> in </w:t>
      </w:r>
      <w:proofErr w:type="spellStart"/>
      <w:r w:rsidRPr="00137ADC">
        <w:rPr>
          <w:sz w:val="20"/>
          <w:szCs w:val="20"/>
        </w:rPr>
        <w:t>Agrarian</w:t>
      </w:r>
      <w:proofErr w:type="spellEnd"/>
      <w:r w:rsidRPr="00137ADC">
        <w:rPr>
          <w:sz w:val="20"/>
          <w:szCs w:val="20"/>
        </w:rPr>
        <w:t xml:space="preserve"> </w:t>
      </w:r>
      <w:proofErr w:type="spellStart"/>
      <w:r w:rsidRPr="00137ADC">
        <w:rPr>
          <w:sz w:val="20"/>
          <w:szCs w:val="20"/>
        </w:rPr>
        <w:t>Reform</w:t>
      </w:r>
      <w:proofErr w:type="spellEnd"/>
      <w:r w:rsidRPr="00137ADC">
        <w:rPr>
          <w:sz w:val="20"/>
          <w:szCs w:val="20"/>
        </w:rPr>
        <w:t xml:space="preserve"> (PRONERA) </w:t>
      </w:r>
      <w:proofErr w:type="spellStart"/>
      <w:r w:rsidRPr="00137ADC">
        <w:rPr>
          <w:sz w:val="20"/>
          <w:szCs w:val="20"/>
        </w:rPr>
        <w:t>and</w:t>
      </w:r>
      <w:proofErr w:type="spellEnd"/>
      <w:r w:rsidRPr="00137ADC">
        <w:rPr>
          <w:sz w:val="20"/>
          <w:szCs w:val="20"/>
        </w:rPr>
        <w:t xml:space="preserve"> </w:t>
      </w:r>
      <w:proofErr w:type="spellStart"/>
      <w:r w:rsidRPr="00137ADC">
        <w:rPr>
          <w:sz w:val="20"/>
          <w:szCs w:val="20"/>
        </w:rPr>
        <w:t>the</w:t>
      </w:r>
      <w:proofErr w:type="spellEnd"/>
      <w:r w:rsidRPr="00137ADC">
        <w:rPr>
          <w:sz w:val="20"/>
          <w:szCs w:val="20"/>
        </w:rPr>
        <w:t xml:space="preserve"> </w:t>
      </w:r>
      <w:proofErr w:type="spellStart"/>
      <w:r w:rsidRPr="00137ADC">
        <w:rPr>
          <w:sz w:val="20"/>
          <w:szCs w:val="20"/>
        </w:rPr>
        <w:t>Bachelor's</w:t>
      </w:r>
      <w:proofErr w:type="spellEnd"/>
      <w:r w:rsidRPr="00137ADC">
        <w:rPr>
          <w:sz w:val="20"/>
          <w:szCs w:val="20"/>
        </w:rPr>
        <w:t xml:space="preserve"> </w:t>
      </w:r>
      <w:proofErr w:type="spellStart"/>
      <w:r w:rsidRPr="00137ADC">
        <w:rPr>
          <w:sz w:val="20"/>
          <w:szCs w:val="20"/>
        </w:rPr>
        <w:t>Degrees</w:t>
      </w:r>
      <w:proofErr w:type="spellEnd"/>
      <w:r w:rsidRPr="00137ADC">
        <w:rPr>
          <w:sz w:val="20"/>
          <w:szCs w:val="20"/>
        </w:rPr>
        <w:t xml:space="preserve"> in Rural </w:t>
      </w:r>
      <w:proofErr w:type="spellStart"/>
      <w:r w:rsidRPr="00137ADC">
        <w:rPr>
          <w:sz w:val="20"/>
          <w:szCs w:val="20"/>
        </w:rPr>
        <w:t>Education</w:t>
      </w:r>
      <w:proofErr w:type="spellEnd"/>
      <w:r w:rsidRPr="00137ADC">
        <w:rPr>
          <w:sz w:val="20"/>
          <w:szCs w:val="20"/>
        </w:rPr>
        <w:t>.</w:t>
      </w:r>
    </w:p>
    <w:p w14:paraId="71D8F6AB" w14:textId="77777777" w:rsidR="0073467F" w:rsidRPr="00137ADC" w:rsidRDefault="0073467F" w:rsidP="0073467F">
      <w:pPr>
        <w:pStyle w:val="Cabealho"/>
        <w:ind w:left="3402"/>
        <w:jc w:val="both"/>
        <w:rPr>
          <w:sz w:val="20"/>
          <w:szCs w:val="20"/>
        </w:rPr>
      </w:pPr>
    </w:p>
    <w:p w14:paraId="2B7BF4CF" w14:textId="77777777" w:rsidR="0073467F" w:rsidRPr="00137ADC" w:rsidRDefault="0073467F" w:rsidP="0073467F">
      <w:pPr>
        <w:pStyle w:val="Cabealho"/>
        <w:ind w:left="3402"/>
        <w:jc w:val="both"/>
        <w:rPr>
          <w:sz w:val="20"/>
          <w:szCs w:val="20"/>
        </w:rPr>
      </w:pPr>
      <w:r w:rsidRPr="00137ADC">
        <w:rPr>
          <w:sz w:val="20"/>
          <w:szCs w:val="20"/>
        </w:rPr>
        <w:t xml:space="preserve">Keywords: </w:t>
      </w:r>
      <w:proofErr w:type="spellStart"/>
      <w:r w:rsidRPr="00137ADC">
        <w:rPr>
          <w:sz w:val="20"/>
          <w:szCs w:val="20"/>
        </w:rPr>
        <w:t>State</w:t>
      </w:r>
      <w:proofErr w:type="spellEnd"/>
      <w:r w:rsidRPr="00137ADC">
        <w:rPr>
          <w:sz w:val="20"/>
          <w:szCs w:val="20"/>
        </w:rPr>
        <w:t xml:space="preserve">; </w:t>
      </w:r>
      <w:proofErr w:type="spellStart"/>
      <w:r w:rsidRPr="00137ADC">
        <w:rPr>
          <w:sz w:val="20"/>
          <w:szCs w:val="20"/>
        </w:rPr>
        <w:t>Class</w:t>
      </w:r>
      <w:proofErr w:type="spellEnd"/>
      <w:r w:rsidRPr="00137ADC">
        <w:rPr>
          <w:sz w:val="20"/>
          <w:szCs w:val="20"/>
        </w:rPr>
        <w:t xml:space="preserve"> </w:t>
      </w:r>
      <w:proofErr w:type="spellStart"/>
      <w:r w:rsidRPr="00137ADC">
        <w:rPr>
          <w:sz w:val="20"/>
          <w:szCs w:val="20"/>
        </w:rPr>
        <w:t>Struggle</w:t>
      </w:r>
      <w:proofErr w:type="spellEnd"/>
      <w:r w:rsidRPr="00137ADC">
        <w:rPr>
          <w:sz w:val="20"/>
          <w:szCs w:val="20"/>
        </w:rPr>
        <w:t xml:space="preserve">; </w:t>
      </w:r>
      <w:proofErr w:type="spellStart"/>
      <w:r w:rsidRPr="00137ADC">
        <w:rPr>
          <w:sz w:val="20"/>
          <w:szCs w:val="20"/>
        </w:rPr>
        <w:t>Public</w:t>
      </w:r>
      <w:proofErr w:type="spellEnd"/>
      <w:r w:rsidRPr="00137ADC">
        <w:rPr>
          <w:sz w:val="20"/>
          <w:szCs w:val="20"/>
        </w:rPr>
        <w:t xml:space="preserve"> Policies</w:t>
      </w:r>
    </w:p>
    <w:p w14:paraId="4D6B7840" w14:textId="77777777" w:rsidR="0073467F" w:rsidRPr="00137ADC" w:rsidRDefault="0073467F" w:rsidP="0073467F">
      <w:pPr>
        <w:pStyle w:val="Cabealho"/>
        <w:jc w:val="both"/>
        <w:rPr>
          <w:sz w:val="24"/>
          <w:szCs w:val="24"/>
        </w:rPr>
      </w:pPr>
    </w:p>
    <w:p w14:paraId="3C7B118B" w14:textId="77777777" w:rsidR="0073467F" w:rsidRPr="0047313C" w:rsidRDefault="0073467F" w:rsidP="00612841">
      <w:pPr>
        <w:jc w:val="center"/>
        <w:rPr>
          <w:sz w:val="24"/>
          <w:szCs w:val="24"/>
        </w:rPr>
      </w:pPr>
    </w:p>
    <w:p w14:paraId="48FC6408" w14:textId="77777777" w:rsidR="00612841" w:rsidRPr="0047313C" w:rsidRDefault="00612841" w:rsidP="00612841">
      <w:pPr>
        <w:jc w:val="both"/>
        <w:rPr>
          <w:b/>
          <w:sz w:val="24"/>
          <w:szCs w:val="24"/>
        </w:rPr>
      </w:pPr>
    </w:p>
    <w:p w14:paraId="159657D5" w14:textId="7FE42233" w:rsidR="00612841" w:rsidRPr="0047313C" w:rsidRDefault="00612841" w:rsidP="00612841">
      <w:pPr>
        <w:spacing w:line="360" w:lineRule="auto"/>
        <w:ind w:firstLine="709"/>
        <w:jc w:val="both"/>
        <w:rPr>
          <w:color w:val="000000"/>
          <w:sz w:val="24"/>
          <w:szCs w:val="24"/>
        </w:rPr>
      </w:pPr>
      <w:r w:rsidRPr="0047313C">
        <w:rPr>
          <w:b/>
          <w:sz w:val="24"/>
          <w:szCs w:val="24"/>
        </w:rPr>
        <w:t xml:space="preserve"> </w:t>
      </w:r>
      <w:r w:rsidRPr="0047313C">
        <w:rPr>
          <w:sz w:val="24"/>
          <w:szCs w:val="24"/>
        </w:rPr>
        <w:t xml:space="preserve">Ao escrever sobre o Estado, não estamos nos propondo a discutir conceitos, pois, na literatura existem várias definições sobre o conceito de Estado. No entanto, consideramos importante evidenciar a compreensão de Estado que estamos partindo para entender sua relação do Estado com as políticas públicas enquanto expressão da luta de classes. Esse movimento é necessário, pois, as políticas públicas vão se afirmando na </w:t>
      </w:r>
      <w:r w:rsidRPr="0047313C">
        <w:rPr>
          <w:color w:val="000000"/>
          <w:sz w:val="24"/>
          <w:szCs w:val="24"/>
        </w:rPr>
        <w:t>relação Estado e sociedade política com nomes de secretarias, coordenações ou até mesmo de núcleos. Assim, sendo, entendemos que o estudo das políticas pública não consiste apenas em compilar documentações produzidas pelos órgãos encarregados dessa política, embora, essa tarefa seja necessária, mais sim que essa análise seja realizada a luz de uma concepção do que é o Estado.</w:t>
      </w:r>
    </w:p>
    <w:p w14:paraId="43B44073" w14:textId="7F9A4FAD" w:rsidR="00612841" w:rsidRPr="0047313C" w:rsidRDefault="00612841" w:rsidP="00612841">
      <w:pPr>
        <w:spacing w:line="360" w:lineRule="auto"/>
        <w:ind w:firstLine="709"/>
        <w:jc w:val="both"/>
        <w:rPr>
          <w:sz w:val="24"/>
          <w:szCs w:val="24"/>
        </w:rPr>
      </w:pPr>
      <w:r w:rsidRPr="0047313C">
        <w:rPr>
          <w:sz w:val="24"/>
          <w:szCs w:val="24"/>
        </w:rPr>
        <w:t>Nesse sentido, utilizamos a definição do Estado ampliado em Gramsci, que engloba a sociedade civil e a sociedade política, sendo</w:t>
      </w:r>
      <w:r w:rsidR="0073467F">
        <w:rPr>
          <w:sz w:val="24"/>
          <w:szCs w:val="24"/>
        </w:rPr>
        <w:t xml:space="preserve"> </w:t>
      </w:r>
      <w:r w:rsidRPr="0047313C">
        <w:rPr>
          <w:sz w:val="24"/>
          <w:szCs w:val="24"/>
        </w:rPr>
        <w:t>a primeira compreendida como um conjunto dos agentes sociais e espaço da ação política consciente e de atuação dos intelectuais orgânicos de uma classe ou de fração de classe. Essa ampliação na compreensão de Mendonça (2007) evidencia múltiplas formas de organização e de conflitos que são inerentes a vida social. E como lembra Fontes (2025), o Estado desde suas origens configura-se como espaços de contradições, cujo formato e formas de agir se modificam ao longo dos tempos históricos, ou seja, o Estado precisa ser compreendido como uma construção histórica, atravessado por diferentes relações de forças, ou seja, uma relação de força social de classes.</w:t>
      </w:r>
      <w:r w:rsidRPr="0047313C">
        <w:rPr>
          <w:color w:val="FF0000"/>
          <w:sz w:val="24"/>
          <w:szCs w:val="24"/>
        </w:rPr>
        <w:t xml:space="preserve"> </w:t>
      </w:r>
      <w:r w:rsidRPr="0047313C">
        <w:rPr>
          <w:sz w:val="24"/>
          <w:szCs w:val="24"/>
        </w:rPr>
        <w:t>Lenin (2010) ressalta que impulsionado pela luta de classes, o Estado aparece onde e na medida em que os antagonismos de classes não podem ser conciliáveis</w:t>
      </w:r>
    </w:p>
    <w:p w14:paraId="75194CD9" w14:textId="5728AB16" w:rsidR="00612841" w:rsidRPr="0047313C" w:rsidRDefault="00612841" w:rsidP="00612841">
      <w:pPr>
        <w:spacing w:line="360" w:lineRule="auto"/>
        <w:ind w:firstLine="709"/>
        <w:jc w:val="both"/>
        <w:rPr>
          <w:sz w:val="24"/>
          <w:szCs w:val="24"/>
        </w:rPr>
      </w:pPr>
      <w:r w:rsidRPr="0047313C">
        <w:rPr>
          <w:sz w:val="24"/>
          <w:szCs w:val="24"/>
        </w:rPr>
        <w:t xml:space="preserve">Essa compreensão do Estado demonstra que este não é de modo algum, um poder que vem de fora que se impõe a sociedade, e sim, que é um produto de </w:t>
      </w:r>
      <w:r w:rsidRPr="0047313C">
        <w:rPr>
          <w:sz w:val="24"/>
          <w:szCs w:val="24"/>
        </w:rPr>
        <w:lastRenderedPageBreak/>
        <w:t>construção da própria sociedade. Portanto, a compreensão das políticas públicas exige a apreensão do movimento de conexão entre a sociedade civil e a sociedade política. A primeira entendida, como espaço de organização da luta e a segunda, como espaço institucionalizado ou oficial (Fontes, 2025, p 107-108):</w:t>
      </w:r>
    </w:p>
    <w:p w14:paraId="66A60F33" w14:textId="77777777" w:rsidR="00612841" w:rsidRPr="0047313C" w:rsidRDefault="00612841" w:rsidP="00612841">
      <w:pPr>
        <w:spacing w:line="360" w:lineRule="auto"/>
        <w:ind w:firstLine="709"/>
        <w:jc w:val="both"/>
        <w:rPr>
          <w:sz w:val="24"/>
          <w:szCs w:val="24"/>
        </w:rPr>
      </w:pPr>
    </w:p>
    <w:p w14:paraId="0BA206CD" w14:textId="63D181B7" w:rsidR="00612841" w:rsidRPr="0047313C" w:rsidRDefault="00612841" w:rsidP="00612841">
      <w:pPr>
        <w:spacing w:line="240" w:lineRule="auto"/>
        <w:ind w:left="2268"/>
        <w:jc w:val="both"/>
        <w:rPr>
          <w:sz w:val="20"/>
          <w:szCs w:val="20"/>
        </w:rPr>
      </w:pPr>
      <w:r w:rsidRPr="0047313C">
        <w:rPr>
          <w:sz w:val="20"/>
          <w:szCs w:val="20"/>
        </w:rPr>
        <w:t xml:space="preserve">A sociedade civil é terreno de organização de sociabilidades, de embates culturais que, embora, pareçam situados além do âmbito de extração de mais-valia, deitam suas raízes na produção, a justificam ou a contestam. Tais conflitos ocorrem muitas vezes entre setores e frações da classe dominante, quando um dado segmento busca suplantar os demais e, por vezes, apela a outros grupos sociais em disputa particular. Ao mesmo tempo, contudo, expressam a própria luta entre as classes. </w:t>
      </w:r>
    </w:p>
    <w:p w14:paraId="61EB8FD5" w14:textId="77777777" w:rsidR="00612841" w:rsidRPr="0047313C" w:rsidRDefault="00612841" w:rsidP="00612841">
      <w:pPr>
        <w:spacing w:line="240" w:lineRule="auto"/>
        <w:ind w:left="2268"/>
        <w:jc w:val="both"/>
        <w:rPr>
          <w:sz w:val="20"/>
          <w:szCs w:val="20"/>
        </w:rPr>
      </w:pPr>
    </w:p>
    <w:p w14:paraId="24F9C269" w14:textId="77777777" w:rsidR="00612841" w:rsidRPr="0047313C" w:rsidRDefault="00612841" w:rsidP="00612841">
      <w:pPr>
        <w:spacing w:line="240" w:lineRule="auto"/>
        <w:ind w:left="2268"/>
        <w:jc w:val="both"/>
        <w:rPr>
          <w:sz w:val="20"/>
          <w:szCs w:val="20"/>
        </w:rPr>
      </w:pPr>
    </w:p>
    <w:p w14:paraId="1CA3FC6E" w14:textId="14331FA5" w:rsidR="00612841" w:rsidRPr="0047313C" w:rsidRDefault="00612841" w:rsidP="00612841">
      <w:pPr>
        <w:spacing w:line="360" w:lineRule="auto"/>
        <w:ind w:firstLine="709"/>
        <w:jc w:val="both"/>
        <w:rPr>
          <w:sz w:val="24"/>
          <w:szCs w:val="24"/>
        </w:rPr>
      </w:pPr>
      <w:r w:rsidRPr="0047313C">
        <w:rPr>
          <w:sz w:val="24"/>
          <w:szCs w:val="24"/>
        </w:rPr>
        <w:t xml:space="preserve"> Ora, se o espaço da sociedade civil é considerado como um espaço onde as classes ou frações de classes se organizam e o da sociedade política, espaço onde os órgãos públicos ou agências disputam projetos emanados dos aparelhos privados de hegemonia, dos quais a sociedade civil é portadora </w:t>
      </w:r>
      <w:proofErr w:type="spellStart"/>
      <w:r w:rsidRPr="0047313C">
        <w:rPr>
          <w:sz w:val="24"/>
          <w:szCs w:val="24"/>
        </w:rPr>
        <w:t>è</w:t>
      </w:r>
      <w:proofErr w:type="spellEnd"/>
      <w:r w:rsidRPr="0047313C">
        <w:rPr>
          <w:sz w:val="24"/>
          <w:szCs w:val="24"/>
        </w:rPr>
        <w:t xml:space="preserve"> necessário, apreender a conexão entre ambas para análise de qualquer política pública, incluindo a política educacional, na medida em que o Estado assume em conjunto com a sociedade civil, a tarefa de fazer a formação da classe trabalhadora, ocorre que como o Estado é perpassado de diversas relações de força, esse processo não ocorre sem lutas. </w:t>
      </w:r>
    </w:p>
    <w:p w14:paraId="5A17C9F9" w14:textId="7AB195B1" w:rsidR="00612841" w:rsidRPr="0047313C" w:rsidRDefault="00612841" w:rsidP="00612841">
      <w:pPr>
        <w:spacing w:line="360" w:lineRule="auto"/>
        <w:ind w:firstLine="709"/>
        <w:jc w:val="both"/>
        <w:rPr>
          <w:sz w:val="24"/>
          <w:szCs w:val="24"/>
        </w:rPr>
      </w:pPr>
      <w:r w:rsidRPr="0047313C">
        <w:rPr>
          <w:sz w:val="24"/>
          <w:szCs w:val="24"/>
        </w:rPr>
        <w:t xml:space="preserve">A partir dessa compreensão, entendemos que para analisarmos o papel do Estado na elaboração e implementação das políticas públicas </w:t>
      </w:r>
      <w:r w:rsidRPr="0047313C">
        <w:rPr>
          <w:i/>
          <w:sz w:val="24"/>
          <w:szCs w:val="24"/>
        </w:rPr>
        <w:t xml:space="preserve">é necessário tomá-las enquanto resultado do embate entre frações das diferentes classes, em disputas pelos seus projetos junto às agências ou </w:t>
      </w:r>
      <w:proofErr w:type="spellStart"/>
      <w:r w:rsidRPr="0047313C">
        <w:rPr>
          <w:i/>
          <w:sz w:val="24"/>
          <w:szCs w:val="24"/>
        </w:rPr>
        <w:t>orgãos</w:t>
      </w:r>
      <w:proofErr w:type="spellEnd"/>
      <w:r w:rsidRPr="0047313C">
        <w:rPr>
          <w:i/>
          <w:sz w:val="24"/>
          <w:szCs w:val="24"/>
        </w:rPr>
        <w:t xml:space="preserve"> do Estado no seu sentido restrito (MENDONÇA, 2007, p16) .</w:t>
      </w:r>
      <w:r w:rsidRPr="0047313C">
        <w:rPr>
          <w:sz w:val="24"/>
          <w:szCs w:val="24"/>
        </w:rPr>
        <w:t>Essa expressão do Estado como</w:t>
      </w:r>
      <w:r w:rsidRPr="0047313C">
        <w:rPr>
          <w:rFonts w:eastAsia="Calibri"/>
          <w:sz w:val="24"/>
          <w:szCs w:val="24"/>
        </w:rPr>
        <w:t xml:space="preserve"> condensação/expressão da correlação de forças existentes</w:t>
      </w:r>
      <w:r w:rsidRPr="0047313C">
        <w:rPr>
          <w:sz w:val="24"/>
          <w:szCs w:val="24"/>
        </w:rPr>
        <w:t xml:space="preserve"> na sociedade de classe, constitui território de luta</w:t>
      </w:r>
      <w:r w:rsidRPr="0047313C">
        <w:rPr>
          <w:rFonts w:eastAsia="Calibri"/>
          <w:sz w:val="24"/>
          <w:szCs w:val="24"/>
        </w:rPr>
        <w:t xml:space="preserve"> entre as classes sociais</w:t>
      </w:r>
      <w:r w:rsidRPr="0047313C">
        <w:rPr>
          <w:sz w:val="24"/>
          <w:szCs w:val="24"/>
        </w:rPr>
        <w:t xml:space="preserve"> no âmbito da luta de classes.</w:t>
      </w:r>
    </w:p>
    <w:p w14:paraId="5DAC3045" w14:textId="0547AF28" w:rsidR="00612841" w:rsidRPr="0047313C" w:rsidRDefault="00612841" w:rsidP="00612841">
      <w:pPr>
        <w:spacing w:line="360" w:lineRule="auto"/>
        <w:ind w:firstLine="709"/>
        <w:jc w:val="both"/>
        <w:rPr>
          <w:sz w:val="24"/>
          <w:szCs w:val="24"/>
        </w:rPr>
      </w:pPr>
      <w:proofErr w:type="spellStart"/>
      <w:r w:rsidRPr="0047313C">
        <w:rPr>
          <w:sz w:val="24"/>
          <w:szCs w:val="24"/>
        </w:rPr>
        <w:t>Harnecker</w:t>
      </w:r>
      <w:proofErr w:type="spellEnd"/>
      <w:r w:rsidRPr="0047313C">
        <w:rPr>
          <w:sz w:val="24"/>
          <w:szCs w:val="24"/>
        </w:rPr>
        <w:t xml:space="preserve"> (1971) define a luta de classes como o confronto que se produz entre duas classes antagônicas quando lutam por seus interesses de </w:t>
      </w:r>
      <w:r w:rsidRPr="0047313C">
        <w:rPr>
          <w:rFonts w:eastAsia="Calibri"/>
          <w:sz w:val="24"/>
          <w:szCs w:val="24"/>
        </w:rPr>
        <w:t>classe</w:t>
      </w:r>
      <w:r w:rsidRPr="0047313C">
        <w:rPr>
          <w:sz w:val="24"/>
          <w:szCs w:val="24"/>
        </w:rPr>
        <w:t xml:space="preserve"> e por vezes conflitantes, entre frações de uma mesma classe. Todavia, a luta de classes se expressa de diferentes formas em diferentes momentos históricos, bem como lembra </w:t>
      </w:r>
      <w:proofErr w:type="spellStart"/>
      <w:r w:rsidRPr="0047313C">
        <w:rPr>
          <w:sz w:val="24"/>
          <w:szCs w:val="24"/>
        </w:rPr>
        <w:lastRenderedPageBreak/>
        <w:t>Losurdo</w:t>
      </w:r>
      <w:proofErr w:type="spellEnd"/>
      <w:r w:rsidRPr="0047313C">
        <w:rPr>
          <w:sz w:val="24"/>
          <w:szCs w:val="24"/>
        </w:rPr>
        <w:t xml:space="preserve"> (2015), ela também nunca, ou quase nunca de apresenta em estado puro, quase nunca se limita a envolver os sujeitos diretamente antagônicos, é justamente por essa ausência de pureza que ela pode desembocar em uma revolução social. </w:t>
      </w:r>
    </w:p>
    <w:p w14:paraId="31C4A69A" w14:textId="77777777" w:rsidR="00612841" w:rsidRPr="0047313C" w:rsidRDefault="00612841" w:rsidP="00612841">
      <w:pPr>
        <w:spacing w:line="360" w:lineRule="auto"/>
        <w:ind w:firstLine="709"/>
        <w:jc w:val="both"/>
        <w:rPr>
          <w:sz w:val="24"/>
          <w:szCs w:val="24"/>
        </w:rPr>
      </w:pPr>
    </w:p>
    <w:p w14:paraId="60382C1F" w14:textId="5BE70123" w:rsidR="00612841" w:rsidRPr="0047313C" w:rsidRDefault="00612841" w:rsidP="00612841">
      <w:pPr>
        <w:pStyle w:val="PargrafodaLista"/>
        <w:numPr>
          <w:ilvl w:val="0"/>
          <w:numId w:val="1"/>
        </w:numPr>
        <w:spacing w:after="0" w:line="360" w:lineRule="auto"/>
        <w:jc w:val="both"/>
        <w:rPr>
          <w:rFonts w:ascii="Arial" w:hAnsi="Arial" w:cs="Arial"/>
          <w:b/>
          <w:sz w:val="24"/>
          <w:szCs w:val="24"/>
        </w:rPr>
      </w:pPr>
      <w:r w:rsidRPr="0047313C">
        <w:rPr>
          <w:rFonts w:ascii="Arial" w:hAnsi="Arial" w:cs="Arial"/>
          <w:b/>
          <w:sz w:val="24"/>
          <w:szCs w:val="24"/>
        </w:rPr>
        <w:t xml:space="preserve">Estados, Movimentos Sociais e Políticas Públicas  </w:t>
      </w:r>
    </w:p>
    <w:p w14:paraId="66019AB8" w14:textId="77777777" w:rsidR="00612841" w:rsidRPr="0047313C" w:rsidRDefault="00612841" w:rsidP="00612841">
      <w:pPr>
        <w:spacing w:line="360" w:lineRule="auto"/>
        <w:ind w:firstLine="709"/>
        <w:jc w:val="both"/>
        <w:rPr>
          <w:sz w:val="24"/>
          <w:szCs w:val="24"/>
        </w:rPr>
      </w:pPr>
    </w:p>
    <w:p w14:paraId="66996F8A" w14:textId="26280125" w:rsidR="00612841" w:rsidRPr="0047313C" w:rsidRDefault="00612841" w:rsidP="00612841">
      <w:pPr>
        <w:spacing w:line="360" w:lineRule="auto"/>
        <w:ind w:firstLine="709"/>
        <w:jc w:val="both"/>
        <w:rPr>
          <w:sz w:val="24"/>
          <w:szCs w:val="24"/>
        </w:rPr>
      </w:pPr>
      <w:r w:rsidRPr="0047313C">
        <w:rPr>
          <w:sz w:val="24"/>
          <w:szCs w:val="24"/>
        </w:rPr>
        <w:t xml:space="preserve">Na relação do Estado com as políticas públicas, é preciso não esquecer que a luta se trava com o Estado de natureza capitalista que é atravessado por contradições políticas de variadas formas e a dinâmica entre capital e trabalho se </w:t>
      </w:r>
      <w:proofErr w:type="spellStart"/>
      <w:r w:rsidRPr="0047313C">
        <w:rPr>
          <w:sz w:val="24"/>
          <w:szCs w:val="24"/>
        </w:rPr>
        <w:t>fazerm</w:t>
      </w:r>
      <w:proofErr w:type="spellEnd"/>
      <w:r w:rsidRPr="0047313C">
        <w:rPr>
          <w:sz w:val="24"/>
          <w:szCs w:val="24"/>
        </w:rPr>
        <w:t xml:space="preserve"> representar dentro do Estado. Dessa forma,</w:t>
      </w:r>
    </w:p>
    <w:p w14:paraId="2758F426" w14:textId="7DCA4610" w:rsidR="00612841" w:rsidRPr="0047313C" w:rsidRDefault="00612841" w:rsidP="00612841">
      <w:pPr>
        <w:spacing w:line="240" w:lineRule="auto"/>
        <w:ind w:left="2268"/>
        <w:jc w:val="both"/>
        <w:rPr>
          <w:sz w:val="20"/>
          <w:szCs w:val="20"/>
        </w:rPr>
      </w:pPr>
      <w:r w:rsidRPr="0047313C">
        <w:rPr>
          <w:sz w:val="20"/>
          <w:szCs w:val="20"/>
        </w:rPr>
        <w:t xml:space="preserve"> O Estado é capitalista porque sua forma estrutura as relações de produção do capital. Por isso, deve entender a ligação entre Estado e capitalismo como intrínseca não por razão de um domínio imediato do aparelho estatal pela classe burguesa, mais sim, por razões estruturais (MASCAVO, 2013, p59).</w:t>
      </w:r>
    </w:p>
    <w:p w14:paraId="1A9B28AE" w14:textId="77777777" w:rsidR="00612841" w:rsidRPr="0047313C" w:rsidRDefault="00612841" w:rsidP="00612841">
      <w:pPr>
        <w:spacing w:line="360" w:lineRule="auto"/>
        <w:jc w:val="both"/>
        <w:rPr>
          <w:sz w:val="24"/>
          <w:szCs w:val="24"/>
        </w:rPr>
      </w:pPr>
    </w:p>
    <w:p w14:paraId="4D744AA4" w14:textId="77777777" w:rsidR="00612841" w:rsidRPr="0047313C" w:rsidRDefault="00612841" w:rsidP="00612841">
      <w:pPr>
        <w:spacing w:line="360" w:lineRule="auto"/>
        <w:ind w:firstLine="709"/>
        <w:jc w:val="both"/>
        <w:rPr>
          <w:sz w:val="24"/>
          <w:szCs w:val="24"/>
        </w:rPr>
      </w:pPr>
      <w:r w:rsidRPr="0047313C">
        <w:rPr>
          <w:sz w:val="24"/>
          <w:szCs w:val="24"/>
        </w:rPr>
        <w:t xml:space="preserve">No que tange a formação do Estado Brasileiro, </w:t>
      </w:r>
      <w:proofErr w:type="spellStart"/>
      <w:r w:rsidRPr="0047313C">
        <w:rPr>
          <w:rFonts w:eastAsia="Calibri"/>
          <w:color w:val="000000"/>
          <w:sz w:val="24"/>
          <w:szCs w:val="24"/>
        </w:rPr>
        <w:t>Dreifus</w:t>
      </w:r>
      <w:proofErr w:type="spellEnd"/>
      <w:r w:rsidRPr="0047313C">
        <w:rPr>
          <w:rFonts w:eastAsia="Calibri"/>
          <w:color w:val="000000"/>
          <w:sz w:val="24"/>
          <w:szCs w:val="24"/>
        </w:rPr>
        <w:t xml:space="preserve"> (1989) lembra que, </w:t>
      </w:r>
      <w:r w:rsidRPr="0047313C">
        <w:rPr>
          <w:sz w:val="24"/>
          <w:szCs w:val="24"/>
        </w:rPr>
        <w:t>o Estado brasileiro se estruturou num processo de convergência político- dialógica com os setores dominantes, consolidando-se como patrimônio exclusivo da elite e a exclusão da participação popular, visando garantir a submissão ideológica e política, por exemplo, com a rejeição da maioridade política da população.</w:t>
      </w:r>
    </w:p>
    <w:p w14:paraId="01604E99" w14:textId="171C867A" w:rsidR="00612841" w:rsidRPr="0047313C" w:rsidRDefault="00612841" w:rsidP="00612841">
      <w:pPr>
        <w:spacing w:line="360" w:lineRule="auto"/>
        <w:ind w:firstLine="709"/>
        <w:jc w:val="both"/>
        <w:rPr>
          <w:sz w:val="24"/>
          <w:szCs w:val="24"/>
        </w:rPr>
      </w:pPr>
      <w:r w:rsidRPr="0047313C">
        <w:rPr>
          <w:sz w:val="24"/>
          <w:szCs w:val="24"/>
        </w:rPr>
        <w:t xml:space="preserve">Portanto, sua analise ainda é mais desafiadora, considerando que a formação </w:t>
      </w:r>
      <w:r w:rsidRPr="0047313C">
        <w:rPr>
          <w:rFonts w:eastAsia="Calibri"/>
          <w:color w:val="000000"/>
          <w:sz w:val="24"/>
          <w:szCs w:val="24"/>
        </w:rPr>
        <w:t xml:space="preserve">social brasileira se deu baseada no tripé latifúndio, escravidão, estado colonizador, ora religioso, ora laico, hoje, perceptível pela transformação decorrente do agronegócio de exportação, monocultura, financeirização, industrialização, comercialização, implicadores de violência, pobreza e expulsão de famílias (homens, jovens e as mulheres) do campo. Nesse sentido, </w:t>
      </w:r>
    </w:p>
    <w:p w14:paraId="66B3EEF7" w14:textId="77777777" w:rsidR="00612841" w:rsidRPr="0047313C" w:rsidRDefault="00612841" w:rsidP="00612841">
      <w:pPr>
        <w:autoSpaceDE w:val="0"/>
        <w:autoSpaceDN w:val="0"/>
        <w:adjustRightInd w:val="0"/>
        <w:spacing w:line="240" w:lineRule="auto"/>
        <w:ind w:left="2268"/>
        <w:jc w:val="both"/>
        <w:rPr>
          <w:sz w:val="20"/>
          <w:szCs w:val="20"/>
          <w:highlight w:val="yellow"/>
        </w:rPr>
      </w:pPr>
      <w:r w:rsidRPr="0047313C">
        <w:rPr>
          <w:sz w:val="20"/>
          <w:szCs w:val="20"/>
        </w:rPr>
        <w:t xml:space="preserve">A interpretação da formação e da transformação da sociedade brasileira na perspectiva da sociedade de classes revela nexos e movimentos fundamentais do Brasil-Nação, uma história atravessada por lutas sociais e rupturas históricas. E aponta para o projeto de ‘socialismo’, como </w:t>
      </w:r>
      <w:proofErr w:type="spellStart"/>
      <w:r w:rsidRPr="0047313C">
        <w:rPr>
          <w:sz w:val="20"/>
          <w:szCs w:val="20"/>
        </w:rPr>
        <w:t>idéia</w:t>
      </w:r>
      <w:proofErr w:type="spellEnd"/>
      <w:r w:rsidRPr="0047313C">
        <w:rPr>
          <w:sz w:val="20"/>
          <w:szCs w:val="20"/>
        </w:rPr>
        <w:t xml:space="preserve"> e prática, reivindicações e lutas, a caminho da democracia política e social. Sob vários aspectos, o projeto de ‘socialismo nacional’ tem raízes em momentos cruciais da história brasileira; e está desafiado a recriar-se, quando está em </w:t>
      </w:r>
      <w:r w:rsidRPr="0047313C">
        <w:rPr>
          <w:sz w:val="20"/>
          <w:szCs w:val="20"/>
        </w:rPr>
        <w:lastRenderedPageBreak/>
        <w:t>curso um novo ciclo de globalização do capitalismo, compreendendo a transnacionalização das classes e lutas de classes (IANNI, 1984, p. 57).</w:t>
      </w:r>
    </w:p>
    <w:p w14:paraId="1FE35A17" w14:textId="77777777" w:rsidR="00612841" w:rsidRPr="0047313C" w:rsidRDefault="00612841" w:rsidP="00612841">
      <w:pPr>
        <w:spacing w:line="360" w:lineRule="auto"/>
        <w:ind w:firstLine="709"/>
        <w:jc w:val="both"/>
        <w:rPr>
          <w:color w:val="000000"/>
          <w:sz w:val="24"/>
          <w:szCs w:val="24"/>
        </w:rPr>
      </w:pPr>
      <w:r w:rsidRPr="0047313C">
        <w:rPr>
          <w:color w:val="000000"/>
          <w:sz w:val="24"/>
          <w:szCs w:val="24"/>
        </w:rPr>
        <w:t xml:space="preserve"> </w:t>
      </w:r>
    </w:p>
    <w:p w14:paraId="7003F9EC" w14:textId="3C9A4D70" w:rsidR="00612841" w:rsidRPr="0047313C" w:rsidRDefault="00612841" w:rsidP="00612841">
      <w:pPr>
        <w:autoSpaceDE w:val="0"/>
        <w:autoSpaceDN w:val="0"/>
        <w:adjustRightInd w:val="0"/>
        <w:spacing w:line="360" w:lineRule="auto"/>
        <w:ind w:firstLine="709"/>
        <w:jc w:val="both"/>
        <w:rPr>
          <w:sz w:val="24"/>
          <w:szCs w:val="24"/>
        </w:rPr>
      </w:pPr>
      <w:r w:rsidRPr="0047313C">
        <w:rPr>
          <w:color w:val="000000"/>
          <w:sz w:val="24"/>
          <w:szCs w:val="24"/>
        </w:rPr>
        <w:t xml:space="preserve">Nessa mesma perspectiva de compreensão, para Oliveira (1999), </w:t>
      </w:r>
      <w:r w:rsidRPr="0047313C">
        <w:rPr>
          <w:sz w:val="24"/>
          <w:szCs w:val="24"/>
        </w:rPr>
        <w:t>A formação da sociedade brasileira, se a reconstituirmos pela interpretação de seus intelectuais ‘demiurgos’ a partir dos clássicos de Gilberto Freyre, Caio Prado Jr. Sérgio Buarque de Holanda, Machado de Assis, Celso Furtado e Florestan Fernandes, demonstra um processo complexo de violência, proibição da fala, mais modernamente privatização do público, interpretado por alguns como a categoria de patrimonialismo, revolução pelo alto, e incompatibilidade radical entre dominação burguesa e democracia, no que o autor denomina de anulação da política, do dissenso.</w:t>
      </w:r>
    </w:p>
    <w:p w14:paraId="6397BD35" w14:textId="4D1BA549" w:rsidR="00612841" w:rsidRPr="0047313C" w:rsidRDefault="00612841" w:rsidP="00612841">
      <w:pPr>
        <w:autoSpaceDE w:val="0"/>
        <w:autoSpaceDN w:val="0"/>
        <w:adjustRightInd w:val="0"/>
        <w:spacing w:line="360" w:lineRule="auto"/>
        <w:ind w:firstLine="709"/>
        <w:jc w:val="both"/>
        <w:rPr>
          <w:sz w:val="24"/>
          <w:szCs w:val="24"/>
        </w:rPr>
      </w:pPr>
      <w:r w:rsidRPr="0047313C">
        <w:rPr>
          <w:sz w:val="24"/>
          <w:szCs w:val="24"/>
        </w:rPr>
        <w:t>Fernandes, ao analisar a relação da Burguesa brasileira com o Estado destaca que, uma de suas particularidades está no fato de que ao contrário de outras burguesias, que forjaram instituições próprias de poder especificamente social e só usaram o Estado para arranjos mais complicados e específicos, “</w:t>
      </w:r>
      <w:r w:rsidRPr="0047313C">
        <w:rPr>
          <w:i/>
          <w:sz w:val="24"/>
          <w:szCs w:val="24"/>
        </w:rPr>
        <w:t xml:space="preserve">a nossa burguesia converge e faz sua unificação no plano político antes de converter a dominação </w:t>
      </w:r>
      <w:proofErr w:type="spellStart"/>
      <w:r w:rsidRPr="0047313C">
        <w:rPr>
          <w:i/>
          <w:sz w:val="24"/>
          <w:szCs w:val="24"/>
        </w:rPr>
        <w:t>sócio-econômica</w:t>
      </w:r>
      <w:proofErr w:type="spellEnd"/>
      <w:r w:rsidRPr="0047313C">
        <w:rPr>
          <w:i/>
          <w:sz w:val="24"/>
          <w:szCs w:val="24"/>
        </w:rPr>
        <w:t xml:space="preserve"> no poder político indireto”</w:t>
      </w:r>
      <w:r w:rsidRPr="0047313C">
        <w:rPr>
          <w:sz w:val="24"/>
          <w:szCs w:val="24"/>
        </w:rPr>
        <w:t xml:space="preserve"> (FERNANDES, 2006, p. 203).</w:t>
      </w:r>
    </w:p>
    <w:p w14:paraId="4F427870" w14:textId="2D502DA0" w:rsidR="00612841" w:rsidRPr="0047313C" w:rsidRDefault="00612841" w:rsidP="00612841">
      <w:pPr>
        <w:autoSpaceDE w:val="0"/>
        <w:autoSpaceDN w:val="0"/>
        <w:adjustRightInd w:val="0"/>
        <w:spacing w:line="360" w:lineRule="auto"/>
        <w:ind w:firstLine="709"/>
        <w:jc w:val="both"/>
        <w:rPr>
          <w:rFonts w:eastAsia="Calibri"/>
          <w:bCs/>
          <w:sz w:val="24"/>
          <w:szCs w:val="24"/>
        </w:rPr>
      </w:pPr>
      <w:r w:rsidRPr="0047313C">
        <w:rPr>
          <w:color w:val="000000"/>
          <w:sz w:val="24"/>
          <w:szCs w:val="24"/>
        </w:rPr>
        <w:t xml:space="preserve">Na compreensão de Mendonça (2007), a redefinição do Estado e, por extensão da própria sociedade civil realizada por Gramsci, demarca o território de um novo tipo de luta que pautar a batalha contra o capitalismo. Nesse sentido, a sociedade civil, erigia-se numa arma contra o capitalismo, o que pode ser constado através do seu conceito de guerra de posições. Para compreensão do estamos propondo, é importante entender </w:t>
      </w:r>
      <w:r w:rsidRPr="0047313C">
        <w:rPr>
          <w:rFonts w:eastAsia="Calibri"/>
          <w:bCs/>
          <w:sz w:val="24"/>
          <w:szCs w:val="24"/>
        </w:rPr>
        <w:t>a definição do que são as políticas públicas, cabe ressaltar, que na literatura existem diversos conceitos ou definições de políticas públicas, nesse texto, vamos partir do conceito definido como:</w:t>
      </w:r>
    </w:p>
    <w:p w14:paraId="441346E4" w14:textId="5FF67F71" w:rsidR="00612841" w:rsidRPr="0047313C" w:rsidRDefault="00612841" w:rsidP="00612841">
      <w:pPr>
        <w:pStyle w:val="WW-BodyText2"/>
        <w:spacing w:before="240" w:after="240"/>
        <w:ind w:left="2268" w:firstLine="0"/>
        <w:rPr>
          <w:rFonts w:cs="Arial"/>
        </w:rPr>
      </w:pPr>
      <w:r w:rsidRPr="0047313C">
        <w:rPr>
          <w:rFonts w:cs="Arial"/>
        </w:rPr>
        <w:t xml:space="preserve">[...] conjunto das decisões e ações relativas à alocação imperativa de valores. Nesse sentido é necessário distinguir entre política pública e decisão política. Uma política pública geralmente envolve mais do que uma decisão e requer diversas ações estrategicamente selecionadas para implementar as decisões tomadas. Já uma decisão política corresponde a uma escolha dentre um leque de alternativas, conforme a hierarquia das preferências dos atores envolvidos, expressando - em maior ou menor grau </w:t>
      </w:r>
      <w:r w:rsidRPr="0047313C">
        <w:rPr>
          <w:rFonts w:cs="Arial"/>
        </w:rPr>
        <w:noBreakHyphen/>
        <w:t xml:space="preserve"> uma certa adequação </w:t>
      </w:r>
      <w:r w:rsidRPr="0047313C">
        <w:rPr>
          <w:rFonts w:cs="Arial"/>
        </w:rPr>
        <w:lastRenderedPageBreak/>
        <w:t>entre os fins pretendidos e os meios disponíveis. Assim, embora uma política pública implique decisão política, nem toda decisão política chega a constituir uma política pública. Um exemplo encontra</w:t>
      </w:r>
      <w:r w:rsidRPr="0047313C">
        <w:rPr>
          <w:rFonts w:cs="Arial"/>
        </w:rPr>
        <w:noBreakHyphen/>
        <w:t>se na emenda constitucional para reeleição presidencial. Trata</w:t>
      </w:r>
      <w:r w:rsidRPr="0047313C">
        <w:rPr>
          <w:rFonts w:cs="Arial"/>
        </w:rPr>
        <w:noBreakHyphen/>
        <w:t xml:space="preserve">se de uma decisão, mas não de uma política pública. Já a privatização de estatais ou a reforma agrária são políticas públicas. </w:t>
      </w:r>
      <w:r w:rsidR="00716A90" w:rsidRPr="00716A90">
        <w:rPr>
          <w:rFonts w:ascii="ArialMT" w:eastAsia="Arial" w:hAnsi="ArialMT" w:cs="Arial"/>
          <w:color w:val="000000"/>
          <w:lang w:eastAsia="pt-BR"/>
        </w:rPr>
        <w:t>(RUA, 1998, p. 01)</w:t>
      </w:r>
    </w:p>
    <w:p w14:paraId="32936961" w14:textId="77777777" w:rsidR="00612841" w:rsidRPr="0047313C" w:rsidRDefault="00612841" w:rsidP="00612841">
      <w:pPr>
        <w:autoSpaceDE w:val="0"/>
        <w:autoSpaceDN w:val="0"/>
        <w:adjustRightInd w:val="0"/>
        <w:spacing w:line="360" w:lineRule="auto"/>
        <w:ind w:firstLine="1134"/>
        <w:jc w:val="both"/>
        <w:rPr>
          <w:sz w:val="24"/>
          <w:szCs w:val="24"/>
        </w:rPr>
      </w:pPr>
      <w:r w:rsidRPr="0047313C">
        <w:rPr>
          <w:rFonts w:eastAsia="Calibri"/>
          <w:sz w:val="24"/>
          <w:szCs w:val="24"/>
        </w:rPr>
        <w:t>É pertinente a diferenciação que a autora faz entre política e políticas públicas, isso evidencia o porquê é sempre conflituoso a escolha de uma determinada política pública em detrimento de outras, haja vista que essa escolha envolve diferentes interesses, a exemplo, da própria reforma agrária, tão necessária e pautada pelos movimentos sociais ora, retirada da pauta pelos governantes.</w:t>
      </w:r>
      <w:r w:rsidRPr="0047313C">
        <w:rPr>
          <w:rFonts w:eastAsia="Calibri"/>
        </w:rPr>
        <w:t xml:space="preserve"> </w:t>
      </w:r>
      <w:r w:rsidRPr="0047313C">
        <w:rPr>
          <w:rFonts w:eastAsia="Calibri"/>
          <w:sz w:val="24"/>
          <w:szCs w:val="24"/>
        </w:rPr>
        <w:t>Nesse sentido, segundo Behring e Boschetti (2006), as políticas sociais não são apenas espaços de confrontação de tomadas de decisão, mas constituem elementos de um processo complexo e contraditório de regulação política e econômica das relações sociais</w:t>
      </w:r>
      <w:r w:rsidRPr="0047313C">
        <w:rPr>
          <w:sz w:val="24"/>
          <w:szCs w:val="24"/>
        </w:rPr>
        <w:t>.</w:t>
      </w:r>
    </w:p>
    <w:p w14:paraId="5C3E6BD4" w14:textId="1B678B02" w:rsidR="00612841" w:rsidRPr="0047313C" w:rsidRDefault="00612841" w:rsidP="00612841">
      <w:pPr>
        <w:spacing w:line="360" w:lineRule="auto"/>
        <w:ind w:firstLine="1134"/>
        <w:jc w:val="both"/>
        <w:rPr>
          <w:rFonts w:eastAsia="Calibri"/>
          <w:sz w:val="24"/>
          <w:szCs w:val="24"/>
        </w:rPr>
      </w:pPr>
      <w:r w:rsidRPr="0047313C">
        <w:rPr>
          <w:rFonts w:eastAsia="Calibri"/>
          <w:sz w:val="24"/>
          <w:szCs w:val="24"/>
        </w:rPr>
        <w:t>De acordo com Silva (2001), os principais sujeitos do processo das políticas públicas que influenciam no movimento da formação da agenda governamental são os partidos políticos, a mídia e os grupos de pressão, como, por exemplo, os movimentos sociais, que exercem importante papel na garantia dos direitos. No caso da educação do campo, são os movimentos socais que vão exercer um papel determinante na colocação das políticas públicas de educação básica para a população camponesa na agenda governamental, de forma mais incisiva no final da década de 1990.</w:t>
      </w:r>
    </w:p>
    <w:p w14:paraId="61BB89B1" w14:textId="177FC4CF" w:rsidR="00612841" w:rsidRPr="0047313C" w:rsidRDefault="00612841" w:rsidP="00612841">
      <w:pPr>
        <w:pStyle w:val="NormalWeb"/>
        <w:shd w:val="clear" w:color="auto" w:fill="FFFFFF"/>
        <w:spacing w:before="0" w:beforeAutospacing="0" w:after="0" w:afterAutospacing="0" w:line="360" w:lineRule="auto"/>
        <w:ind w:firstLine="709"/>
        <w:jc w:val="both"/>
        <w:rPr>
          <w:rFonts w:ascii="Arial" w:hAnsi="Arial" w:cs="Arial"/>
        </w:rPr>
      </w:pPr>
      <w:r w:rsidRPr="0047313C">
        <w:rPr>
          <w:rFonts w:ascii="Arial" w:hAnsi="Arial" w:cs="Arial"/>
        </w:rPr>
        <w:t xml:space="preserve">O campo é o território onde nos defrontamos com o projeto do capital liderado pelo agronegócio e sua financeirização e o projeto camponês com seus povos tradicionais (indígenas, quilombolas, extrativistas, ribeirinhos, pequenos agricultores, sem-terra), que historicamente constituíram suas identidades, a sua cultura, a organização territorial sob a resistência contra o aparato repressivo e o desmonte de sua sociabilidade. Nesse sentido, falar das políticas educacionais para a população camponesa, não tem como fugir do embate no e com o Estado, pois este age por maio das políticas que adota com base no movimento da disputa em torno dos projetos em </w:t>
      </w:r>
      <w:r w:rsidRPr="0047313C">
        <w:rPr>
          <w:rFonts w:ascii="Arial" w:hAnsi="Arial" w:cs="Arial"/>
        </w:rPr>
        <w:lastRenderedPageBreak/>
        <w:t>disputas, é desse parâmetro que podemos identificar as contradições, que perpassam inclusive, as políticas públicas.</w:t>
      </w:r>
    </w:p>
    <w:p w14:paraId="729E37CB" w14:textId="7E120FD7" w:rsidR="00612841" w:rsidRPr="0047313C" w:rsidRDefault="00612841" w:rsidP="00612841">
      <w:pPr>
        <w:tabs>
          <w:tab w:val="left" w:pos="709"/>
        </w:tabs>
        <w:autoSpaceDE w:val="0"/>
        <w:autoSpaceDN w:val="0"/>
        <w:adjustRightInd w:val="0"/>
        <w:spacing w:line="360" w:lineRule="auto"/>
        <w:ind w:firstLine="1134"/>
        <w:jc w:val="both"/>
        <w:rPr>
          <w:rFonts w:eastAsia="Calibri"/>
          <w:sz w:val="24"/>
          <w:szCs w:val="24"/>
        </w:rPr>
      </w:pPr>
      <w:r w:rsidRPr="0047313C">
        <w:rPr>
          <w:rFonts w:eastAsia="Calibri"/>
          <w:sz w:val="24"/>
          <w:szCs w:val="24"/>
        </w:rPr>
        <w:t>Convém ressaltar que a luta por inserção de políticas pública para a educação do campo, tem como ponto inicial a realização da I Conferência Nacional Por Uma Educação do Campo. Na apresentação do texto base da Conferência, é mencionado que: em defesa de políticas públicas de educação do campo, os movimentos sociais carregam a bandeira de luta popular pela escola pública como direito social e humano e como dever do Estado (ARROYO; CALDART; MOLINA, 1999).</w:t>
      </w:r>
    </w:p>
    <w:p w14:paraId="3ACF678C" w14:textId="1F93BA98" w:rsidR="00612841" w:rsidRPr="0047313C" w:rsidRDefault="00612841" w:rsidP="00612841">
      <w:pPr>
        <w:spacing w:line="360" w:lineRule="auto"/>
        <w:ind w:firstLine="709"/>
        <w:jc w:val="both"/>
        <w:rPr>
          <w:sz w:val="24"/>
          <w:szCs w:val="24"/>
        </w:rPr>
      </w:pPr>
      <w:r w:rsidRPr="0047313C">
        <w:rPr>
          <w:sz w:val="24"/>
          <w:szCs w:val="24"/>
        </w:rPr>
        <w:t xml:space="preserve"> É assim, que no plano da política de educação para a população do campo, enquanto ação do Estado e de governos, cada governo que se sucede no poder do Aparelho de Estado anuncia pacotes de políticas educacionais de acordo com os interesses do capital. Nesse movimento, é importante prestamos atenção, as investidas das classes dominantes do campo na educação, tendo em vista que há um claro interesse em apropriar-se do discurso pela defesa da educação dos trabalhadores rurais no campo, no sentido de afirmar ou confundir à sociedade que os representantes do agronegócio também estão empenhados em superar as desigualdades educacionais, cessar o fechamento de escolas no campo. </w:t>
      </w:r>
    </w:p>
    <w:p w14:paraId="41C448FD" w14:textId="681DB750" w:rsidR="00612841" w:rsidRPr="0047313C" w:rsidRDefault="00612841" w:rsidP="00612841">
      <w:pPr>
        <w:pStyle w:val="NormalWeb"/>
        <w:spacing w:before="0" w:beforeAutospacing="0" w:after="0" w:afterAutospacing="0" w:line="360" w:lineRule="auto"/>
        <w:ind w:firstLine="709"/>
        <w:jc w:val="both"/>
        <w:rPr>
          <w:rFonts w:ascii="Arial" w:hAnsi="Arial" w:cs="Arial"/>
        </w:rPr>
      </w:pPr>
      <w:r w:rsidRPr="0047313C">
        <w:rPr>
          <w:rFonts w:ascii="Arial" w:hAnsi="Arial" w:cs="Arial"/>
        </w:rPr>
        <w:t xml:space="preserve">Para se contrapor essa lógica perversa, os movimentos sociais do campo, lutam por </w:t>
      </w:r>
      <w:r w:rsidR="00D424E2" w:rsidRPr="0047313C">
        <w:rPr>
          <w:rFonts w:ascii="Arial" w:hAnsi="Arial" w:cs="Arial"/>
        </w:rPr>
        <w:t>políticas</w:t>
      </w:r>
      <w:r w:rsidRPr="0047313C">
        <w:rPr>
          <w:rFonts w:ascii="Arial" w:hAnsi="Arial" w:cs="Arial"/>
        </w:rPr>
        <w:t xml:space="preserve"> públicas, a exemplo, do Programa Nacional de Educação na Reforma Agrária- PRONERA e das </w:t>
      </w:r>
      <w:r w:rsidR="00D424E2" w:rsidRPr="0047313C">
        <w:rPr>
          <w:rFonts w:ascii="Arial" w:hAnsi="Arial" w:cs="Arial"/>
        </w:rPr>
        <w:t>Licenciaturas</w:t>
      </w:r>
      <w:r w:rsidRPr="0047313C">
        <w:rPr>
          <w:rFonts w:ascii="Arial" w:hAnsi="Arial" w:cs="Arial"/>
        </w:rPr>
        <w:t xml:space="preserve"> em Educação do Campo, ao mesmo tempo, que conquistaram essas importantes </w:t>
      </w:r>
      <w:r w:rsidR="00D424E2" w:rsidRPr="0047313C">
        <w:rPr>
          <w:rFonts w:ascii="Arial" w:hAnsi="Arial" w:cs="Arial"/>
        </w:rPr>
        <w:t>políticas</w:t>
      </w:r>
      <w:r w:rsidRPr="0047313C">
        <w:rPr>
          <w:rFonts w:ascii="Arial" w:hAnsi="Arial" w:cs="Arial"/>
        </w:rPr>
        <w:t xml:space="preserve"> educacionais, sobretudo, o PRONERA, tem enfrentado e continuam enfrentando vários tipos de obstáculos que engloba deste os cortes orçamentários, tentativas de reformulação os </w:t>
      </w:r>
      <w:r w:rsidR="00D424E2" w:rsidRPr="0047313C">
        <w:rPr>
          <w:rFonts w:ascii="Arial" w:hAnsi="Arial" w:cs="Arial"/>
        </w:rPr>
        <w:t>princípios</w:t>
      </w:r>
      <w:r w:rsidRPr="0047313C">
        <w:rPr>
          <w:rFonts w:ascii="Arial" w:hAnsi="Arial" w:cs="Arial"/>
        </w:rPr>
        <w:t xml:space="preserve">, objetivos e </w:t>
      </w:r>
      <w:proofErr w:type="spellStart"/>
      <w:r w:rsidR="00D424E2" w:rsidRPr="0047313C">
        <w:rPr>
          <w:rFonts w:ascii="Arial" w:hAnsi="Arial" w:cs="Arial"/>
        </w:rPr>
        <w:t>conteúdos</w:t>
      </w:r>
      <w:proofErr w:type="spellEnd"/>
      <w:r w:rsidRPr="0047313C">
        <w:rPr>
          <w:rFonts w:ascii="Arial" w:hAnsi="Arial" w:cs="Arial"/>
        </w:rPr>
        <w:t xml:space="preserve"> do seu </w:t>
      </w:r>
      <w:r w:rsidR="00D424E2" w:rsidRPr="0047313C">
        <w:rPr>
          <w:rFonts w:ascii="Arial" w:hAnsi="Arial" w:cs="Arial"/>
        </w:rPr>
        <w:t>político</w:t>
      </w:r>
      <w:r w:rsidRPr="0047313C">
        <w:rPr>
          <w:rFonts w:ascii="Arial" w:hAnsi="Arial" w:cs="Arial"/>
        </w:rPr>
        <w:t xml:space="preserve">-pedagógico, além das sucessivas tentativas de esvaziamento dessa importante </w:t>
      </w:r>
      <w:r w:rsidR="00D424E2" w:rsidRPr="0047313C">
        <w:rPr>
          <w:rFonts w:ascii="Arial" w:hAnsi="Arial" w:cs="Arial"/>
        </w:rPr>
        <w:t>política</w:t>
      </w:r>
      <w:r w:rsidRPr="0047313C">
        <w:rPr>
          <w:rFonts w:ascii="Arial" w:hAnsi="Arial" w:cs="Arial"/>
        </w:rPr>
        <w:t xml:space="preserve"> pública construídas com intensa participação dos movimentos sociais e organizações sindicais do campo. </w:t>
      </w:r>
    </w:p>
    <w:p w14:paraId="2230F7AA" w14:textId="6840BC49" w:rsidR="00612841" w:rsidRPr="0047313C" w:rsidRDefault="00612841" w:rsidP="00612841">
      <w:pPr>
        <w:pStyle w:val="NormalWeb"/>
        <w:spacing w:before="0" w:beforeAutospacing="0" w:after="0" w:afterAutospacing="0" w:line="360" w:lineRule="auto"/>
        <w:ind w:firstLine="709"/>
        <w:jc w:val="both"/>
        <w:rPr>
          <w:rFonts w:ascii="Arial" w:hAnsi="Arial" w:cs="Arial"/>
        </w:rPr>
      </w:pPr>
      <w:r w:rsidRPr="0047313C">
        <w:rPr>
          <w:rFonts w:ascii="Arial" w:hAnsi="Arial" w:cs="Arial"/>
        </w:rPr>
        <w:t xml:space="preserve"> Devemos prestar bastante atenção, nas interferências que os detentores do agronegócio estão fazendo na esfera das </w:t>
      </w:r>
      <w:r w:rsidR="00D424E2" w:rsidRPr="0047313C">
        <w:rPr>
          <w:rFonts w:ascii="Arial" w:hAnsi="Arial" w:cs="Arial"/>
        </w:rPr>
        <w:t>políticas</w:t>
      </w:r>
      <w:r w:rsidRPr="0047313C">
        <w:rPr>
          <w:rFonts w:ascii="Arial" w:hAnsi="Arial" w:cs="Arial"/>
        </w:rPr>
        <w:t xml:space="preserve"> educacionais para a população </w:t>
      </w:r>
      <w:r w:rsidRPr="0047313C">
        <w:rPr>
          <w:rFonts w:ascii="Arial" w:hAnsi="Arial" w:cs="Arial"/>
        </w:rPr>
        <w:lastRenderedPageBreak/>
        <w:t xml:space="preserve">camponesa como tentativas de esvaziamento do debate social e do próprio enfrentamento das situações em que se encontra o campo brasileiro e em especial do modelo de desenvolvimento do campo que tem agravado as desigualdades sociais. </w:t>
      </w:r>
    </w:p>
    <w:p w14:paraId="4B9A01DC" w14:textId="77777777" w:rsidR="00612841" w:rsidRPr="0047313C" w:rsidRDefault="00612841" w:rsidP="00612841">
      <w:pPr>
        <w:pStyle w:val="NormalWeb"/>
        <w:spacing w:before="0" w:beforeAutospacing="0" w:after="0" w:afterAutospacing="0" w:line="360" w:lineRule="auto"/>
        <w:ind w:firstLine="709"/>
        <w:jc w:val="both"/>
        <w:rPr>
          <w:rFonts w:ascii="Arial" w:hAnsi="Arial" w:cs="Arial"/>
          <w:color w:val="000000"/>
        </w:rPr>
      </w:pPr>
      <w:r w:rsidRPr="0047313C">
        <w:rPr>
          <w:rFonts w:ascii="Arial" w:hAnsi="Arial" w:cs="Arial"/>
        </w:rPr>
        <w:t xml:space="preserve">Para </w:t>
      </w:r>
      <w:proofErr w:type="spellStart"/>
      <w:r w:rsidRPr="0047313C">
        <w:rPr>
          <w:rFonts w:ascii="Arial" w:hAnsi="Arial" w:cs="Arial"/>
        </w:rPr>
        <w:t>Caldart</w:t>
      </w:r>
      <w:proofErr w:type="spellEnd"/>
      <w:r w:rsidRPr="0047313C">
        <w:rPr>
          <w:rFonts w:ascii="Arial" w:hAnsi="Arial" w:cs="Arial"/>
        </w:rPr>
        <w:t xml:space="preserve"> (2012), não é possível pensar um projeto de país, de nação, sem pensar um projeto de campo, um lugar social para seus sujeitos concretos, para seus processos produtivos, de trabalho, de cultura, de educação,</w:t>
      </w:r>
      <w:r w:rsidRPr="0047313C">
        <w:rPr>
          <w:rFonts w:ascii="Arial" w:hAnsi="Arial" w:cs="Arial"/>
          <w:color w:val="000000"/>
        </w:rPr>
        <w:t xml:space="preserve"> porque é destes sujeitos podem nascer experiências, alternativas, que contestam mais radicalmente a lógica social dominante, hegemônica e recolocam a perspectiva de construção social para “além do capital”.</w:t>
      </w:r>
    </w:p>
    <w:p w14:paraId="6E462B3D" w14:textId="667FA064" w:rsidR="00612841" w:rsidRPr="0047313C" w:rsidRDefault="00612841" w:rsidP="00612841">
      <w:pPr>
        <w:pStyle w:val="NormalWeb"/>
        <w:spacing w:before="0" w:beforeAutospacing="0" w:after="0" w:afterAutospacing="0" w:line="360" w:lineRule="auto"/>
        <w:ind w:firstLine="709"/>
        <w:jc w:val="both"/>
        <w:rPr>
          <w:rFonts w:ascii="Arial" w:hAnsi="Arial" w:cs="Arial"/>
          <w:color w:val="000000"/>
        </w:rPr>
      </w:pPr>
      <w:r w:rsidRPr="0047313C">
        <w:rPr>
          <w:rFonts w:ascii="Arial" w:hAnsi="Arial" w:cs="Arial"/>
          <w:color w:val="000000"/>
        </w:rPr>
        <w:t xml:space="preserve">Nessa perspectiva, na Educação do Campo o debate do campo precede o da educação ainda que o tempo todo se relacione com ele, pois debater sobre campo é fundamentalmente debater sobre o trabalho no campo articulado com a dimensão da cultura, vinculada às relações sociais e aos processos produtivos da existência social no campo. Isso demarca uma outra concepção de educação, que pensa a educação colada à vida real, suas contradições, sua historicidade; a pretender educar os sujeitos para um trabalho não alienado, para intervir nas circunstâncias objetivas que produzem o humano e que pensa a educação diferente de uma visão </w:t>
      </w:r>
      <w:r w:rsidR="00D424E2" w:rsidRPr="0047313C">
        <w:rPr>
          <w:rFonts w:ascii="Arial" w:hAnsi="Arial" w:cs="Arial"/>
          <w:color w:val="000000"/>
        </w:rPr>
        <w:t>pragmática</w:t>
      </w:r>
      <w:r w:rsidRPr="0047313C">
        <w:rPr>
          <w:rFonts w:ascii="Arial" w:hAnsi="Arial" w:cs="Arial"/>
          <w:color w:val="000000"/>
        </w:rPr>
        <w:t xml:space="preserve"> e </w:t>
      </w:r>
      <w:proofErr w:type="spellStart"/>
      <w:r w:rsidRPr="0047313C">
        <w:rPr>
          <w:rFonts w:ascii="Arial" w:hAnsi="Arial" w:cs="Arial"/>
          <w:color w:val="000000"/>
        </w:rPr>
        <w:t>instrumentalizadora</w:t>
      </w:r>
      <w:proofErr w:type="spellEnd"/>
      <w:r w:rsidRPr="0047313C">
        <w:rPr>
          <w:rFonts w:ascii="Arial" w:hAnsi="Arial" w:cs="Arial"/>
          <w:color w:val="000000"/>
        </w:rPr>
        <w:t>, colocada a serviço da classe dominante, como fez a chamada educação rural.</w:t>
      </w:r>
      <w:r w:rsidRPr="0047313C">
        <w:rPr>
          <w:rFonts w:ascii="Arial" w:hAnsi="Arial" w:cs="Arial"/>
        </w:rPr>
        <w:t xml:space="preserve"> (</w:t>
      </w:r>
      <w:proofErr w:type="spellStart"/>
      <w:r w:rsidRPr="0047313C">
        <w:rPr>
          <w:rFonts w:ascii="Arial" w:hAnsi="Arial" w:cs="Arial"/>
        </w:rPr>
        <w:t>Caldart</w:t>
      </w:r>
      <w:proofErr w:type="spellEnd"/>
      <w:r w:rsidRPr="0047313C">
        <w:rPr>
          <w:rFonts w:ascii="Arial" w:hAnsi="Arial" w:cs="Arial"/>
        </w:rPr>
        <w:t xml:space="preserve"> (2009),</w:t>
      </w:r>
    </w:p>
    <w:p w14:paraId="14F5A698" w14:textId="77777777" w:rsidR="00612841" w:rsidRPr="0047313C" w:rsidRDefault="00612841" w:rsidP="00612841">
      <w:pPr>
        <w:pStyle w:val="NormalWeb"/>
        <w:spacing w:before="0" w:beforeAutospacing="0" w:after="0" w:afterAutospacing="0" w:line="360" w:lineRule="auto"/>
        <w:ind w:firstLine="709"/>
        <w:jc w:val="both"/>
        <w:rPr>
          <w:rFonts w:ascii="Arial" w:hAnsi="Arial" w:cs="Arial"/>
          <w:color w:val="000000"/>
        </w:rPr>
      </w:pPr>
      <w:r w:rsidRPr="0047313C">
        <w:rPr>
          <w:rFonts w:ascii="Arial" w:hAnsi="Arial" w:cs="Arial"/>
        </w:rPr>
        <w:t>Portanto, as lutas e o debate da Educação do Campo sobre políticas públicas não podem centrar apenas na escola, ou nos processos de escolarização, assim como não se pode discutir a educação do campo como se fosse uma mera teoria pedagógica, pois, a</w:t>
      </w:r>
      <w:r w:rsidRPr="0047313C">
        <w:rPr>
          <w:rFonts w:ascii="Arial" w:hAnsi="Arial" w:cs="Arial"/>
          <w:color w:val="000000"/>
        </w:rPr>
        <w:t xml:space="preserve"> especificidade originária da Educação do Campo não está numa visão ou num projeto de escola, ainda que a escola que a escola tenha uma forma institucional e uma lógica de trabalhar com a educação que foi construída socialmente e que traz entranhados os mesmos condicionantes históricos das relações sociais que o projeto da Educação do Campo assume como desafio transformar.</w:t>
      </w:r>
      <w:r w:rsidRPr="0047313C">
        <w:rPr>
          <w:rFonts w:ascii="Arial" w:hAnsi="Arial" w:cs="Arial"/>
        </w:rPr>
        <w:t xml:space="preserve"> </w:t>
      </w:r>
      <w:proofErr w:type="spellStart"/>
      <w:r w:rsidRPr="0047313C">
        <w:rPr>
          <w:rFonts w:ascii="Arial" w:hAnsi="Arial" w:cs="Arial"/>
        </w:rPr>
        <w:t>Caldart</w:t>
      </w:r>
      <w:proofErr w:type="spellEnd"/>
      <w:r w:rsidRPr="0047313C">
        <w:rPr>
          <w:rFonts w:ascii="Arial" w:hAnsi="Arial" w:cs="Arial"/>
        </w:rPr>
        <w:t xml:space="preserve"> (2009),</w:t>
      </w:r>
    </w:p>
    <w:p w14:paraId="2F04CA32" w14:textId="15AD61B3" w:rsidR="00612841" w:rsidRPr="0047313C" w:rsidRDefault="00612841" w:rsidP="00612841">
      <w:pPr>
        <w:pStyle w:val="NormalWeb"/>
        <w:spacing w:before="0" w:beforeAutospacing="0" w:after="0" w:afterAutospacing="0" w:line="360" w:lineRule="auto"/>
        <w:ind w:firstLine="709"/>
        <w:jc w:val="both"/>
        <w:rPr>
          <w:rFonts w:ascii="Arial" w:hAnsi="Arial" w:cs="Arial"/>
          <w:color w:val="000000"/>
        </w:rPr>
      </w:pPr>
      <w:r w:rsidRPr="0047313C">
        <w:rPr>
          <w:rFonts w:ascii="Arial" w:hAnsi="Arial" w:cs="Arial"/>
          <w:color w:val="000000"/>
        </w:rPr>
        <w:t xml:space="preserve"> Para a autora supracitada, é </w:t>
      </w:r>
      <w:r w:rsidR="00D424E2" w:rsidRPr="0047313C">
        <w:rPr>
          <w:rFonts w:ascii="Arial" w:hAnsi="Arial" w:cs="Arial"/>
          <w:color w:val="000000"/>
        </w:rPr>
        <w:t>necessário</w:t>
      </w:r>
      <w:r w:rsidRPr="0047313C">
        <w:rPr>
          <w:rFonts w:ascii="Arial" w:hAnsi="Arial" w:cs="Arial"/>
          <w:color w:val="000000"/>
        </w:rPr>
        <w:t xml:space="preserve"> não perder de vista que</w:t>
      </w:r>
      <w:r w:rsidRPr="0047313C">
        <w:rPr>
          <w:rFonts w:ascii="Arial" w:hAnsi="Arial" w:cs="Arial"/>
          <w:b/>
          <w:color w:val="000000"/>
        </w:rPr>
        <w:t xml:space="preserve"> </w:t>
      </w:r>
      <w:r w:rsidRPr="0047313C">
        <w:rPr>
          <w:rFonts w:ascii="Arial" w:hAnsi="Arial" w:cs="Arial"/>
          <w:color w:val="000000"/>
        </w:rPr>
        <w:t xml:space="preserve">a materialidade de origem da educação do campo está nos processos formadores dos </w:t>
      </w:r>
      <w:r w:rsidRPr="0047313C">
        <w:rPr>
          <w:rFonts w:ascii="Arial" w:hAnsi="Arial" w:cs="Arial"/>
          <w:color w:val="000000"/>
        </w:rPr>
        <w:lastRenderedPageBreak/>
        <w:t xml:space="preserve">sujeitos coletivos da produção e das lutas sociais do campo. </w:t>
      </w:r>
      <w:r w:rsidR="00D424E2" w:rsidRPr="0047313C">
        <w:rPr>
          <w:rFonts w:ascii="Arial" w:hAnsi="Arial" w:cs="Arial"/>
          <w:color w:val="000000"/>
        </w:rPr>
        <w:t>É</w:t>
      </w:r>
      <w:r w:rsidRPr="0047313C">
        <w:rPr>
          <w:rFonts w:ascii="Arial" w:hAnsi="Arial" w:cs="Arial"/>
          <w:color w:val="000000"/>
        </w:rPr>
        <w:t xml:space="preserve"> </w:t>
      </w:r>
      <w:r w:rsidR="00D424E2" w:rsidRPr="0047313C">
        <w:rPr>
          <w:rFonts w:ascii="Arial" w:hAnsi="Arial" w:cs="Arial"/>
          <w:color w:val="000000"/>
        </w:rPr>
        <w:t>importante</w:t>
      </w:r>
      <w:r w:rsidRPr="0047313C">
        <w:rPr>
          <w:rFonts w:ascii="Arial" w:hAnsi="Arial" w:cs="Arial"/>
          <w:color w:val="000000"/>
        </w:rPr>
        <w:t xml:space="preserve"> lembrar que a subordinação de projetos </w:t>
      </w:r>
      <w:r w:rsidR="00D424E2" w:rsidRPr="0047313C">
        <w:rPr>
          <w:rFonts w:ascii="Arial" w:hAnsi="Arial" w:cs="Arial"/>
          <w:color w:val="000000"/>
        </w:rPr>
        <w:t>educativos</w:t>
      </w:r>
      <w:r w:rsidRPr="0047313C">
        <w:rPr>
          <w:rFonts w:ascii="Arial" w:hAnsi="Arial" w:cs="Arial"/>
          <w:color w:val="000000"/>
        </w:rPr>
        <w:t xml:space="preserve"> aos interesses da reprodução das relações capitalistas, geralmente, se </w:t>
      </w:r>
      <w:r w:rsidR="00D424E2" w:rsidRPr="0047313C">
        <w:rPr>
          <w:rFonts w:ascii="Arial" w:hAnsi="Arial" w:cs="Arial"/>
          <w:color w:val="000000"/>
        </w:rPr>
        <w:t>apresenta</w:t>
      </w:r>
      <w:r w:rsidRPr="0047313C">
        <w:rPr>
          <w:rFonts w:ascii="Arial" w:hAnsi="Arial" w:cs="Arial"/>
          <w:color w:val="000000"/>
        </w:rPr>
        <w:t xml:space="preserve"> de forma disfarçada sofisticadamente asséptica, despolitizada, sobretudo em tempos do aumento do conservadorismo. Isso porque como vimos o Estado brasileiro configura-se como o resultado de um amálgama entre o setor público e privado, capaz de impor, de cima para baixo, e de modo coercitivo normas e diretrizes sem levar em consideração a especificidade da população trabalhadora do campo.</w:t>
      </w:r>
    </w:p>
    <w:p w14:paraId="65CDA3BF" w14:textId="77777777" w:rsidR="00612841" w:rsidRPr="0047313C" w:rsidRDefault="00612841" w:rsidP="00612841">
      <w:pPr>
        <w:pStyle w:val="NormalWeb"/>
        <w:spacing w:before="0" w:beforeAutospacing="0" w:after="0" w:afterAutospacing="0" w:line="360" w:lineRule="auto"/>
        <w:ind w:firstLine="709"/>
        <w:jc w:val="both"/>
        <w:rPr>
          <w:rFonts w:ascii="Arial" w:hAnsi="Arial" w:cs="Arial"/>
          <w:color w:val="000000"/>
        </w:rPr>
      </w:pPr>
      <w:r w:rsidRPr="0047313C">
        <w:rPr>
          <w:rFonts w:ascii="Arial" w:hAnsi="Arial" w:cs="Arial"/>
        </w:rPr>
        <w:t>Quando se separa conhecimento de valores e de interesses sociais</w:t>
      </w:r>
      <w:r w:rsidRPr="0047313C">
        <w:rPr>
          <w:rFonts w:ascii="Arial" w:hAnsi="Arial" w:cs="Arial"/>
          <w:color w:val="000000"/>
        </w:rPr>
        <w:t>. O projeto educacional/cultural que sustenta o capitalismo não é colocado em discussão nos espaços educacionais, como a escola, por exemplo, porque se convence aos professores de que só importa discutir os métodos de instrução ou de ensino, ou as formas de apropriação de conhecimentos supostamente neutros, produzidos fora da história e para além de parâmetros sociais, éticos, humanos. Isso é politicamente e humanamente muito perverso.</w:t>
      </w:r>
    </w:p>
    <w:p w14:paraId="1D0FD073" w14:textId="261F5BF1" w:rsidR="00612841" w:rsidRPr="0047313C" w:rsidRDefault="00612841" w:rsidP="00612841">
      <w:pPr>
        <w:pStyle w:val="NormalWeb"/>
        <w:spacing w:before="0" w:beforeAutospacing="0" w:after="0" w:afterAutospacing="0" w:line="360" w:lineRule="auto"/>
        <w:ind w:firstLine="709"/>
        <w:jc w:val="both"/>
        <w:rPr>
          <w:rFonts w:ascii="Arial" w:hAnsi="Arial" w:cs="Arial"/>
          <w:color w:val="000000"/>
        </w:rPr>
      </w:pPr>
      <w:r w:rsidRPr="0047313C">
        <w:rPr>
          <w:rFonts w:ascii="Arial" w:hAnsi="Arial" w:cs="Arial"/>
          <w:color w:val="000000" w:themeColor="text1"/>
        </w:rPr>
        <w:t xml:space="preserve">Por fim, e considerando que </w:t>
      </w:r>
      <w:r w:rsidRPr="0047313C">
        <w:rPr>
          <w:rFonts w:ascii="Arial" w:hAnsi="Arial" w:cs="Arial"/>
          <w:color w:val="000000"/>
        </w:rPr>
        <w:t xml:space="preserve">na sociedade de classe, a educação se apresenta como um território de disputas e vive o dilema: educar na </w:t>
      </w:r>
      <w:r w:rsidR="00D424E2" w:rsidRPr="0047313C">
        <w:rPr>
          <w:rFonts w:ascii="Arial" w:hAnsi="Arial" w:cs="Arial"/>
          <w:color w:val="000000"/>
        </w:rPr>
        <w:t>perspectiva</w:t>
      </w:r>
      <w:r w:rsidRPr="0047313C">
        <w:rPr>
          <w:rFonts w:ascii="Arial" w:hAnsi="Arial" w:cs="Arial"/>
          <w:color w:val="000000"/>
        </w:rPr>
        <w:t xml:space="preserve"> da </w:t>
      </w:r>
      <w:r w:rsidR="00D424E2" w:rsidRPr="0047313C">
        <w:rPr>
          <w:rFonts w:ascii="Arial" w:hAnsi="Arial" w:cs="Arial"/>
          <w:color w:val="000000"/>
        </w:rPr>
        <w:t>ideologia</w:t>
      </w:r>
      <w:r w:rsidRPr="0047313C">
        <w:rPr>
          <w:rFonts w:ascii="Arial" w:hAnsi="Arial" w:cs="Arial"/>
          <w:color w:val="000000"/>
        </w:rPr>
        <w:t xml:space="preserve"> dominante ou </w:t>
      </w:r>
      <w:r w:rsidR="00D424E2" w:rsidRPr="0047313C">
        <w:rPr>
          <w:rFonts w:ascii="Arial" w:hAnsi="Arial" w:cs="Arial"/>
          <w:color w:val="000000"/>
        </w:rPr>
        <w:t>apontar</w:t>
      </w:r>
      <w:r w:rsidRPr="0047313C">
        <w:rPr>
          <w:rFonts w:ascii="Arial" w:hAnsi="Arial" w:cs="Arial"/>
          <w:color w:val="000000"/>
        </w:rPr>
        <w:t xml:space="preserve"> alternativas para a superação das relações de exploração. Para tanto, </w:t>
      </w:r>
      <w:r w:rsidRPr="0047313C">
        <w:rPr>
          <w:rFonts w:ascii="Arial" w:hAnsi="Arial" w:cs="Arial"/>
          <w:color w:val="000000" w:themeColor="text1"/>
        </w:rPr>
        <w:t xml:space="preserve">é preciso perguntar qual o lugar da Educação do Campo no projeto educativo dos Movimentos Sociais protagonistas das lutas que lhe deram origem para enfrentar o avanço do agronegócio no campo e fortalecer e ampliar a oferta dos cursos de licenciaturas em Educação do Campo como uma das mais importantes </w:t>
      </w:r>
      <w:r w:rsidR="00D424E2" w:rsidRPr="0047313C">
        <w:rPr>
          <w:rFonts w:ascii="Arial" w:hAnsi="Arial" w:cs="Arial"/>
          <w:color w:val="000000" w:themeColor="text1"/>
        </w:rPr>
        <w:t>conquistas</w:t>
      </w:r>
      <w:r w:rsidRPr="0047313C">
        <w:rPr>
          <w:rFonts w:ascii="Arial" w:hAnsi="Arial" w:cs="Arial"/>
          <w:color w:val="000000" w:themeColor="text1"/>
        </w:rPr>
        <w:t xml:space="preserve"> da classe trabalhadora camponesa </w:t>
      </w:r>
    </w:p>
    <w:p w14:paraId="02BC7B23" w14:textId="77777777" w:rsidR="00612841" w:rsidRPr="0047313C" w:rsidRDefault="00612841" w:rsidP="00612841">
      <w:pPr>
        <w:pStyle w:val="NormalWeb"/>
        <w:spacing w:before="0" w:beforeAutospacing="0" w:after="0" w:afterAutospacing="0" w:line="360" w:lineRule="auto"/>
        <w:ind w:firstLine="709"/>
        <w:jc w:val="both"/>
        <w:rPr>
          <w:rFonts w:ascii="Arial" w:hAnsi="Arial" w:cs="Arial"/>
          <w:b/>
          <w:color w:val="000000" w:themeColor="text1"/>
        </w:rPr>
      </w:pPr>
    </w:p>
    <w:p w14:paraId="2B25B3ED" w14:textId="77777777" w:rsidR="00612841" w:rsidRPr="0047313C" w:rsidRDefault="00612841" w:rsidP="00612841">
      <w:pPr>
        <w:pStyle w:val="NormalWeb"/>
        <w:spacing w:before="0" w:beforeAutospacing="0" w:after="0" w:afterAutospacing="0" w:line="360" w:lineRule="auto"/>
        <w:ind w:firstLine="709"/>
        <w:jc w:val="both"/>
        <w:rPr>
          <w:rFonts w:ascii="Arial" w:hAnsi="Arial" w:cs="Arial"/>
          <w:b/>
          <w:color w:val="000000" w:themeColor="text1"/>
        </w:rPr>
      </w:pPr>
      <w:r w:rsidRPr="0047313C">
        <w:rPr>
          <w:rFonts w:ascii="Arial" w:hAnsi="Arial" w:cs="Arial"/>
          <w:b/>
          <w:color w:val="000000" w:themeColor="text1"/>
        </w:rPr>
        <w:t xml:space="preserve">REFERÊNCIAS </w:t>
      </w:r>
    </w:p>
    <w:p w14:paraId="60745BB8" w14:textId="77777777" w:rsidR="00612841" w:rsidRPr="0047313C" w:rsidRDefault="00612841" w:rsidP="00612841">
      <w:pPr>
        <w:pStyle w:val="NormalWeb"/>
        <w:spacing w:before="0" w:beforeAutospacing="0" w:after="0" w:afterAutospacing="0" w:line="360" w:lineRule="auto"/>
        <w:ind w:firstLine="709"/>
        <w:jc w:val="both"/>
        <w:rPr>
          <w:rFonts w:ascii="Arial" w:hAnsi="Arial" w:cs="Arial"/>
          <w:b/>
          <w:color w:val="000000" w:themeColor="text1"/>
        </w:rPr>
      </w:pPr>
    </w:p>
    <w:p w14:paraId="6AEF8CC4" w14:textId="6051BDE0" w:rsidR="00612841" w:rsidRPr="0047313C" w:rsidRDefault="00612841" w:rsidP="0047313C">
      <w:pPr>
        <w:tabs>
          <w:tab w:val="left" w:pos="8789"/>
        </w:tabs>
        <w:autoSpaceDE w:val="0"/>
        <w:autoSpaceDN w:val="0"/>
        <w:adjustRightInd w:val="0"/>
        <w:spacing w:line="240" w:lineRule="auto"/>
        <w:jc w:val="both"/>
        <w:rPr>
          <w:sz w:val="24"/>
          <w:szCs w:val="24"/>
        </w:rPr>
      </w:pPr>
      <w:r w:rsidRPr="0047313C">
        <w:rPr>
          <w:rFonts w:eastAsia="Calibri"/>
          <w:sz w:val="24"/>
          <w:szCs w:val="24"/>
        </w:rPr>
        <w:t>ARROYO, Miguel G. A educação básica e o movimento social do campo.</w:t>
      </w:r>
      <w:r w:rsidR="00D424E2" w:rsidRPr="0047313C">
        <w:rPr>
          <w:rFonts w:eastAsia="Calibri"/>
          <w:sz w:val="24"/>
          <w:szCs w:val="24"/>
        </w:rPr>
        <w:t xml:space="preserve"> </w:t>
      </w:r>
      <w:r w:rsidRPr="0047313C">
        <w:rPr>
          <w:rFonts w:eastAsia="Calibri"/>
          <w:sz w:val="24"/>
          <w:szCs w:val="24"/>
        </w:rPr>
        <w:t xml:space="preserve">In: ________; FERNANDES, Bernardo </w:t>
      </w:r>
      <w:proofErr w:type="spellStart"/>
      <w:r w:rsidRPr="0047313C">
        <w:rPr>
          <w:rFonts w:eastAsia="Calibri"/>
          <w:sz w:val="24"/>
          <w:szCs w:val="24"/>
        </w:rPr>
        <w:t>Mançano</w:t>
      </w:r>
      <w:proofErr w:type="spellEnd"/>
      <w:r w:rsidRPr="0047313C">
        <w:rPr>
          <w:rFonts w:eastAsia="Calibri"/>
          <w:sz w:val="24"/>
          <w:szCs w:val="24"/>
        </w:rPr>
        <w:t xml:space="preserve">. (Org.). </w:t>
      </w:r>
      <w:r w:rsidRPr="0047313C">
        <w:rPr>
          <w:rFonts w:eastAsia="Calibri"/>
          <w:b/>
          <w:sz w:val="24"/>
          <w:szCs w:val="24"/>
        </w:rPr>
        <w:t>A educação básica e o movimento social do campo</w:t>
      </w:r>
      <w:r w:rsidRPr="0047313C">
        <w:rPr>
          <w:rFonts w:eastAsia="Calibri"/>
          <w:sz w:val="24"/>
          <w:szCs w:val="24"/>
        </w:rPr>
        <w:t>. Brasília: Articulação por uma Educação Básica do Campo, 1999. p. 13-52. (Coleção por uma Educação Básica do Campo, 2).</w:t>
      </w:r>
    </w:p>
    <w:p w14:paraId="02F81CC4" w14:textId="77777777" w:rsidR="00612841" w:rsidRPr="0047313C" w:rsidRDefault="00612841" w:rsidP="0047313C">
      <w:pPr>
        <w:spacing w:line="240" w:lineRule="auto"/>
        <w:jc w:val="both"/>
        <w:rPr>
          <w:sz w:val="24"/>
          <w:szCs w:val="24"/>
        </w:rPr>
      </w:pPr>
      <w:r w:rsidRPr="0047313C">
        <w:rPr>
          <w:sz w:val="24"/>
          <w:szCs w:val="24"/>
        </w:rPr>
        <w:lastRenderedPageBreak/>
        <w:t xml:space="preserve">CALDART, R. S. Educação do Campo. </w:t>
      </w:r>
      <w:r w:rsidRPr="0047313C">
        <w:rPr>
          <w:i/>
          <w:sz w:val="24"/>
          <w:szCs w:val="24"/>
        </w:rPr>
        <w:t>In</w:t>
      </w:r>
      <w:r w:rsidRPr="0047313C">
        <w:rPr>
          <w:sz w:val="24"/>
          <w:szCs w:val="24"/>
        </w:rPr>
        <w:t xml:space="preserve">: CALDART. R.S. et al. (org.). </w:t>
      </w:r>
      <w:r w:rsidRPr="0047313C">
        <w:rPr>
          <w:b/>
          <w:bCs/>
          <w:sz w:val="24"/>
          <w:szCs w:val="24"/>
        </w:rPr>
        <w:t>Dicionário da Educação do Campo</w:t>
      </w:r>
      <w:r w:rsidRPr="0047313C">
        <w:rPr>
          <w:sz w:val="24"/>
          <w:szCs w:val="24"/>
        </w:rPr>
        <w:t>. Rio de Janeiro; São Paulo: Escola Politécnica de Saúde Joaquim Venâncio, Expressão Popular, 2012.  p. 257-265.</w:t>
      </w:r>
    </w:p>
    <w:p w14:paraId="03742B80" w14:textId="77777777" w:rsidR="00612841" w:rsidRPr="0047313C" w:rsidRDefault="00612841" w:rsidP="0047313C">
      <w:pPr>
        <w:spacing w:line="240" w:lineRule="auto"/>
        <w:jc w:val="both"/>
        <w:rPr>
          <w:sz w:val="24"/>
          <w:szCs w:val="24"/>
        </w:rPr>
      </w:pPr>
      <w:r w:rsidRPr="0047313C">
        <w:rPr>
          <w:sz w:val="24"/>
          <w:szCs w:val="24"/>
        </w:rPr>
        <w:t xml:space="preserve">CALDART, R. S. </w:t>
      </w:r>
      <w:r w:rsidRPr="0047313C">
        <w:rPr>
          <w:b/>
          <w:bCs/>
          <w:sz w:val="24"/>
          <w:szCs w:val="24"/>
        </w:rPr>
        <w:t>Educação do Campo</w:t>
      </w:r>
      <w:r w:rsidRPr="0047313C">
        <w:rPr>
          <w:sz w:val="24"/>
          <w:szCs w:val="24"/>
        </w:rPr>
        <w:t>: notas para uma análise de percurso. Revista Trabalho, Educação e Saúde. Rio de Janeiro: FIOCRUZ, v.7 n.1, p. 35-64, mar./jun. 2009.</w:t>
      </w:r>
    </w:p>
    <w:p w14:paraId="1AB58BFF" w14:textId="77777777" w:rsidR="00612841" w:rsidRPr="0047313C" w:rsidRDefault="00612841" w:rsidP="0047313C">
      <w:pPr>
        <w:spacing w:line="240" w:lineRule="auto"/>
        <w:jc w:val="both"/>
        <w:rPr>
          <w:sz w:val="24"/>
          <w:szCs w:val="24"/>
        </w:rPr>
      </w:pPr>
      <w:r w:rsidRPr="0047313C">
        <w:rPr>
          <w:sz w:val="24"/>
          <w:szCs w:val="24"/>
        </w:rPr>
        <w:t xml:space="preserve">DREIFUSS, R. A. 1964: </w:t>
      </w:r>
      <w:r w:rsidRPr="0047313C">
        <w:rPr>
          <w:b/>
          <w:bCs/>
          <w:sz w:val="24"/>
          <w:szCs w:val="24"/>
        </w:rPr>
        <w:t>A Conquista do Estado</w:t>
      </w:r>
      <w:r w:rsidRPr="0047313C">
        <w:rPr>
          <w:sz w:val="24"/>
          <w:szCs w:val="24"/>
        </w:rPr>
        <w:t>: ação política, poder e golpe de classe. 2. ed. Vozes, Petrópolis, RJ: 1981.</w:t>
      </w:r>
    </w:p>
    <w:p w14:paraId="41C86C7A" w14:textId="77777777" w:rsidR="00612841" w:rsidRPr="0047313C" w:rsidRDefault="00612841" w:rsidP="0047313C">
      <w:pPr>
        <w:spacing w:line="240" w:lineRule="auto"/>
        <w:jc w:val="both"/>
        <w:rPr>
          <w:sz w:val="24"/>
          <w:szCs w:val="24"/>
        </w:rPr>
      </w:pPr>
      <w:r w:rsidRPr="0047313C">
        <w:rPr>
          <w:sz w:val="24"/>
          <w:szCs w:val="24"/>
        </w:rPr>
        <w:t xml:space="preserve">FERNANDES, F. </w:t>
      </w:r>
      <w:r w:rsidRPr="0047313C">
        <w:rPr>
          <w:b/>
          <w:bCs/>
          <w:sz w:val="24"/>
          <w:szCs w:val="24"/>
        </w:rPr>
        <w:t>Revolução Burguesa no Brasil</w:t>
      </w:r>
      <w:r w:rsidRPr="0047313C">
        <w:rPr>
          <w:sz w:val="24"/>
          <w:szCs w:val="24"/>
        </w:rPr>
        <w:t>: ensaio de interpretação sociológica. 5. ed. São Paulo: Globo, 2006.</w:t>
      </w:r>
    </w:p>
    <w:p w14:paraId="40F64D6A" w14:textId="77777777" w:rsidR="00612841" w:rsidRPr="0047313C" w:rsidRDefault="00612841" w:rsidP="0047313C">
      <w:pPr>
        <w:pStyle w:val="NormalWeb"/>
        <w:spacing w:before="0" w:beforeAutospacing="0" w:after="0" w:afterAutospacing="0"/>
        <w:jc w:val="both"/>
        <w:rPr>
          <w:rFonts w:ascii="Arial" w:hAnsi="Arial" w:cs="Arial"/>
          <w:color w:val="000000" w:themeColor="text1"/>
        </w:rPr>
      </w:pPr>
      <w:r w:rsidRPr="0047313C">
        <w:rPr>
          <w:rFonts w:ascii="Arial" w:hAnsi="Arial" w:cs="Arial"/>
          <w:color w:val="000000" w:themeColor="text1"/>
        </w:rPr>
        <w:t xml:space="preserve">FONTES. Virginia. Sobre o Estado, o Capitalismo e as Luta de Classes IN: </w:t>
      </w:r>
      <w:r w:rsidRPr="0047313C">
        <w:rPr>
          <w:rFonts w:ascii="Arial" w:hAnsi="Arial" w:cs="Arial"/>
          <w:b/>
          <w:color w:val="000000" w:themeColor="text1"/>
        </w:rPr>
        <w:t>Capital-Imperialismo, Dominação e Luta de Classes.</w:t>
      </w:r>
      <w:r w:rsidRPr="0047313C">
        <w:rPr>
          <w:rFonts w:ascii="Arial" w:hAnsi="Arial" w:cs="Arial"/>
          <w:color w:val="000000" w:themeColor="text1"/>
        </w:rPr>
        <w:t xml:space="preserve"> Virginia Fontes (</w:t>
      </w:r>
      <w:proofErr w:type="spellStart"/>
      <w:r w:rsidRPr="0047313C">
        <w:rPr>
          <w:rFonts w:ascii="Arial" w:hAnsi="Arial" w:cs="Arial"/>
          <w:color w:val="000000" w:themeColor="text1"/>
        </w:rPr>
        <w:t>org</w:t>
      </w:r>
      <w:proofErr w:type="spellEnd"/>
      <w:r w:rsidRPr="0047313C">
        <w:rPr>
          <w:rFonts w:ascii="Arial" w:hAnsi="Arial" w:cs="Arial"/>
          <w:color w:val="000000" w:themeColor="text1"/>
        </w:rPr>
        <w:t>)- 1ª edição: Expressão Popular, São Paulo, 2025. (33-146).</w:t>
      </w:r>
    </w:p>
    <w:p w14:paraId="4404A96F" w14:textId="0AE22065" w:rsidR="00612841" w:rsidRPr="0047313C" w:rsidRDefault="00612841" w:rsidP="0047313C">
      <w:pPr>
        <w:spacing w:line="240" w:lineRule="auto"/>
        <w:jc w:val="both"/>
        <w:rPr>
          <w:sz w:val="24"/>
          <w:szCs w:val="24"/>
        </w:rPr>
      </w:pPr>
      <w:r w:rsidRPr="0047313C">
        <w:rPr>
          <w:sz w:val="24"/>
          <w:szCs w:val="24"/>
        </w:rPr>
        <w:t xml:space="preserve">HARNECKER, M.; URIBE. G. </w:t>
      </w:r>
      <w:r w:rsidRPr="0047313C">
        <w:rPr>
          <w:b/>
          <w:bCs/>
          <w:sz w:val="24"/>
          <w:szCs w:val="24"/>
        </w:rPr>
        <w:t>Luta de Classes</w:t>
      </w:r>
      <w:r w:rsidRPr="0047313C">
        <w:rPr>
          <w:sz w:val="24"/>
          <w:szCs w:val="24"/>
        </w:rPr>
        <w:t>: as classes sociais no Brasil.</w:t>
      </w:r>
      <w:r w:rsidR="0047313C">
        <w:rPr>
          <w:sz w:val="24"/>
          <w:szCs w:val="24"/>
        </w:rPr>
        <w:t xml:space="preserve"> </w:t>
      </w:r>
      <w:r w:rsidRPr="0047313C">
        <w:rPr>
          <w:sz w:val="24"/>
          <w:szCs w:val="24"/>
        </w:rPr>
        <w:t>nº 4</w:t>
      </w:r>
      <w:r w:rsidR="00716A90" w:rsidRPr="00716A90">
        <w:rPr>
          <w:rFonts w:ascii="Open Sans" w:hAnsi="Open Sans" w:cs="Open Sans"/>
          <w:color w:val="6B6B6B"/>
          <w:sz w:val="27"/>
          <w:szCs w:val="27"/>
          <w:shd w:val="clear" w:color="auto" w:fill="FFFFFF"/>
        </w:rPr>
        <w:t xml:space="preserve"> </w:t>
      </w:r>
      <w:r w:rsidR="00716A90" w:rsidRPr="00716A90">
        <w:rPr>
          <w:rFonts w:ascii="Open Sans" w:hAnsi="Open Sans" w:cs="Open Sans"/>
          <w:color w:val="000000" w:themeColor="text1"/>
          <w:sz w:val="27"/>
          <w:szCs w:val="27"/>
          <w:shd w:val="clear" w:color="auto" w:fill="FFFFFF"/>
        </w:rPr>
        <w:t>GLOBAL, 1980.</w:t>
      </w:r>
    </w:p>
    <w:p w14:paraId="01E4DD92" w14:textId="77777777" w:rsidR="00612841" w:rsidRPr="0047313C" w:rsidRDefault="00612841" w:rsidP="0047313C">
      <w:pPr>
        <w:spacing w:line="240" w:lineRule="auto"/>
        <w:jc w:val="both"/>
        <w:rPr>
          <w:sz w:val="24"/>
          <w:szCs w:val="24"/>
        </w:rPr>
      </w:pPr>
      <w:r w:rsidRPr="0047313C">
        <w:rPr>
          <w:sz w:val="24"/>
          <w:szCs w:val="24"/>
        </w:rPr>
        <w:t xml:space="preserve">IANNI, O.  </w:t>
      </w:r>
      <w:r w:rsidRPr="0047313C">
        <w:rPr>
          <w:b/>
          <w:bCs/>
          <w:sz w:val="24"/>
          <w:szCs w:val="24"/>
        </w:rPr>
        <w:t>Origens Agrárias do Estado Brasileiro</w:t>
      </w:r>
      <w:r w:rsidRPr="0047313C">
        <w:rPr>
          <w:sz w:val="24"/>
          <w:szCs w:val="24"/>
        </w:rPr>
        <w:t>. São Paulo: Brasiliense, 1984.</w:t>
      </w:r>
    </w:p>
    <w:p w14:paraId="4414E023" w14:textId="77777777" w:rsidR="00612841" w:rsidRPr="0047313C" w:rsidRDefault="00612841" w:rsidP="0047313C">
      <w:pPr>
        <w:spacing w:line="240" w:lineRule="auto"/>
        <w:jc w:val="both"/>
        <w:rPr>
          <w:sz w:val="24"/>
          <w:szCs w:val="24"/>
        </w:rPr>
      </w:pPr>
      <w:r w:rsidRPr="0047313C">
        <w:rPr>
          <w:sz w:val="24"/>
          <w:szCs w:val="24"/>
        </w:rPr>
        <w:t xml:space="preserve">LENIN, V. 5I. </w:t>
      </w:r>
      <w:r w:rsidRPr="0047313C">
        <w:rPr>
          <w:b/>
          <w:sz w:val="24"/>
          <w:szCs w:val="24"/>
        </w:rPr>
        <w:t>Que fazer</w:t>
      </w:r>
      <w:r w:rsidRPr="0047313C">
        <w:rPr>
          <w:sz w:val="24"/>
          <w:szCs w:val="24"/>
        </w:rPr>
        <w:t>: problemas candentes do nosso movimento. Tradução: Marcelo Braz. 2. ed. São Paulo: Expressão Popular, 2015.</w:t>
      </w:r>
    </w:p>
    <w:p w14:paraId="6FE77E19" w14:textId="3A301EC5" w:rsidR="00612841" w:rsidRPr="0047313C" w:rsidRDefault="00612841" w:rsidP="0047313C">
      <w:pPr>
        <w:spacing w:line="240" w:lineRule="auto"/>
        <w:jc w:val="both"/>
        <w:rPr>
          <w:sz w:val="24"/>
          <w:szCs w:val="24"/>
        </w:rPr>
      </w:pPr>
      <w:r w:rsidRPr="0047313C">
        <w:rPr>
          <w:sz w:val="24"/>
          <w:szCs w:val="24"/>
        </w:rPr>
        <w:t xml:space="preserve">HARNECKER, Marta. Conceitos Elementais do </w:t>
      </w:r>
      <w:r w:rsidR="00D424E2" w:rsidRPr="0047313C">
        <w:rPr>
          <w:sz w:val="24"/>
          <w:szCs w:val="24"/>
        </w:rPr>
        <w:t>Materialismo</w:t>
      </w:r>
      <w:r w:rsidRPr="0047313C">
        <w:rPr>
          <w:sz w:val="24"/>
          <w:szCs w:val="24"/>
        </w:rPr>
        <w:t xml:space="preserve"> Histórico, São Paulo: Global, 1971</w:t>
      </w:r>
      <w:r w:rsidR="0047313C">
        <w:rPr>
          <w:sz w:val="24"/>
          <w:szCs w:val="24"/>
        </w:rPr>
        <w:t>.</w:t>
      </w:r>
    </w:p>
    <w:p w14:paraId="1EDD7EB1" w14:textId="77777777" w:rsidR="00612841" w:rsidRPr="0047313C" w:rsidRDefault="00612841" w:rsidP="0047313C">
      <w:pPr>
        <w:spacing w:line="240" w:lineRule="auto"/>
        <w:jc w:val="both"/>
        <w:rPr>
          <w:sz w:val="24"/>
          <w:szCs w:val="24"/>
        </w:rPr>
      </w:pPr>
      <w:r w:rsidRPr="0047313C">
        <w:rPr>
          <w:sz w:val="24"/>
          <w:szCs w:val="24"/>
        </w:rPr>
        <w:t xml:space="preserve">MÁSCARO, A. L. </w:t>
      </w:r>
      <w:r w:rsidRPr="0047313C">
        <w:rPr>
          <w:b/>
          <w:bCs/>
          <w:sz w:val="24"/>
          <w:szCs w:val="24"/>
        </w:rPr>
        <w:t>Estado e forma política</w:t>
      </w:r>
      <w:r w:rsidRPr="0047313C">
        <w:rPr>
          <w:sz w:val="24"/>
          <w:szCs w:val="24"/>
        </w:rPr>
        <w:t>. São Paulo: Boitempo, 2013.</w:t>
      </w:r>
    </w:p>
    <w:p w14:paraId="32521EA6" w14:textId="77777777" w:rsidR="00612841" w:rsidRPr="0047313C" w:rsidRDefault="00612841" w:rsidP="0047313C">
      <w:pPr>
        <w:spacing w:line="240" w:lineRule="auto"/>
        <w:jc w:val="both"/>
        <w:rPr>
          <w:sz w:val="24"/>
          <w:szCs w:val="24"/>
        </w:rPr>
      </w:pPr>
      <w:r w:rsidRPr="0047313C">
        <w:rPr>
          <w:sz w:val="24"/>
          <w:szCs w:val="24"/>
        </w:rPr>
        <w:t xml:space="preserve">MENDONÇA, Sonia Regina. </w:t>
      </w:r>
      <w:r w:rsidRPr="0047313C">
        <w:rPr>
          <w:b/>
          <w:bCs/>
          <w:sz w:val="24"/>
          <w:szCs w:val="24"/>
        </w:rPr>
        <w:t>Estado e educação rural no Brasil</w:t>
      </w:r>
      <w:r w:rsidRPr="0047313C">
        <w:rPr>
          <w:sz w:val="24"/>
          <w:szCs w:val="24"/>
        </w:rPr>
        <w:t>: alguns inscritos. Rio de Janeiro: Faperj Vício de Leitura, 2007.</w:t>
      </w:r>
    </w:p>
    <w:p w14:paraId="136E91B0" w14:textId="77777777" w:rsidR="00612841" w:rsidRPr="0047313C" w:rsidRDefault="00612841" w:rsidP="0047313C">
      <w:pPr>
        <w:spacing w:line="240" w:lineRule="auto"/>
        <w:jc w:val="both"/>
        <w:rPr>
          <w:rFonts w:eastAsia="Calibri"/>
          <w:sz w:val="24"/>
          <w:szCs w:val="24"/>
        </w:rPr>
      </w:pPr>
      <w:r w:rsidRPr="0047313C">
        <w:rPr>
          <w:rFonts w:eastAsia="Calibri"/>
          <w:sz w:val="24"/>
          <w:szCs w:val="24"/>
        </w:rPr>
        <w:t xml:space="preserve">OLIVEIRA, Francisco de. Privatização do público, destituição da fala e anulação da política: o totalitarismo neoliberal. In: _____. PAOLI, Maria Célia (org.). </w:t>
      </w:r>
      <w:r w:rsidRPr="0047313C">
        <w:rPr>
          <w:rFonts w:eastAsia="Calibri"/>
          <w:b/>
          <w:sz w:val="24"/>
          <w:szCs w:val="24"/>
        </w:rPr>
        <w:t>Os sentidos da democracia</w:t>
      </w:r>
      <w:r w:rsidRPr="0047313C">
        <w:rPr>
          <w:rFonts w:eastAsia="Calibri"/>
          <w:sz w:val="24"/>
          <w:szCs w:val="24"/>
        </w:rPr>
        <w:t>: políticas do dissenso e hegemonia global. 2.ed. Petrópolis: Vozes; Brasília: NEDIC, 1999. p. 55-81.</w:t>
      </w:r>
    </w:p>
    <w:p w14:paraId="0AE97B69" w14:textId="79647610" w:rsidR="0047313C" w:rsidRDefault="00612841" w:rsidP="0047313C">
      <w:pPr>
        <w:spacing w:after="360" w:line="240" w:lineRule="auto"/>
        <w:jc w:val="both"/>
        <w:rPr>
          <w:rFonts w:eastAsia="Calibri"/>
          <w:sz w:val="24"/>
          <w:szCs w:val="24"/>
        </w:rPr>
      </w:pPr>
      <w:r w:rsidRPr="0047313C">
        <w:rPr>
          <w:rFonts w:eastAsia="Calibri"/>
          <w:sz w:val="24"/>
          <w:szCs w:val="24"/>
        </w:rPr>
        <w:t xml:space="preserve">RUA, Maria das Graças. </w:t>
      </w:r>
      <w:r w:rsidRPr="0047313C">
        <w:rPr>
          <w:rFonts w:eastAsia="Calibri"/>
          <w:b/>
          <w:sz w:val="24"/>
          <w:szCs w:val="24"/>
        </w:rPr>
        <w:t>Análise de políticas públicas</w:t>
      </w:r>
      <w:r w:rsidRPr="0047313C">
        <w:rPr>
          <w:rFonts w:eastAsia="Calibri"/>
          <w:sz w:val="24"/>
          <w:szCs w:val="24"/>
        </w:rPr>
        <w:t>: conceitos básicos</w:t>
      </w:r>
      <w:r w:rsidR="00716A90">
        <w:rPr>
          <w:rFonts w:eastAsia="Calibri"/>
          <w:sz w:val="24"/>
          <w:szCs w:val="24"/>
        </w:rPr>
        <w:t xml:space="preserve">. Disponível em: </w:t>
      </w:r>
      <w:hyperlink r:id="rId7" w:history="1">
        <w:r w:rsidR="00C834D8" w:rsidRPr="00EE084F">
          <w:rPr>
            <w:rStyle w:val="Hyperlink"/>
            <w:rFonts w:eastAsia="Calibri"/>
            <w:sz w:val="24"/>
            <w:szCs w:val="24"/>
          </w:rPr>
          <w:t>https://www.univali.br/pos/mestrado/mestrado-em-gestao-de-politicas-publicas/processo-seletivo/SiteAssets/Paginas/default/RUA.pdf.Acesso</w:t>
        </w:r>
      </w:hyperlink>
      <w:r w:rsidR="00C834D8">
        <w:rPr>
          <w:rFonts w:eastAsia="Calibri"/>
          <w:sz w:val="24"/>
          <w:szCs w:val="24"/>
        </w:rPr>
        <w:t xml:space="preserve"> em 28 de agosto de 2025.</w:t>
      </w:r>
    </w:p>
    <w:p w14:paraId="5570C607" w14:textId="48414464" w:rsidR="00612841" w:rsidRPr="0047313C" w:rsidRDefault="00612841" w:rsidP="0047313C">
      <w:pPr>
        <w:spacing w:after="360" w:line="240" w:lineRule="auto"/>
        <w:jc w:val="both"/>
        <w:rPr>
          <w:rFonts w:eastAsia="Calibri"/>
          <w:sz w:val="24"/>
          <w:szCs w:val="24"/>
        </w:rPr>
      </w:pPr>
      <w:r w:rsidRPr="0047313C">
        <w:rPr>
          <w:rFonts w:eastAsia="Calibri"/>
          <w:sz w:val="24"/>
          <w:szCs w:val="24"/>
        </w:rPr>
        <w:t xml:space="preserve">SILVA, Maria </w:t>
      </w:r>
      <w:proofErr w:type="spellStart"/>
      <w:r w:rsidRPr="0047313C">
        <w:rPr>
          <w:rFonts w:eastAsia="Calibri"/>
          <w:sz w:val="24"/>
          <w:szCs w:val="24"/>
        </w:rPr>
        <w:t>Ozanira</w:t>
      </w:r>
      <w:proofErr w:type="spellEnd"/>
      <w:r w:rsidRPr="0047313C">
        <w:rPr>
          <w:rFonts w:eastAsia="Calibri"/>
          <w:sz w:val="24"/>
          <w:szCs w:val="24"/>
        </w:rPr>
        <w:t xml:space="preserve"> da Silva e. Avaliação de políticas e programas sociais: aspectos conceituais e metodológicos. In: SILVA, Maria </w:t>
      </w:r>
      <w:proofErr w:type="spellStart"/>
      <w:r w:rsidRPr="0047313C">
        <w:rPr>
          <w:rFonts w:eastAsia="Calibri"/>
          <w:sz w:val="24"/>
          <w:szCs w:val="24"/>
        </w:rPr>
        <w:t>Ozanira</w:t>
      </w:r>
      <w:proofErr w:type="spellEnd"/>
      <w:r w:rsidRPr="0047313C">
        <w:rPr>
          <w:rFonts w:eastAsia="Calibri"/>
          <w:sz w:val="24"/>
          <w:szCs w:val="24"/>
        </w:rPr>
        <w:t xml:space="preserve"> da Silva e (Org.). </w:t>
      </w:r>
      <w:r w:rsidRPr="0047313C">
        <w:rPr>
          <w:rFonts w:eastAsia="Calibri"/>
          <w:b/>
          <w:sz w:val="24"/>
          <w:szCs w:val="24"/>
        </w:rPr>
        <w:t xml:space="preserve">Avaliação de políticas e programas sociais: </w:t>
      </w:r>
      <w:r w:rsidRPr="0047313C">
        <w:rPr>
          <w:rFonts w:eastAsia="Calibri"/>
          <w:sz w:val="24"/>
          <w:szCs w:val="24"/>
        </w:rPr>
        <w:t>teoria &amp; prática. São Paulo: Veras Editora, 2001. p. 37-93.</w:t>
      </w:r>
    </w:p>
    <w:p w14:paraId="6269CD30" w14:textId="77777777" w:rsidR="00612841" w:rsidRDefault="00612841" w:rsidP="00612841">
      <w:pPr>
        <w:pStyle w:val="NormalWeb"/>
        <w:spacing w:before="0" w:beforeAutospacing="0" w:after="0" w:afterAutospacing="0" w:line="360" w:lineRule="auto"/>
        <w:jc w:val="both"/>
        <w:rPr>
          <w:color w:val="000000" w:themeColor="text1"/>
        </w:rPr>
      </w:pPr>
    </w:p>
    <w:p w14:paraId="0FF191B1" w14:textId="77777777" w:rsidR="00612841" w:rsidRPr="00933D56" w:rsidRDefault="00612841" w:rsidP="00612841">
      <w:pPr>
        <w:pStyle w:val="NormalWeb"/>
        <w:spacing w:before="0" w:beforeAutospacing="0" w:after="0" w:afterAutospacing="0" w:line="360" w:lineRule="auto"/>
        <w:ind w:firstLine="709"/>
        <w:jc w:val="both"/>
        <w:rPr>
          <w:b/>
          <w:color w:val="000000" w:themeColor="text1"/>
        </w:rPr>
      </w:pPr>
    </w:p>
    <w:p w14:paraId="416EF251" w14:textId="77777777" w:rsidR="00612841" w:rsidRPr="009A7D39" w:rsidRDefault="00612841" w:rsidP="00612841">
      <w:pPr>
        <w:pStyle w:val="NormalWeb"/>
        <w:spacing w:before="0" w:beforeAutospacing="0" w:after="0" w:afterAutospacing="0" w:line="360" w:lineRule="auto"/>
        <w:ind w:firstLine="709"/>
        <w:jc w:val="both"/>
        <w:rPr>
          <w:color w:val="000000"/>
        </w:rPr>
      </w:pPr>
    </w:p>
    <w:p w14:paraId="5852DE0C" w14:textId="77777777" w:rsidR="00612841" w:rsidRPr="00F77DDD" w:rsidRDefault="00612841" w:rsidP="00612841">
      <w:pPr>
        <w:spacing w:line="360" w:lineRule="auto"/>
        <w:ind w:firstLine="709"/>
        <w:jc w:val="both"/>
        <w:rPr>
          <w:rFonts w:ascii="Times New Roman" w:hAnsi="Times New Roman" w:cs="Times New Roman"/>
          <w:sz w:val="24"/>
          <w:szCs w:val="24"/>
        </w:rPr>
      </w:pPr>
    </w:p>
    <w:p w14:paraId="20C729CD" w14:textId="77777777" w:rsidR="00A73C52" w:rsidRDefault="00A73C52" w:rsidP="00A73C52">
      <w:pPr>
        <w:pStyle w:val="NormalWeb"/>
        <w:spacing w:before="0" w:beforeAutospacing="0" w:after="0" w:afterAutospacing="0"/>
        <w:jc w:val="center"/>
      </w:pPr>
      <w:r w:rsidRPr="00B13DCB">
        <w:rPr>
          <w:rFonts w:ascii="Arial" w:hAnsi="Arial" w:cs="Arial"/>
          <w:b/>
          <w:bCs/>
          <w:color w:val="000000"/>
        </w:rPr>
        <w:lastRenderedPageBreak/>
        <w:t xml:space="preserve">PARA ALÉM DA DESINTELECTUALIZAÇÃO DO EDUCADOR DO CAMPO: </w:t>
      </w:r>
      <w:r w:rsidRPr="00B13DCB">
        <w:rPr>
          <w:rFonts w:ascii="Arial" w:hAnsi="Arial" w:cs="Arial"/>
          <w:color w:val="000000"/>
        </w:rPr>
        <w:t>uma crítica a Epistemologia da prática na formação docente</w:t>
      </w:r>
    </w:p>
    <w:p w14:paraId="139B67F4" w14:textId="77777777" w:rsidR="00A73C52" w:rsidRDefault="00A73C52" w:rsidP="00A73C52">
      <w:pPr>
        <w:spacing w:line="240" w:lineRule="auto"/>
        <w:jc w:val="both"/>
        <w:rPr>
          <w:b/>
          <w:sz w:val="20"/>
          <w:szCs w:val="20"/>
        </w:rPr>
      </w:pPr>
    </w:p>
    <w:p w14:paraId="4BEFC43F" w14:textId="77777777" w:rsidR="00A73C52" w:rsidRDefault="00A73C52" w:rsidP="00A73C52">
      <w:pPr>
        <w:spacing w:line="240" w:lineRule="auto"/>
        <w:jc w:val="right"/>
        <w:rPr>
          <w:b/>
          <w:color w:val="000000"/>
          <w:sz w:val="20"/>
          <w:szCs w:val="20"/>
        </w:rPr>
      </w:pPr>
      <w:r w:rsidRPr="00BE7E6B">
        <w:rPr>
          <w:b/>
          <w:color w:val="000000"/>
          <w:sz w:val="20"/>
          <w:szCs w:val="20"/>
        </w:rPr>
        <w:t>Diana Costa Diniz</w:t>
      </w:r>
      <w:r w:rsidRPr="00BE7E6B">
        <w:rPr>
          <w:rStyle w:val="Refdenotaderodap"/>
          <w:b/>
          <w:color w:val="000000"/>
          <w:sz w:val="20"/>
          <w:szCs w:val="20"/>
        </w:rPr>
        <w:footnoteReference w:id="6"/>
      </w:r>
    </w:p>
    <w:p w14:paraId="48487F1A" w14:textId="77777777" w:rsidR="00A73C52" w:rsidRPr="00BE7E6B" w:rsidRDefault="00A73C52" w:rsidP="00A73C52">
      <w:pPr>
        <w:spacing w:line="240" w:lineRule="auto"/>
        <w:jc w:val="right"/>
        <w:rPr>
          <w:b/>
          <w:color w:val="000000"/>
          <w:sz w:val="20"/>
          <w:szCs w:val="20"/>
        </w:rPr>
      </w:pPr>
      <w:r>
        <w:rPr>
          <w:b/>
          <w:color w:val="000000"/>
          <w:sz w:val="20"/>
          <w:szCs w:val="20"/>
        </w:rPr>
        <w:t>Pedro Henrique Gomes Xavier</w:t>
      </w:r>
      <w:r>
        <w:rPr>
          <w:rStyle w:val="Refdenotaderodap"/>
          <w:b/>
          <w:color w:val="000000"/>
          <w:sz w:val="20"/>
          <w:szCs w:val="20"/>
        </w:rPr>
        <w:footnoteReference w:id="7"/>
      </w:r>
    </w:p>
    <w:p w14:paraId="2040D699" w14:textId="77777777" w:rsidR="00A73C52" w:rsidRDefault="00A73C52" w:rsidP="00A73C52">
      <w:pPr>
        <w:spacing w:line="360" w:lineRule="auto"/>
        <w:rPr>
          <w:b/>
          <w:sz w:val="24"/>
          <w:szCs w:val="24"/>
        </w:rPr>
      </w:pPr>
    </w:p>
    <w:p w14:paraId="7275705D" w14:textId="77777777" w:rsidR="00A73C52" w:rsidRPr="0027594F" w:rsidRDefault="00A73C52" w:rsidP="00A73C52">
      <w:pPr>
        <w:spacing w:before="120" w:line="240" w:lineRule="auto"/>
        <w:ind w:left="2835"/>
        <w:jc w:val="both"/>
        <w:rPr>
          <w:sz w:val="20"/>
          <w:szCs w:val="20"/>
          <w:lang w:val="en-US"/>
        </w:rPr>
      </w:pPr>
      <w:r>
        <w:rPr>
          <w:b/>
          <w:sz w:val="20"/>
          <w:szCs w:val="20"/>
        </w:rPr>
        <w:t>Resumo</w:t>
      </w:r>
    </w:p>
    <w:p w14:paraId="1E649640" w14:textId="77777777" w:rsidR="00A73C52" w:rsidRDefault="00A73C52" w:rsidP="00A73C52">
      <w:pPr>
        <w:pStyle w:val="NormalWeb"/>
        <w:ind w:left="2835"/>
        <w:jc w:val="both"/>
        <w:rPr>
          <w:rFonts w:ascii="Arial" w:hAnsi="Arial" w:cs="Arial"/>
          <w:sz w:val="20"/>
          <w:szCs w:val="20"/>
        </w:rPr>
      </w:pPr>
      <w:r w:rsidRPr="00D369E7">
        <w:rPr>
          <w:rFonts w:ascii="Arial" w:hAnsi="Arial" w:cs="Arial"/>
          <w:color w:val="000000"/>
          <w:sz w:val="20"/>
          <w:szCs w:val="20"/>
        </w:rPr>
        <w:t xml:space="preserve">O presente trabalho tem como objetivo refletir sobre a formação de professores no contexto da expansão da Educação Superior do Campo. Optou-se aqui por abordar as tensões entre o projeto formativo demando pelos movimentos sociais camponeses e concepção hegemônica a partir da desvalorização do estudo dos fundamentos científicos da educação que postulam que ser professor é algo que se aprende na prática em atendimento às orientações dos organismos internacionais. </w:t>
      </w:r>
      <w:r w:rsidRPr="00D369E7">
        <w:rPr>
          <w:rStyle w:val="fontstyle01"/>
          <w:sz w:val="20"/>
          <w:szCs w:val="20"/>
        </w:rPr>
        <w:t>A pesquisa de caráter qualitativo adotou como aporte metodológico o materialismo histórico-dialético.</w:t>
      </w:r>
      <w:r w:rsidRPr="00D369E7">
        <w:rPr>
          <w:rFonts w:ascii="Arial" w:hAnsi="Arial" w:cs="Arial"/>
          <w:sz w:val="20"/>
          <w:szCs w:val="20"/>
        </w:rPr>
        <w:t xml:space="preserve"> </w:t>
      </w:r>
      <w:r w:rsidRPr="00D369E7">
        <w:rPr>
          <w:rStyle w:val="fontstyle01"/>
          <w:sz w:val="20"/>
          <w:szCs w:val="20"/>
        </w:rPr>
        <w:t>D</w:t>
      </w:r>
      <w:r w:rsidRPr="00D369E7">
        <w:rPr>
          <w:rFonts w:ascii="Arial" w:hAnsi="Arial" w:cs="Arial"/>
          <w:sz w:val="20"/>
          <w:szCs w:val="20"/>
        </w:rPr>
        <w:t>estacam-se as contribuições de Freitas (2003, 2007), Vasquez (2007) dentre outros. C</w:t>
      </w:r>
      <w:r w:rsidRPr="00D369E7">
        <w:rPr>
          <w:rStyle w:val="fontstyle01"/>
          <w:sz w:val="20"/>
          <w:szCs w:val="20"/>
        </w:rPr>
        <w:t>abe destacar a concepção de formação do Movimento da Educação do Campo</w:t>
      </w:r>
      <w:r w:rsidRPr="00D369E7">
        <w:rPr>
          <w:rFonts w:ascii="Arial" w:hAnsi="Arial" w:cs="Arial"/>
          <w:sz w:val="20"/>
          <w:szCs w:val="20"/>
        </w:rPr>
        <w:t xml:space="preserve"> busca romper com uma concepção positivista e empirista de conhecimento, que concebe a realidade social como natural, eterna e não revela as contradições sociais.  </w:t>
      </w:r>
    </w:p>
    <w:p w14:paraId="13E4CF79" w14:textId="77777777" w:rsidR="00A73C52" w:rsidRPr="0027594F" w:rsidRDefault="00A73C52" w:rsidP="00A73C52">
      <w:pPr>
        <w:spacing w:before="120" w:line="240" w:lineRule="auto"/>
        <w:ind w:left="2835"/>
        <w:jc w:val="both"/>
        <w:rPr>
          <w:sz w:val="20"/>
          <w:szCs w:val="20"/>
          <w:lang w:val="en-US"/>
        </w:rPr>
      </w:pPr>
      <w:r>
        <w:rPr>
          <w:b/>
          <w:sz w:val="20"/>
          <w:szCs w:val="20"/>
        </w:rPr>
        <w:t>Palavras-chave</w:t>
      </w:r>
      <w:r>
        <w:rPr>
          <w:sz w:val="20"/>
          <w:szCs w:val="20"/>
        </w:rPr>
        <w:t xml:space="preserve">: Formação de professores; </w:t>
      </w:r>
      <w:r w:rsidRPr="0027594F">
        <w:rPr>
          <w:sz w:val="20"/>
          <w:szCs w:val="20"/>
          <w:lang w:val="en-US"/>
        </w:rPr>
        <w:t>P</w:t>
      </w:r>
      <w:r>
        <w:rPr>
          <w:sz w:val="20"/>
          <w:szCs w:val="20"/>
          <w:lang w:val="en-US"/>
        </w:rPr>
        <w:t xml:space="preserve">olítica de </w:t>
      </w:r>
      <w:proofErr w:type="spellStart"/>
      <w:r>
        <w:rPr>
          <w:sz w:val="20"/>
          <w:szCs w:val="20"/>
          <w:lang w:val="en-US"/>
        </w:rPr>
        <w:t>Educação</w:t>
      </w:r>
      <w:proofErr w:type="spellEnd"/>
      <w:r>
        <w:rPr>
          <w:sz w:val="20"/>
          <w:szCs w:val="20"/>
          <w:lang w:val="en-US"/>
        </w:rPr>
        <w:t xml:space="preserve"> do Campo; </w:t>
      </w:r>
      <w:proofErr w:type="spellStart"/>
      <w:r>
        <w:rPr>
          <w:sz w:val="20"/>
          <w:szCs w:val="20"/>
          <w:lang w:val="en-US"/>
        </w:rPr>
        <w:t>Epistemologia</w:t>
      </w:r>
      <w:proofErr w:type="spellEnd"/>
      <w:r>
        <w:rPr>
          <w:sz w:val="20"/>
          <w:szCs w:val="20"/>
          <w:lang w:val="en-US"/>
        </w:rPr>
        <w:t xml:space="preserve"> da </w:t>
      </w:r>
      <w:proofErr w:type="spellStart"/>
      <w:r>
        <w:rPr>
          <w:sz w:val="20"/>
          <w:szCs w:val="20"/>
          <w:lang w:val="en-US"/>
        </w:rPr>
        <w:t>Prática</w:t>
      </w:r>
      <w:proofErr w:type="spellEnd"/>
    </w:p>
    <w:p w14:paraId="4BF80D9A" w14:textId="77777777" w:rsidR="00A73C52" w:rsidRDefault="00A73C52" w:rsidP="00A73C52">
      <w:pPr>
        <w:spacing w:line="240" w:lineRule="auto"/>
        <w:ind w:left="2835"/>
        <w:jc w:val="both"/>
        <w:rPr>
          <w:b/>
          <w:sz w:val="20"/>
          <w:szCs w:val="20"/>
          <w:lang w:val="en-US"/>
        </w:rPr>
      </w:pPr>
    </w:p>
    <w:p w14:paraId="062EB314" w14:textId="77777777" w:rsidR="00A73C52" w:rsidRDefault="00A73C52" w:rsidP="00A73C52">
      <w:pPr>
        <w:spacing w:line="240" w:lineRule="auto"/>
        <w:ind w:left="2835"/>
        <w:jc w:val="both"/>
        <w:rPr>
          <w:color w:val="000000"/>
        </w:rPr>
      </w:pPr>
      <w:r w:rsidRPr="005E3576">
        <w:rPr>
          <w:b/>
          <w:sz w:val="20"/>
          <w:szCs w:val="20"/>
          <w:lang w:val="en-US"/>
        </w:rPr>
        <w:t>Abstract</w:t>
      </w:r>
    </w:p>
    <w:p w14:paraId="4898A97B" w14:textId="77777777" w:rsidR="00A73C52" w:rsidRPr="0094651D" w:rsidRDefault="00A73C52" w:rsidP="00A73C52">
      <w:pPr>
        <w:pStyle w:val="NormalWeb"/>
        <w:ind w:left="2835"/>
        <w:jc w:val="both"/>
        <w:rPr>
          <w:rFonts w:ascii="Arial" w:hAnsi="Arial" w:cs="Arial"/>
          <w:color w:val="000000"/>
          <w:sz w:val="20"/>
          <w:szCs w:val="20"/>
        </w:rPr>
      </w:pPr>
      <w:proofErr w:type="spellStart"/>
      <w:r w:rsidRPr="0094651D">
        <w:rPr>
          <w:rFonts w:ascii="Arial" w:hAnsi="Arial" w:cs="Arial"/>
          <w:color w:val="000000"/>
          <w:sz w:val="20"/>
          <w:szCs w:val="20"/>
        </w:rPr>
        <w:t>This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paper</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aims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to</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reflect</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on</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teacher</w:t>
      </w:r>
      <w:proofErr w:type="spellEnd"/>
      <w:r w:rsidRPr="0094651D">
        <w:rPr>
          <w:rFonts w:ascii="Arial" w:hAnsi="Arial" w:cs="Arial"/>
          <w:color w:val="000000"/>
          <w:sz w:val="20"/>
          <w:szCs w:val="20"/>
        </w:rPr>
        <w:t xml:space="preserve"> training in </w:t>
      </w:r>
      <w:proofErr w:type="spellStart"/>
      <w:r w:rsidRPr="0094651D">
        <w:rPr>
          <w:rFonts w:ascii="Arial" w:hAnsi="Arial" w:cs="Arial"/>
          <w:color w:val="000000"/>
          <w:sz w:val="20"/>
          <w:szCs w:val="20"/>
        </w:rPr>
        <w:t>the</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context</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of</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the</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expansion</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of</w:t>
      </w:r>
      <w:proofErr w:type="spellEnd"/>
      <w:r w:rsidRPr="0094651D">
        <w:rPr>
          <w:rFonts w:ascii="Arial" w:hAnsi="Arial" w:cs="Arial"/>
          <w:color w:val="000000"/>
          <w:sz w:val="20"/>
          <w:szCs w:val="20"/>
        </w:rPr>
        <w:t xml:space="preserve"> Rural </w:t>
      </w:r>
      <w:proofErr w:type="spellStart"/>
      <w:r w:rsidRPr="0094651D">
        <w:rPr>
          <w:rFonts w:ascii="Arial" w:hAnsi="Arial" w:cs="Arial"/>
          <w:color w:val="000000"/>
          <w:sz w:val="20"/>
          <w:szCs w:val="20"/>
        </w:rPr>
        <w:t>Higher</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Education</w:t>
      </w:r>
      <w:proofErr w:type="spellEnd"/>
      <w:r w:rsidRPr="0094651D">
        <w:rPr>
          <w:rFonts w:ascii="Arial" w:hAnsi="Arial" w:cs="Arial"/>
          <w:color w:val="000000"/>
          <w:sz w:val="20"/>
          <w:szCs w:val="20"/>
        </w:rPr>
        <w:t xml:space="preserve">. The </w:t>
      </w:r>
      <w:proofErr w:type="spellStart"/>
      <w:r w:rsidRPr="0094651D">
        <w:rPr>
          <w:rFonts w:ascii="Arial" w:hAnsi="Arial" w:cs="Arial"/>
          <w:color w:val="000000"/>
          <w:sz w:val="20"/>
          <w:szCs w:val="20"/>
        </w:rPr>
        <w:t>objective</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here</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is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to</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address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the</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tensions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between</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the</w:t>
      </w:r>
      <w:proofErr w:type="spellEnd"/>
      <w:r w:rsidRPr="0094651D">
        <w:rPr>
          <w:rFonts w:ascii="Arial" w:hAnsi="Arial" w:cs="Arial"/>
          <w:color w:val="000000"/>
          <w:sz w:val="20"/>
          <w:szCs w:val="20"/>
        </w:rPr>
        <w:t xml:space="preserve"> training </w:t>
      </w:r>
      <w:proofErr w:type="spellStart"/>
      <w:r w:rsidRPr="0094651D">
        <w:rPr>
          <w:rFonts w:ascii="Arial" w:hAnsi="Arial" w:cs="Arial"/>
          <w:color w:val="000000"/>
          <w:sz w:val="20"/>
          <w:szCs w:val="20"/>
        </w:rPr>
        <w:t>project</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demanded</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by</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peasant</w:t>
      </w:r>
      <w:proofErr w:type="spellEnd"/>
      <w:r w:rsidRPr="0094651D">
        <w:rPr>
          <w:rFonts w:ascii="Arial" w:hAnsi="Arial" w:cs="Arial"/>
          <w:color w:val="000000"/>
          <w:sz w:val="20"/>
          <w:szCs w:val="20"/>
        </w:rPr>
        <w:t xml:space="preserve"> social </w:t>
      </w:r>
      <w:proofErr w:type="spellStart"/>
      <w:r w:rsidRPr="0094651D">
        <w:rPr>
          <w:rFonts w:ascii="Arial" w:hAnsi="Arial" w:cs="Arial"/>
          <w:color w:val="000000"/>
          <w:sz w:val="20"/>
          <w:szCs w:val="20"/>
        </w:rPr>
        <w:t>movements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and</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the</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hegemonic</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conception</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based</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on</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the</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devaluation</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of</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the</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study</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of</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the</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scientific</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foundations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of</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education</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which</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postulates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that</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being</w:t>
      </w:r>
      <w:proofErr w:type="spellEnd"/>
      <w:r w:rsidRPr="0094651D">
        <w:rPr>
          <w:rFonts w:ascii="Arial" w:hAnsi="Arial" w:cs="Arial"/>
          <w:color w:val="000000"/>
          <w:sz w:val="20"/>
          <w:szCs w:val="20"/>
        </w:rPr>
        <w:t xml:space="preserve"> a </w:t>
      </w:r>
      <w:proofErr w:type="spellStart"/>
      <w:r w:rsidRPr="0094651D">
        <w:rPr>
          <w:rFonts w:ascii="Arial" w:hAnsi="Arial" w:cs="Arial"/>
          <w:color w:val="000000"/>
          <w:sz w:val="20"/>
          <w:szCs w:val="20"/>
        </w:rPr>
        <w:t>teacher</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is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something</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learned</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through</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practice</w:t>
      </w:r>
      <w:proofErr w:type="spellEnd"/>
      <w:r w:rsidRPr="0094651D">
        <w:rPr>
          <w:rFonts w:ascii="Arial" w:hAnsi="Arial" w:cs="Arial"/>
          <w:color w:val="000000"/>
          <w:sz w:val="20"/>
          <w:szCs w:val="20"/>
        </w:rPr>
        <w:t xml:space="preserve"> in </w:t>
      </w:r>
      <w:proofErr w:type="spellStart"/>
      <w:r w:rsidRPr="0094651D">
        <w:rPr>
          <w:rFonts w:ascii="Arial" w:hAnsi="Arial" w:cs="Arial"/>
          <w:color w:val="000000"/>
          <w:sz w:val="20"/>
          <w:szCs w:val="20"/>
        </w:rPr>
        <w:t>compliance</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with</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the</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guidelines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of</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international</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organizations</w:t>
      </w:r>
      <w:proofErr w:type="spellEnd"/>
      <w:r w:rsidRPr="0094651D">
        <w:rPr>
          <w:rFonts w:ascii="Arial" w:hAnsi="Arial" w:cs="Arial"/>
          <w:color w:val="000000"/>
          <w:sz w:val="20"/>
          <w:szCs w:val="20"/>
        </w:rPr>
        <w:t xml:space="preserve">. The </w:t>
      </w:r>
      <w:proofErr w:type="spellStart"/>
      <w:r w:rsidRPr="0094651D">
        <w:rPr>
          <w:rFonts w:ascii="Arial" w:hAnsi="Arial" w:cs="Arial"/>
          <w:color w:val="000000"/>
          <w:sz w:val="20"/>
          <w:szCs w:val="20"/>
        </w:rPr>
        <w:t>qualitative</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research</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adopted</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historical-dialectical</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materialism</w:t>
      </w:r>
      <w:proofErr w:type="spellEnd"/>
      <w:r w:rsidRPr="0094651D">
        <w:rPr>
          <w:rFonts w:ascii="Arial" w:hAnsi="Arial" w:cs="Arial"/>
          <w:color w:val="000000"/>
          <w:sz w:val="20"/>
          <w:szCs w:val="20"/>
        </w:rPr>
        <w:t xml:space="preserve"> as its </w:t>
      </w:r>
      <w:proofErr w:type="spellStart"/>
      <w:r w:rsidRPr="0094651D">
        <w:rPr>
          <w:rFonts w:ascii="Arial" w:hAnsi="Arial" w:cs="Arial"/>
          <w:color w:val="000000"/>
          <w:sz w:val="20"/>
          <w:szCs w:val="20"/>
        </w:rPr>
        <w:t>methodological</w:t>
      </w:r>
      <w:proofErr w:type="spellEnd"/>
      <w:r w:rsidRPr="0094651D">
        <w:rPr>
          <w:rFonts w:ascii="Arial" w:hAnsi="Arial" w:cs="Arial"/>
          <w:color w:val="000000"/>
          <w:sz w:val="20"/>
          <w:szCs w:val="20"/>
        </w:rPr>
        <w:t xml:space="preserve"> framework. The </w:t>
      </w:r>
      <w:proofErr w:type="spellStart"/>
      <w:r w:rsidRPr="0094651D">
        <w:rPr>
          <w:rFonts w:ascii="Arial" w:hAnsi="Arial" w:cs="Arial"/>
          <w:color w:val="000000"/>
          <w:sz w:val="20"/>
          <w:szCs w:val="20"/>
        </w:rPr>
        <w:t>contributions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of</w:t>
      </w:r>
      <w:proofErr w:type="spellEnd"/>
      <w:r w:rsidRPr="0094651D">
        <w:rPr>
          <w:rFonts w:ascii="Arial" w:hAnsi="Arial" w:cs="Arial"/>
          <w:color w:val="000000"/>
          <w:sz w:val="20"/>
          <w:szCs w:val="20"/>
        </w:rPr>
        <w:t xml:space="preserve"> Freitas (2003, 2007), Vasquez (2007), </w:t>
      </w:r>
      <w:proofErr w:type="spellStart"/>
      <w:r w:rsidRPr="0094651D">
        <w:rPr>
          <w:rFonts w:ascii="Arial" w:hAnsi="Arial" w:cs="Arial"/>
          <w:color w:val="000000"/>
          <w:sz w:val="20"/>
          <w:szCs w:val="20"/>
        </w:rPr>
        <w:t>and</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others</w:t>
      </w:r>
      <w:proofErr w:type="spellEnd"/>
      <w:r w:rsidRPr="0094651D">
        <w:rPr>
          <w:rFonts w:ascii="Arial" w:hAnsi="Arial" w:cs="Arial"/>
          <w:color w:val="000000"/>
          <w:sz w:val="20"/>
          <w:szCs w:val="20"/>
        </w:rPr>
        <w:t xml:space="preserve"> stand out. It </w:t>
      </w:r>
      <w:proofErr w:type="spellStart"/>
      <w:r w:rsidRPr="0094651D">
        <w:rPr>
          <w:rFonts w:ascii="Arial" w:hAnsi="Arial" w:cs="Arial"/>
          <w:color w:val="000000"/>
          <w:sz w:val="20"/>
          <w:szCs w:val="20"/>
        </w:rPr>
        <w:t>is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worth</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highlighting</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the</w:t>
      </w:r>
      <w:proofErr w:type="spellEnd"/>
      <w:r w:rsidRPr="0094651D">
        <w:rPr>
          <w:rFonts w:ascii="Arial" w:hAnsi="Arial" w:cs="Arial"/>
          <w:color w:val="000000"/>
          <w:sz w:val="20"/>
          <w:szCs w:val="20"/>
        </w:rPr>
        <w:t xml:space="preserve"> Rural </w:t>
      </w:r>
      <w:proofErr w:type="spellStart"/>
      <w:r w:rsidRPr="0094651D">
        <w:rPr>
          <w:rFonts w:ascii="Arial" w:hAnsi="Arial" w:cs="Arial"/>
          <w:color w:val="000000"/>
          <w:sz w:val="20"/>
          <w:szCs w:val="20"/>
        </w:rPr>
        <w:t>Education</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Movement's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conception</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of</w:t>
      </w:r>
      <w:proofErr w:type="spellEnd"/>
      <w:r w:rsidRPr="0094651D">
        <w:rPr>
          <w:rFonts w:ascii="Arial" w:hAnsi="Arial" w:cs="Arial"/>
          <w:color w:val="000000"/>
          <w:sz w:val="20"/>
          <w:szCs w:val="20"/>
        </w:rPr>
        <w:t xml:space="preserve"> training, </w:t>
      </w:r>
      <w:proofErr w:type="spellStart"/>
      <w:r w:rsidRPr="0094651D">
        <w:rPr>
          <w:rFonts w:ascii="Arial" w:hAnsi="Arial" w:cs="Arial"/>
          <w:color w:val="000000"/>
          <w:sz w:val="20"/>
          <w:szCs w:val="20"/>
        </w:rPr>
        <w:t>which</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seeks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to</w:t>
      </w:r>
      <w:proofErr w:type="spellEnd"/>
      <w:r w:rsidRPr="0094651D">
        <w:rPr>
          <w:rFonts w:ascii="Arial" w:hAnsi="Arial" w:cs="Arial"/>
          <w:color w:val="000000"/>
          <w:sz w:val="20"/>
          <w:szCs w:val="20"/>
        </w:rPr>
        <w:t xml:space="preserve"> break </w:t>
      </w:r>
      <w:proofErr w:type="spellStart"/>
      <w:r w:rsidRPr="0094651D">
        <w:rPr>
          <w:rFonts w:ascii="Arial" w:hAnsi="Arial" w:cs="Arial"/>
          <w:color w:val="000000"/>
          <w:sz w:val="20"/>
          <w:szCs w:val="20"/>
        </w:rPr>
        <w:t>with</w:t>
      </w:r>
      <w:proofErr w:type="spellEnd"/>
      <w:r w:rsidRPr="0094651D">
        <w:rPr>
          <w:rFonts w:ascii="Arial" w:hAnsi="Arial" w:cs="Arial"/>
          <w:color w:val="000000"/>
          <w:sz w:val="20"/>
          <w:szCs w:val="20"/>
        </w:rPr>
        <w:t xml:space="preserve"> </w:t>
      </w:r>
      <w:r w:rsidRPr="0094651D">
        <w:rPr>
          <w:rFonts w:ascii="Arial" w:hAnsi="Arial" w:cs="Arial"/>
          <w:color w:val="000000"/>
          <w:sz w:val="20"/>
          <w:szCs w:val="20"/>
        </w:rPr>
        <w:lastRenderedPageBreak/>
        <w:t xml:space="preserve">a </w:t>
      </w:r>
      <w:proofErr w:type="spellStart"/>
      <w:r w:rsidRPr="0094651D">
        <w:rPr>
          <w:rFonts w:ascii="Arial" w:hAnsi="Arial" w:cs="Arial"/>
          <w:color w:val="000000"/>
          <w:sz w:val="20"/>
          <w:szCs w:val="20"/>
        </w:rPr>
        <w:t>positivist</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and</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empiricist</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conception</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of</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knowledge</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which</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conceives</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of</w:t>
      </w:r>
      <w:proofErr w:type="spellEnd"/>
      <w:r w:rsidRPr="0094651D">
        <w:rPr>
          <w:rFonts w:ascii="Arial" w:hAnsi="Arial" w:cs="Arial"/>
          <w:color w:val="000000"/>
          <w:sz w:val="20"/>
          <w:szCs w:val="20"/>
        </w:rPr>
        <w:t xml:space="preserve"> social reality as natural, eternal, </w:t>
      </w:r>
      <w:proofErr w:type="spellStart"/>
      <w:r w:rsidRPr="0094651D">
        <w:rPr>
          <w:rFonts w:ascii="Arial" w:hAnsi="Arial" w:cs="Arial"/>
          <w:color w:val="000000"/>
          <w:sz w:val="20"/>
          <w:szCs w:val="20"/>
        </w:rPr>
        <w:t>and</w:t>
      </w:r>
      <w:proofErr w:type="spellEnd"/>
      <w:r w:rsidRPr="0094651D">
        <w:rPr>
          <w:rFonts w:ascii="Arial" w:hAnsi="Arial" w:cs="Arial"/>
          <w:color w:val="000000"/>
          <w:sz w:val="20"/>
          <w:szCs w:val="20"/>
        </w:rPr>
        <w:t xml:space="preserve"> does </w:t>
      </w:r>
      <w:proofErr w:type="spellStart"/>
      <w:r w:rsidRPr="0094651D">
        <w:rPr>
          <w:rFonts w:ascii="Arial" w:hAnsi="Arial" w:cs="Arial"/>
          <w:color w:val="000000"/>
          <w:sz w:val="20"/>
          <w:szCs w:val="20"/>
        </w:rPr>
        <w:t>not</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reveal</w:t>
      </w:r>
      <w:proofErr w:type="spellEnd"/>
      <w:r w:rsidRPr="0094651D">
        <w:rPr>
          <w:rFonts w:ascii="Arial" w:hAnsi="Arial" w:cs="Arial"/>
          <w:color w:val="000000"/>
          <w:sz w:val="20"/>
          <w:szCs w:val="20"/>
        </w:rPr>
        <w:t xml:space="preserve"> social </w:t>
      </w:r>
      <w:proofErr w:type="spellStart"/>
      <w:r w:rsidRPr="0094651D">
        <w:rPr>
          <w:rFonts w:ascii="Arial" w:hAnsi="Arial" w:cs="Arial"/>
          <w:color w:val="000000"/>
          <w:sz w:val="20"/>
          <w:szCs w:val="20"/>
        </w:rPr>
        <w:t>contradictions</w:t>
      </w:r>
      <w:proofErr w:type="spellEnd"/>
      <w:r w:rsidRPr="0094651D">
        <w:rPr>
          <w:rFonts w:ascii="Arial" w:hAnsi="Arial" w:cs="Arial"/>
          <w:color w:val="000000"/>
          <w:sz w:val="20"/>
          <w:szCs w:val="20"/>
        </w:rPr>
        <w:t>.</w:t>
      </w:r>
    </w:p>
    <w:p w14:paraId="23AABBC3" w14:textId="77777777" w:rsidR="00A73C52" w:rsidRPr="0094651D" w:rsidRDefault="00A73C52" w:rsidP="00A73C52">
      <w:pPr>
        <w:pStyle w:val="NormalWeb"/>
        <w:ind w:left="2835"/>
        <w:jc w:val="both"/>
        <w:rPr>
          <w:rFonts w:ascii="Arial" w:hAnsi="Arial" w:cs="Arial"/>
          <w:color w:val="000000"/>
          <w:sz w:val="20"/>
          <w:szCs w:val="20"/>
        </w:rPr>
      </w:pPr>
      <w:r w:rsidRPr="0094651D">
        <w:rPr>
          <w:rFonts w:ascii="Arial" w:hAnsi="Arial" w:cs="Arial"/>
          <w:color w:val="000000"/>
          <w:sz w:val="20"/>
          <w:szCs w:val="20"/>
        </w:rPr>
        <w:t xml:space="preserve">Keywords: </w:t>
      </w:r>
      <w:proofErr w:type="spellStart"/>
      <w:r w:rsidRPr="0094651D">
        <w:rPr>
          <w:rFonts w:ascii="Arial" w:hAnsi="Arial" w:cs="Arial"/>
          <w:color w:val="000000"/>
          <w:sz w:val="20"/>
          <w:szCs w:val="20"/>
        </w:rPr>
        <w:t>Teacher</w:t>
      </w:r>
      <w:proofErr w:type="spellEnd"/>
      <w:r w:rsidRPr="0094651D">
        <w:rPr>
          <w:rFonts w:ascii="Arial" w:hAnsi="Arial" w:cs="Arial"/>
          <w:color w:val="000000"/>
          <w:sz w:val="20"/>
          <w:szCs w:val="20"/>
        </w:rPr>
        <w:t xml:space="preserve"> Training; Rural </w:t>
      </w:r>
      <w:proofErr w:type="spellStart"/>
      <w:r w:rsidRPr="0094651D">
        <w:rPr>
          <w:rFonts w:ascii="Arial" w:hAnsi="Arial" w:cs="Arial"/>
          <w:color w:val="000000"/>
          <w:sz w:val="20"/>
          <w:szCs w:val="20"/>
        </w:rPr>
        <w:t>Education</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Policy</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Epistemology</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of</w:t>
      </w:r>
      <w:proofErr w:type="spellEnd"/>
      <w:r w:rsidRPr="0094651D">
        <w:rPr>
          <w:rFonts w:ascii="Arial" w:hAnsi="Arial" w:cs="Arial"/>
          <w:color w:val="000000"/>
          <w:sz w:val="20"/>
          <w:szCs w:val="20"/>
        </w:rPr>
        <w:t xml:space="preserve"> </w:t>
      </w:r>
      <w:proofErr w:type="spellStart"/>
      <w:r w:rsidRPr="0094651D">
        <w:rPr>
          <w:rFonts w:ascii="Arial" w:hAnsi="Arial" w:cs="Arial"/>
          <w:color w:val="000000"/>
          <w:sz w:val="20"/>
          <w:szCs w:val="20"/>
        </w:rPr>
        <w:t>Practice</w:t>
      </w:r>
      <w:proofErr w:type="spellEnd"/>
    </w:p>
    <w:p w14:paraId="67F1E6C7" w14:textId="77777777" w:rsidR="00A73C52" w:rsidRDefault="00A73C52" w:rsidP="00A73C52">
      <w:pPr>
        <w:spacing w:line="360" w:lineRule="auto"/>
        <w:rPr>
          <w:b/>
          <w:sz w:val="24"/>
          <w:szCs w:val="24"/>
        </w:rPr>
      </w:pPr>
    </w:p>
    <w:p w14:paraId="462F5050" w14:textId="77777777" w:rsidR="00A73C52" w:rsidRDefault="00A73C52" w:rsidP="00A73C52">
      <w:pPr>
        <w:spacing w:line="360" w:lineRule="auto"/>
        <w:rPr>
          <w:b/>
          <w:sz w:val="24"/>
          <w:szCs w:val="24"/>
        </w:rPr>
      </w:pPr>
      <w:r>
        <w:rPr>
          <w:b/>
          <w:sz w:val="24"/>
          <w:szCs w:val="24"/>
        </w:rPr>
        <w:t>1</w:t>
      </w:r>
      <w:r>
        <w:rPr>
          <w:b/>
          <w:sz w:val="24"/>
          <w:szCs w:val="24"/>
        </w:rPr>
        <w:tab/>
        <w:t>INTRODUÇÃO</w:t>
      </w:r>
    </w:p>
    <w:p w14:paraId="2028D5BF" w14:textId="77777777" w:rsidR="00A73C52" w:rsidRDefault="00A73C52" w:rsidP="00A73C52">
      <w:pPr>
        <w:spacing w:line="360" w:lineRule="auto"/>
        <w:jc w:val="both"/>
        <w:rPr>
          <w:sz w:val="24"/>
          <w:szCs w:val="24"/>
        </w:rPr>
      </w:pPr>
    </w:p>
    <w:p w14:paraId="599CBB34" w14:textId="77777777" w:rsidR="00A73C52" w:rsidRPr="00B13DCB" w:rsidRDefault="00A73C52" w:rsidP="00A73C52">
      <w:pPr>
        <w:spacing w:line="360" w:lineRule="auto"/>
        <w:ind w:firstLine="709"/>
        <w:jc w:val="both"/>
        <w:rPr>
          <w:rStyle w:val="fontstyle01"/>
          <w:sz w:val="24"/>
          <w:szCs w:val="24"/>
        </w:rPr>
      </w:pPr>
      <w:r w:rsidRPr="00B13DCB">
        <w:rPr>
          <w:sz w:val="24"/>
          <w:szCs w:val="24"/>
        </w:rPr>
        <w:t xml:space="preserve">O presente trabalho discute </w:t>
      </w:r>
      <w:r w:rsidRPr="00B13DCB">
        <w:rPr>
          <w:rStyle w:val="fontstyle01"/>
          <w:sz w:val="24"/>
          <w:szCs w:val="24"/>
        </w:rPr>
        <w:t>as políticas de formação de educadores e educadoras no contexto da expansão da Educação Superior do Campo considerando as mudanças políticas e sociais em curso e as reformas institucionais advindas da reformar do Estado Brasileiro.</w:t>
      </w:r>
    </w:p>
    <w:p w14:paraId="6CC6AA48" w14:textId="77777777" w:rsidR="00A73C52" w:rsidRPr="00B13DCB" w:rsidRDefault="00A73C52" w:rsidP="00A73C52">
      <w:pPr>
        <w:spacing w:before="120" w:after="240" w:line="360" w:lineRule="auto"/>
        <w:ind w:firstLine="709"/>
        <w:jc w:val="both"/>
        <w:rPr>
          <w:color w:val="000000"/>
          <w:sz w:val="24"/>
          <w:szCs w:val="24"/>
        </w:rPr>
      </w:pPr>
      <w:r w:rsidRPr="00B13DCB">
        <w:rPr>
          <w:color w:val="000000"/>
          <w:sz w:val="24"/>
          <w:szCs w:val="24"/>
        </w:rPr>
        <w:t>Saviani (2011, p. 7-8), ao analisar a história da formação de professores no contexto brasileiro, ressalta que no período de 1939 a 1990 a base epistemológica das políticas públicas de formação de professores fundamentou-se numa concepção pragmática e tecnicista nos cursos de licenciatura com a predominância de conhecimentos da área disciplinar específica caracterizada pela existência de dois modelos que emergiram no decorrer do século XIX:</w:t>
      </w:r>
    </w:p>
    <w:p w14:paraId="1C7F77AE" w14:textId="77777777" w:rsidR="00A73C52" w:rsidRPr="00B13DCB" w:rsidRDefault="00A73C52" w:rsidP="00A73C52">
      <w:pPr>
        <w:spacing w:before="120" w:after="240" w:line="240" w:lineRule="auto"/>
        <w:ind w:left="2268"/>
        <w:jc w:val="both"/>
        <w:rPr>
          <w:color w:val="000000"/>
        </w:rPr>
      </w:pPr>
      <w:r w:rsidRPr="00B13DCB">
        <w:rPr>
          <w:color w:val="000000"/>
          <w:sz w:val="20"/>
          <w:szCs w:val="20"/>
        </w:rPr>
        <w:t>[...] modelo dos conteúdos culturais-cognitivos para o qual a formação de professores se esgota na cultura geral e no domínio específico dos conteúdos da área de conhecimento correspondente à disciplina que o professor irá lecionar. Considera-se que a formação pedagógico-didática virá em decorrência do domínio dos conteúdos do conhecimento logicamente organizado, sendo adquirida na própria prática docente ou mediante mecanismos do tipo ‘treinamento em serviço’. Do outro lado se contrapõe o modelo segundo o qual a formação de professores só se completa com o efetivo preparo pedagógico-didático.</w:t>
      </w:r>
    </w:p>
    <w:p w14:paraId="611F1ADC" w14:textId="77777777" w:rsidR="00A73C52" w:rsidRPr="00B13DCB" w:rsidRDefault="00A73C52" w:rsidP="00A73C52">
      <w:pPr>
        <w:spacing w:line="360" w:lineRule="auto"/>
        <w:ind w:firstLine="709"/>
        <w:jc w:val="both"/>
        <w:rPr>
          <w:sz w:val="24"/>
          <w:szCs w:val="24"/>
        </w:rPr>
      </w:pPr>
      <w:r w:rsidRPr="00B13DCB">
        <w:rPr>
          <w:color w:val="000000"/>
          <w:sz w:val="24"/>
          <w:szCs w:val="24"/>
        </w:rPr>
        <w:t>Nessa perspectiva, diferentes posicionamentos deram origem a diferentes modelos de formação que ora privilegiam os conhecimentos específicos ora os pedagógicos. Dessa forma, diferentes atribuições vinculam-se a posições conflituosas que se materializam no currículo a partir da visão que se tem de teoria-prática, conteúdo-forma, sujeito e objeto.</w:t>
      </w:r>
    </w:p>
    <w:p w14:paraId="01566329" w14:textId="77777777" w:rsidR="00A73C52" w:rsidRPr="00B13DCB" w:rsidRDefault="00A73C52" w:rsidP="00A73C52">
      <w:pPr>
        <w:spacing w:line="360" w:lineRule="auto"/>
        <w:ind w:firstLine="709"/>
        <w:jc w:val="both"/>
        <w:rPr>
          <w:rFonts w:eastAsia="inter"/>
          <w:b/>
          <w:color w:val="EE0000"/>
          <w:sz w:val="24"/>
          <w:szCs w:val="24"/>
        </w:rPr>
      </w:pPr>
      <w:bookmarkStart w:id="1" w:name="_Hlk208771001"/>
      <w:r w:rsidRPr="00B13DCB">
        <w:rPr>
          <w:color w:val="000000"/>
          <w:sz w:val="24"/>
          <w:szCs w:val="24"/>
        </w:rPr>
        <w:lastRenderedPageBreak/>
        <w:t xml:space="preserve">O texto encontra-se organizado em duas seções: a primeira traz uma abordagem sobre a epistemologia da prática na política educacional neoliberal; na segunda apresentamos </w:t>
      </w:r>
      <w:r w:rsidRPr="00B13DCB">
        <w:rPr>
          <w:sz w:val="24"/>
          <w:szCs w:val="24"/>
        </w:rPr>
        <w:t>a experiência de formação de professores para escolas de educação</w:t>
      </w:r>
      <w:bookmarkEnd w:id="1"/>
      <w:r w:rsidRPr="00B13DCB">
        <w:rPr>
          <w:sz w:val="24"/>
          <w:szCs w:val="24"/>
        </w:rPr>
        <w:t>.</w:t>
      </w:r>
    </w:p>
    <w:p w14:paraId="6A26CB52" w14:textId="77777777" w:rsidR="00A73C52" w:rsidRPr="001561D6" w:rsidRDefault="00A73C52" w:rsidP="00A73C52">
      <w:pPr>
        <w:spacing w:before="315" w:after="105" w:line="360" w:lineRule="auto"/>
        <w:jc w:val="both"/>
        <w:rPr>
          <w:sz w:val="24"/>
          <w:szCs w:val="24"/>
        </w:rPr>
      </w:pPr>
      <w:r>
        <w:rPr>
          <w:b/>
          <w:sz w:val="24"/>
          <w:szCs w:val="24"/>
        </w:rPr>
        <w:t>2</w:t>
      </w:r>
      <w:r>
        <w:rPr>
          <w:b/>
          <w:sz w:val="24"/>
          <w:szCs w:val="24"/>
        </w:rPr>
        <w:tab/>
      </w:r>
      <w:r w:rsidRPr="001561D6">
        <w:rPr>
          <w:rFonts w:eastAsia="inter"/>
          <w:b/>
          <w:color w:val="000000"/>
          <w:sz w:val="24"/>
          <w:szCs w:val="24"/>
        </w:rPr>
        <w:t xml:space="preserve">A CRÍTICA À EPISTEMOLOGIA DA PRÁTICA NA POLÍTICA EDUCACIONAL NEOLIBERAL. </w:t>
      </w:r>
    </w:p>
    <w:p w14:paraId="6D53082A" w14:textId="77777777" w:rsidR="00A73C52" w:rsidRPr="001561D6" w:rsidRDefault="00A73C52" w:rsidP="00A73C52">
      <w:pPr>
        <w:spacing w:after="210" w:line="360" w:lineRule="auto"/>
        <w:ind w:firstLine="709"/>
        <w:jc w:val="both"/>
        <w:rPr>
          <w:sz w:val="24"/>
          <w:szCs w:val="24"/>
        </w:rPr>
      </w:pPr>
      <w:r w:rsidRPr="001561D6">
        <w:rPr>
          <w:rFonts w:eastAsia="inter"/>
          <w:color w:val="000000"/>
          <w:sz w:val="24"/>
          <w:szCs w:val="24"/>
        </w:rPr>
        <w:t>A formação de professores no contexto brasileiro contemporâneo requer uma análise crítica das políticas educacionais vigentes e suas implicações para a construção de processos formativos verdadeiramente emancipadores. É necessário entender a formação do professor e sua função no decorrer dos tempos, para que possamos constatar o papel desse profissional, onde se torna necessário responder as seguintes perguntas: Formar sujeitos para quem? E que sujeitos queremos formar?</w:t>
      </w:r>
    </w:p>
    <w:p w14:paraId="256D36D5" w14:textId="77777777" w:rsidR="00A73C52" w:rsidRPr="001561D6" w:rsidRDefault="00A73C52" w:rsidP="00A73C52">
      <w:pPr>
        <w:spacing w:after="210" w:line="360" w:lineRule="auto"/>
        <w:ind w:firstLine="709"/>
        <w:jc w:val="both"/>
        <w:rPr>
          <w:sz w:val="24"/>
          <w:szCs w:val="24"/>
        </w:rPr>
      </w:pPr>
      <w:r w:rsidRPr="001561D6">
        <w:rPr>
          <w:rFonts w:eastAsia="inter"/>
          <w:color w:val="000000"/>
          <w:sz w:val="24"/>
          <w:szCs w:val="24"/>
        </w:rPr>
        <w:t>As políticas estruturantes da educação merecem questionamento crítico sobre que qualidade é essa e para que ela serve. Como relata Freitas:</w:t>
      </w:r>
    </w:p>
    <w:p w14:paraId="69DD61B8" w14:textId="77777777" w:rsidR="00A73C52" w:rsidRPr="00A82A86" w:rsidRDefault="00A73C52" w:rsidP="00A73C52">
      <w:pPr>
        <w:pStyle w:val="SemEspaamento"/>
        <w:rPr>
          <w:rFonts w:ascii="Arial" w:hAnsi="Arial" w:cs="Arial"/>
        </w:rPr>
      </w:pPr>
      <w:r w:rsidRPr="00A82A86">
        <w:rPr>
          <w:rFonts w:ascii="Arial" w:hAnsi="Arial" w:cs="Arial"/>
        </w:rPr>
        <w:t>A importância dada à questão da formação pelas políticas atuais tem por objetivo equacionar o problema da formação para elevar os níveis de "qualidade" da educação nos países subdesenvolvidos, qualidade que, na concepção do Banco Mundial, é determinada por vários fatores, entre os quais situam-se o tempo de instrução, os livros didáticos e a melhoria do conhecimento dos professores (privilegiando a capacitação em serviço sobre a formação inicial e estimulando as modalidades a distância). À formação geral, garantida no Ensino Médio a baixo custo, seria agregada a formação para a docência, oferecida em cursos curtos de formação inicial centrados na capacitação pedagógica (Freitas apud Torres 1999, p. 18).</w:t>
      </w:r>
    </w:p>
    <w:p w14:paraId="6CFAAF9A" w14:textId="77777777" w:rsidR="00A73C52" w:rsidRPr="001561D6" w:rsidRDefault="00A73C52" w:rsidP="00A73C52">
      <w:pPr>
        <w:spacing w:after="210" w:line="360" w:lineRule="auto"/>
        <w:ind w:firstLine="709"/>
        <w:jc w:val="both"/>
        <w:rPr>
          <w:sz w:val="24"/>
          <w:szCs w:val="24"/>
        </w:rPr>
      </w:pPr>
      <w:r w:rsidRPr="001561D6">
        <w:rPr>
          <w:rFonts w:eastAsia="inter"/>
          <w:color w:val="000000"/>
          <w:sz w:val="24"/>
          <w:szCs w:val="24"/>
        </w:rPr>
        <w:t>Esse pressuposto revela as contradições no debate da política nacional global de formação dos professores. Existe uma desigualdade de oportunidades na qual se configura como sujeitos de direito e o Estado como promissor desses direitos. A formação do profissional da educação não se baseia somente na formação inicial, mas torna-se necessária uma formação continuada e as condições de trabalho e carreira para esse profissional.</w:t>
      </w:r>
    </w:p>
    <w:p w14:paraId="682F8607" w14:textId="77777777" w:rsidR="00A73C52" w:rsidRPr="001561D6" w:rsidRDefault="00A73C52" w:rsidP="00A73C52">
      <w:pPr>
        <w:spacing w:after="210" w:line="360" w:lineRule="auto"/>
        <w:ind w:firstLine="709"/>
        <w:jc w:val="both"/>
        <w:rPr>
          <w:sz w:val="24"/>
          <w:szCs w:val="24"/>
        </w:rPr>
      </w:pPr>
      <w:r w:rsidRPr="001561D6">
        <w:rPr>
          <w:rFonts w:eastAsia="inter"/>
          <w:color w:val="000000"/>
          <w:sz w:val="24"/>
          <w:szCs w:val="24"/>
        </w:rPr>
        <w:lastRenderedPageBreak/>
        <w:t xml:space="preserve">A política de implantação da formação inicial e continuada deve ser de responsabilidade do Estado e não como vimos atualmente, onde o professor tem o direito de fazer sua formação continuada, porém, em horário oposto ao seu trabalho. As políticas da formação dos professores vêm cada vez mais sendo preconizadas pelo poder público, onde o único interesse do Estado é formar o professor para o processo produtivo que atende as necessidades do capital. </w:t>
      </w:r>
    </w:p>
    <w:p w14:paraId="0235A7B8" w14:textId="77777777" w:rsidR="00A73C52" w:rsidRPr="001561D6" w:rsidRDefault="00A73C52" w:rsidP="00A73C52">
      <w:pPr>
        <w:spacing w:after="210" w:line="360" w:lineRule="auto"/>
        <w:ind w:firstLine="709"/>
        <w:jc w:val="both"/>
        <w:rPr>
          <w:sz w:val="24"/>
          <w:szCs w:val="24"/>
        </w:rPr>
      </w:pPr>
      <w:r w:rsidRPr="001561D6">
        <w:rPr>
          <w:rFonts w:eastAsia="inter"/>
          <w:color w:val="000000"/>
          <w:sz w:val="24"/>
          <w:szCs w:val="24"/>
        </w:rPr>
        <w:t xml:space="preserve">Freitas (2003) faz uma análise e aborda a formação dos professores como pouco ou nenhum avanço, pois ainda constata como objetivo a submissão aos interesses do capital. Sendo assim, isso tem demonstrado ainda mais o desafio de pensar, teorizar e colocar em prática a formação dos profissionais da educação numa </w:t>
      </w:r>
      <w:proofErr w:type="spellStart"/>
      <w:r w:rsidRPr="001561D6">
        <w:rPr>
          <w:rFonts w:eastAsia="inter"/>
          <w:color w:val="000000"/>
          <w:sz w:val="24"/>
          <w:szCs w:val="24"/>
        </w:rPr>
        <w:t>perspetiva</w:t>
      </w:r>
      <w:proofErr w:type="spellEnd"/>
      <w:r w:rsidRPr="001561D6">
        <w:rPr>
          <w:rFonts w:eastAsia="inter"/>
          <w:color w:val="000000"/>
          <w:sz w:val="24"/>
          <w:szCs w:val="24"/>
        </w:rPr>
        <w:t xml:space="preserve"> </w:t>
      </w:r>
      <w:proofErr w:type="spellStart"/>
      <w:r w:rsidRPr="001561D6">
        <w:rPr>
          <w:rFonts w:eastAsia="inter"/>
          <w:color w:val="000000"/>
          <w:sz w:val="24"/>
          <w:szCs w:val="24"/>
        </w:rPr>
        <w:t>contra-hegemônica</w:t>
      </w:r>
      <w:proofErr w:type="spellEnd"/>
      <w:r w:rsidRPr="001561D6">
        <w:rPr>
          <w:rFonts w:eastAsia="inter"/>
          <w:color w:val="000000"/>
          <w:sz w:val="24"/>
          <w:szCs w:val="24"/>
        </w:rPr>
        <w:t>.</w:t>
      </w:r>
    </w:p>
    <w:p w14:paraId="5F6FE3E8" w14:textId="77777777" w:rsidR="00A73C52" w:rsidRPr="001561D6" w:rsidRDefault="00A73C52" w:rsidP="00A73C52">
      <w:pPr>
        <w:spacing w:after="210" w:line="360" w:lineRule="auto"/>
        <w:ind w:firstLine="709"/>
        <w:jc w:val="both"/>
        <w:rPr>
          <w:rFonts w:eastAsia="inter"/>
          <w:color w:val="000000"/>
          <w:sz w:val="24"/>
          <w:szCs w:val="24"/>
        </w:rPr>
      </w:pPr>
      <w:r w:rsidRPr="001561D6">
        <w:rPr>
          <w:rFonts w:eastAsia="inter"/>
          <w:color w:val="000000"/>
          <w:sz w:val="24"/>
          <w:szCs w:val="24"/>
        </w:rPr>
        <w:t>Podemos apontar alguns aspectos de reorganização dos conteúdos que se vêm produzindo, onde algumas questões fundamentais para elevar os níveis de consciência do educador, "[...] formulação no contexto das alterações que vêm se produzindo no interior das IES, de retirada dos estudos relativos aos fundamentos das Ciências da Educação e da teoria pedagógica, dos cursos de formação de professores." (Freitas, 2007, p. 1221)</w:t>
      </w:r>
    </w:p>
    <w:p w14:paraId="62871F9C" w14:textId="77777777" w:rsidR="00A73C52" w:rsidRPr="00B13DCB" w:rsidRDefault="00A73C52" w:rsidP="00A73C52">
      <w:pPr>
        <w:spacing w:line="360" w:lineRule="auto"/>
        <w:ind w:firstLine="709"/>
        <w:jc w:val="both"/>
        <w:rPr>
          <w:rFonts w:ascii="Times New Roman" w:eastAsia="Times New Roman" w:hAnsi="Times New Roman" w:cs="Times New Roman"/>
          <w:sz w:val="24"/>
          <w:szCs w:val="24"/>
        </w:rPr>
      </w:pPr>
      <w:r w:rsidRPr="00B13DCB">
        <w:rPr>
          <w:rFonts w:eastAsia="Times New Roman"/>
          <w:color w:val="000000"/>
          <w:sz w:val="24"/>
          <w:szCs w:val="24"/>
        </w:rPr>
        <w:t>Nesse sentido, o rompimento com o modelo que prioriza a teoria em detrimento da prática não pode significar a adoção de esquemas que supervalorizem a prática e minimizem o papel da teoria. Sabe-se que a prática pedagógica não é isenta de conhecimentos teóricos e que estes, por sua vez, ganham novos significados diante da realidade educacional e social. Sobre esta forma de compreender, Vásquez mostra que</w:t>
      </w:r>
    </w:p>
    <w:p w14:paraId="74D49CD4" w14:textId="77777777" w:rsidR="00A73C52" w:rsidRPr="00B13DCB" w:rsidRDefault="00A73C52" w:rsidP="00A73C52">
      <w:pPr>
        <w:spacing w:before="240" w:after="360" w:line="240" w:lineRule="auto"/>
        <w:ind w:left="2268"/>
        <w:jc w:val="both"/>
        <w:rPr>
          <w:rFonts w:ascii="Times New Roman" w:eastAsia="Times New Roman" w:hAnsi="Times New Roman" w:cs="Times New Roman"/>
          <w:sz w:val="24"/>
          <w:szCs w:val="24"/>
        </w:rPr>
      </w:pPr>
      <w:r w:rsidRPr="00B13DCB">
        <w:rPr>
          <w:rFonts w:eastAsia="Times New Roman"/>
          <w:color w:val="000000"/>
          <w:sz w:val="20"/>
          <w:szCs w:val="20"/>
        </w:rPr>
        <w:t>A teoria em si não transforma o mundo. (...)Entre a teoria e a atividade prática transformadora se insere um trabalho de educação das consciências, de organização de meios materiais e planos concretos de ação; tudo isso como passagem indispensável para desenvolver ações reais e efetivas. Nesse sentido, o que antes só existia idealmente, como conhecimento da realidade ou antecipação ideal de sua transformação. (VÁZQUEZ, 2007, p. 235).</w:t>
      </w:r>
    </w:p>
    <w:p w14:paraId="1B916635" w14:textId="77777777" w:rsidR="00A73C52" w:rsidRPr="001561D6" w:rsidRDefault="00A73C52" w:rsidP="00A73C52">
      <w:pPr>
        <w:spacing w:after="210" w:line="360" w:lineRule="auto"/>
        <w:ind w:firstLine="709"/>
        <w:jc w:val="both"/>
        <w:rPr>
          <w:sz w:val="24"/>
          <w:szCs w:val="24"/>
        </w:rPr>
      </w:pPr>
      <w:r w:rsidRPr="00B13DCB">
        <w:rPr>
          <w:rFonts w:eastAsia="Times New Roman"/>
          <w:color w:val="000000"/>
          <w:sz w:val="24"/>
          <w:szCs w:val="24"/>
        </w:rPr>
        <w:lastRenderedPageBreak/>
        <w:t>Depreende-se, portanto que</w:t>
      </w:r>
      <w:r w:rsidRPr="00B13DCB">
        <w:rPr>
          <w:rFonts w:eastAsia="Times New Roman"/>
          <w:color w:val="FF0000"/>
          <w:sz w:val="24"/>
          <w:szCs w:val="24"/>
        </w:rPr>
        <w:t xml:space="preserve"> </w:t>
      </w:r>
      <w:r w:rsidRPr="00B13DCB">
        <w:rPr>
          <w:rFonts w:eastAsia="Times New Roman"/>
          <w:color w:val="000000"/>
          <w:sz w:val="24"/>
          <w:szCs w:val="24"/>
        </w:rPr>
        <w:t xml:space="preserve">quanto mais sólida for a teoria que orienta a prática nos cursos de licenciatura, mais consistente e eficaz será a atividade prática dos docentes, ou seja, sem a teoria </w:t>
      </w:r>
      <w:proofErr w:type="spellStart"/>
      <w:r w:rsidRPr="00B13DCB">
        <w:rPr>
          <w:rFonts w:eastAsia="Times New Roman"/>
          <w:color w:val="000000"/>
          <w:sz w:val="24"/>
          <w:szCs w:val="24"/>
        </w:rPr>
        <w:t>a</w:t>
      </w:r>
      <w:proofErr w:type="spellEnd"/>
      <w:r w:rsidRPr="00B13DCB">
        <w:rPr>
          <w:rFonts w:eastAsia="Times New Roman"/>
          <w:color w:val="000000"/>
          <w:sz w:val="24"/>
          <w:szCs w:val="24"/>
        </w:rPr>
        <w:t xml:space="preserve"> prática torna-se cega, sem objetivo, um agir sem rumo e perde sua característica específica de atividade humana.</w:t>
      </w:r>
      <w:r>
        <w:rPr>
          <w:rFonts w:eastAsia="Times New Roman"/>
          <w:color w:val="000000"/>
          <w:sz w:val="24"/>
          <w:szCs w:val="24"/>
        </w:rPr>
        <w:t xml:space="preserve"> Para a discussão que se quer levantar é fundamental o entendimento de que: </w:t>
      </w:r>
    </w:p>
    <w:p w14:paraId="340AB607" w14:textId="77777777" w:rsidR="00A73C52" w:rsidRPr="00A82A86" w:rsidRDefault="00A73C52" w:rsidP="00A73C52">
      <w:pPr>
        <w:pStyle w:val="SemEspaamento"/>
        <w:rPr>
          <w:rFonts w:ascii="Arial" w:hAnsi="Arial" w:cs="Arial"/>
        </w:rPr>
      </w:pPr>
      <w:r w:rsidRPr="00A82A86">
        <w:rPr>
          <w:rFonts w:ascii="Arial" w:hAnsi="Arial" w:cs="Arial"/>
        </w:rPr>
        <w:t>A formação de base científica e técnica, em condições de igualdade para todos, é condição para forjar uma nova qualidade da formação dos educadores, que não se reduz a "treinamento", para lidar com os complexos processos na formação da infância e da juventude. Por esse motivo, uma política promissora para a formação inicial e continuada dos educadores deve fundar-se em outras condições, que permitam a participação ativa dos professores e de suas entidades nos processos de definição de sua formação e nos rumos da educação pública em nosso país. (Freitas, 2007, p. 1221)</w:t>
      </w:r>
    </w:p>
    <w:p w14:paraId="19F5FBEB" w14:textId="77777777" w:rsidR="00A73C52" w:rsidRPr="00AC69B0" w:rsidRDefault="00A73C52" w:rsidP="00A73C52">
      <w:pPr>
        <w:spacing w:after="210" w:line="360" w:lineRule="auto"/>
        <w:ind w:firstLine="709"/>
        <w:jc w:val="both"/>
        <w:rPr>
          <w:rFonts w:eastAsia="inter"/>
          <w:color w:val="000000"/>
          <w:sz w:val="24"/>
          <w:szCs w:val="24"/>
        </w:rPr>
      </w:pPr>
      <w:r w:rsidRPr="00AC69B0">
        <w:rPr>
          <w:color w:val="000000"/>
          <w:sz w:val="24"/>
          <w:szCs w:val="24"/>
        </w:rPr>
        <w:t xml:space="preserve">Nessa perspectiva, compreende-se que a ausência de uma sólida base teórica e epistemológica, das possibilidades de investigar as relações sociais e de perceber as condições reais e efetivas de se trabalhar na construção de uma sociedade alternativa reduz-se apenas a uma representação caótica e superficial. As reformas, em curso, não têm conseguido promover a humanização e a socialização do conhecimento; trata-se, portanto, de desvelar o sistema de “internalização” dos indivíduos nas suas dimensões visíveis e ocultas. </w:t>
      </w:r>
      <w:r w:rsidRPr="00AC69B0">
        <w:rPr>
          <w:sz w:val="24"/>
          <w:szCs w:val="24"/>
        </w:rPr>
        <w:t>Na contramão da política hegemônica de formação de professores, os movimentos sociais do campo, entre as suas bandeiras de luta e reivindicações, conquistaram uma política de formação do educador do campo desenhada na matriz da Licenciatura em Educação do Campo</w:t>
      </w:r>
    </w:p>
    <w:p w14:paraId="0CCE23E4" w14:textId="77777777" w:rsidR="00A73C52" w:rsidRPr="001561D6" w:rsidRDefault="00A73C52" w:rsidP="00A73C52">
      <w:pPr>
        <w:spacing w:before="315" w:after="105" w:line="360" w:lineRule="auto"/>
        <w:ind w:left="-28"/>
        <w:jc w:val="both"/>
        <w:rPr>
          <w:sz w:val="24"/>
          <w:szCs w:val="24"/>
        </w:rPr>
      </w:pPr>
      <w:r w:rsidRPr="001561D6">
        <w:rPr>
          <w:b/>
          <w:sz w:val="24"/>
          <w:szCs w:val="24"/>
        </w:rPr>
        <w:t>3</w:t>
      </w:r>
      <w:r w:rsidRPr="001561D6">
        <w:rPr>
          <w:b/>
          <w:sz w:val="24"/>
          <w:szCs w:val="24"/>
        </w:rPr>
        <w:tab/>
      </w:r>
      <w:r w:rsidRPr="001561D6">
        <w:rPr>
          <w:rFonts w:eastAsia="inter"/>
          <w:b/>
          <w:color w:val="000000"/>
          <w:sz w:val="24"/>
          <w:szCs w:val="24"/>
        </w:rPr>
        <w:t>FORMAÇÃO DE PROFESSORES CONTRA-HEGEMÔNICA ANCORADA NA EPISTEMOLOGIA DA PRÁXIS</w:t>
      </w:r>
      <w:r>
        <w:rPr>
          <w:rFonts w:eastAsia="inter"/>
          <w:b/>
          <w:color w:val="000000"/>
          <w:sz w:val="24"/>
          <w:szCs w:val="24"/>
        </w:rPr>
        <w:t>: Reflexões a partir do</w:t>
      </w:r>
      <w:r w:rsidRPr="001561D6">
        <w:rPr>
          <w:rFonts w:eastAsia="inter"/>
          <w:b/>
          <w:color w:val="000000"/>
          <w:sz w:val="24"/>
          <w:szCs w:val="24"/>
        </w:rPr>
        <w:t xml:space="preserve"> </w:t>
      </w:r>
      <w:r>
        <w:rPr>
          <w:rFonts w:eastAsia="inter"/>
          <w:b/>
          <w:color w:val="000000"/>
          <w:sz w:val="24"/>
          <w:szCs w:val="24"/>
        </w:rPr>
        <w:t>C</w:t>
      </w:r>
      <w:r w:rsidRPr="001561D6">
        <w:rPr>
          <w:rFonts w:eastAsia="inter"/>
          <w:b/>
          <w:color w:val="000000"/>
          <w:sz w:val="24"/>
          <w:szCs w:val="24"/>
        </w:rPr>
        <w:t xml:space="preserve">urso de </w:t>
      </w:r>
      <w:r>
        <w:rPr>
          <w:rFonts w:eastAsia="inter"/>
          <w:b/>
          <w:color w:val="000000"/>
          <w:sz w:val="24"/>
          <w:szCs w:val="24"/>
        </w:rPr>
        <w:t>L</w:t>
      </w:r>
      <w:r w:rsidRPr="001561D6">
        <w:rPr>
          <w:rFonts w:eastAsia="inter"/>
          <w:b/>
          <w:color w:val="000000"/>
          <w:sz w:val="24"/>
          <w:szCs w:val="24"/>
        </w:rPr>
        <w:t xml:space="preserve">icenciatura em </w:t>
      </w:r>
      <w:r>
        <w:rPr>
          <w:rFonts w:eastAsia="inter"/>
          <w:b/>
          <w:color w:val="000000"/>
          <w:sz w:val="24"/>
          <w:szCs w:val="24"/>
        </w:rPr>
        <w:t>E</w:t>
      </w:r>
      <w:r w:rsidRPr="001561D6">
        <w:rPr>
          <w:rFonts w:eastAsia="inter"/>
          <w:b/>
          <w:color w:val="000000"/>
          <w:sz w:val="24"/>
          <w:szCs w:val="24"/>
        </w:rPr>
        <w:t xml:space="preserve">ducação do </w:t>
      </w:r>
      <w:r>
        <w:rPr>
          <w:rFonts w:eastAsia="inter"/>
          <w:b/>
          <w:color w:val="000000"/>
          <w:sz w:val="24"/>
          <w:szCs w:val="24"/>
        </w:rPr>
        <w:t>C</w:t>
      </w:r>
      <w:r w:rsidRPr="001561D6">
        <w:rPr>
          <w:rFonts w:eastAsia="inter"/>
          <w:b/>
          <w:color w:val="000000"/>
          <w:sz w:val="24"/>
          <w:szCs w:val="24"/>
        </w:rPr>
        <w:t xml:space="preserve">ampo da </w:t>
      </w:r>
      <w:r>
        <w:rPr>
          <w:rFonts w:eastAsia="inter"/>
          <w:b/>
          <w:color w:val="000000"/>
          <w:sz w:val="24"/>
          <w:szCs w:val="24"/>
        </w:rPr>
        <w:t>U</w:t>
      </w:r>
      <w:r w:rsidRPr="001561D6">
        <w:rPr>
          <w:rFonts w:eastAsia="inter"/>
          <w:b/>
          <w:color w:val="000000"/>
          <w:sz w:val="24"/>
          <w:szCs w:val="24"/>
        </w:rPr>
        <w:t xml:space="preserve">niversidade </w:t>
      </w:r>
      <w:r>
        <w:rPr>
          <w:rFonts w:eastAsia="inter"/>
          <w:b/>
          <w:color w:val="000000"/>
          <w:sz w:val="24"/>
          <w:szCs w:val="24"/>
        </w:rPr>
        <w:t>F</w:t>
      </w:r>
      <w:r w:rsidRPr="001561D6">
        <w:rPr>
          <w:rFonts w:eastAsia="inter"/>
          <w:b/>
          <w:color w:val="000000"/>
          <w:sz w:val="24"/>
          <w:szCs w:val="24"/>
        </w:rPr>
        <w:t xml:space="preserve">ederal do </w:t>
      </w:r>
      <w:r>
        <w:rPr>
          <w:rFonts w:eastAsia="inter"/>
          <w:b/>
          <w:color w:val="000000"/>
          <w:sz w:val="24"/>
          <w:szCs w:val="24"/>
        </w:rPr>
        <w:t>M</w:t>
      </w:r>
      <w:r w:rsidRPr="001561D6">
        <w:rPr>
          <w:rFonts w:eastAsia="inter"/>
          <w:b/>
          <w:color w:val="000000"/>
          <w:sz w:val="24"/>
          <w:szCs w:val="24"/>
        </w:rPr>
        <w:t xml:space="preserve">aranhão </w:t>
      </w:r>
    </w:p>
    <w:p w14:paraId="5B439A2C" w14:textId="77777777" w:rsidR="00A73C52" w:rsidRPr="001561D6" w:rsidRDefault="00A73C52" w:rsidP="00A73C52">
      <w:pPr>
        <w:spacing w:after="210" w:line="360" w:lineRule="auto"/>
        <w:ind w:firstLine="709"/>
        <w:jc w:val="both"/>
        <w:rPr>
          <w:sz w:val="24"/>
          <w:szCs w:val="24"/>
        </w:rPr>
      </w:pPr>
      <w:r w:rsidRPr="001561D6">
        <w:rPr>
          <w:rFonts w:eastAsia="inter"/>
          <w:color w:val="000000"/>
          <w:sz w:val="24"/>
          <w:szCs w:val="24"/>
        </w:rPr>
        <w:t xml:space="preserve">O curso de Licenciatura em Educação do Campo surge a partir de demandas por políticas de ensino para os povos camponeses. A bandeira da Educação do Campo parte da necessidade de escolas em acampamentos, assentamentos, comunidades quilombolas e em áreas onde o povo camponês está inserido. Os </w:t>
      </w:r>
      <w:r w:rsidRPr="001561D6">
        <w:rPr>
          <w:rFonts w:eastAsia="inter"/>
          <w:color w:val="000000"/>
          <w:sz w:val="24"/>
          <w:szCs w:val="24"/>
        </w:rPr>
        <w:lastRenderedPageBreak/>
        <w:t>movimentos sociais do campo, em especial o M</w:t>
      </w:r>
      <w:r>
        <w:rPr>
          <w:rFonts w:eastAsia="inter"/>
          <w:color w:val="000000"/>
          <w:sz w:val="24"/>
          <w:szCs w:val="24"/>
        </w:rPr>
        <w:t>ovimento dos Trabalhadores Rurais Sem Terra (M</w:t>
      </w:r>
      <w:r w:rsidRPr="001561D6">
        <w:rPr>
          <w:rFonts w:eastAsia="inter"/>
          <w:color w:val="000000"/>
          <w:sz w:val="24"/>
          <w:szCs w:val="24"/>
        </w:rPr>
        <w:t>ST</w:t>
      </w:r>
      <w:r>
        <w:rPr>
          <w:rFonts w:eastAsia="inter"/>
          <w:color w:val="000000"/>
          <w:sz w:val="24"/>
          <w:szCs w:val="24"/>
        </w:rPr>
        <w:t>)</w:t>
      </w:r>
      <w:r w:rsidRPr="001561D6">
        <w:rPr>
          <w:rFonts w:eastAsia="inter"/>
          <w:color w:val="000000"/>
          <w:sz w:val="24"/>
          <w:szCs w:val="24"/>
        </w:rPr>
        <w:t>, têm como bandeira a educação do campo como direito e não esmola, fazendo a luta para ter escolas no campo.</w:t>
      </w:r>
    </w:p>
    <w:p w14:paraId="4B7E7A9A" w14:textId="77777777" w:rsidR="00A73C52" w:rsidRPr="001561D6" w:rsidRDefault="00A73C52" w:rsidP="00A73C52">
      <w:pPr>
        <w:spacing w:after="210" w:line="360" w:lineRule="auto"/>
        <w:ind w:firstLine="709"/>
        <w:jc w:val="both"/>
        <w:rPr>
          <w:rFonts w:eastAsia="inter"/>
          <w:color w:val="000000"/>
          <w:sz w:val="24"/>
          <w:szCs w:val="24"/>
        </w:rPr>
      </w:pPr>
      <w:r w:rsidRPr="001561D6">
        <w:rPr>
          <w:rFonts w:eastAsia="inter"/>
          <w:color w:val="000000"/>
          <w:sz w:val="24"/>
          <w:szCs w:val="24"/>
        </w:rPr>
        <w:t xml:space="preserve">O Maranhão apresenta especificidades que tornam ainda mais necessária essa luta pela </w:t>
      </w:r>
      <w:r>
        <w:rPr>
          <w:rFonts w:eastAsia="inter"/>
          <w:color w:val="000000"/>
          <w:sz w:val="24"/>
          <w:szCs w:val="24"/>
        </w:rPr>
        <w:t>E</w:t>
      </w:r>
      <w:r w:rsidRPr="001561D6">
        <w:rPr>
          <w:rFonts w:eastAsia="inter"/>
          <w:color w:val="000000"/>
          <w:sz w:val="24"/>
          <w:szCs w:val="24"/>
        </w:rPr>
        <w:t xml:space="preserve">ducação do </w:t>
      </w:r>
      <w:r>
        <w:rPr>
          <w:rFonts w:eastAsia="inter"/>
          <w:color w:val="000000"/>
          <w:sz w:val="24"/>
          <w:szCs w:val="24"/>
        </w:rPr>
        <w:t>C</w:t>
      </w:r>
      <w:r w:rsidRPr="001561D6">
        <w:rPr>
          <w:rFonts w:eastAsia="inter"/>
          <w:color w:val="000000"/>
          <w:sz w:val="24"/>
          <w:szCs w:val="24"/>
        </w:rPr>
        <w:t xml:space="preserve">ampo. O estado possui uma grande população rural, comunidades quilombolas, povos tradicionais e uma estrutura fundiária marcada pelo conflito de terras. Para isso, precisamos pensar na formação de professores das escolas que são situadas nas comunidades campesinas numa lógica </w:t>
      </w:r>
      <w:proofErr w:type="spellStart"/>
      <w:r w:rsidRPr="001561D6">
        <w:rPr>
          <w:rFonts w:eastAsia="inter"/>
          <w:color w:val="000000"/>
          <w:sz w:val="24"/>
          <w:szCs w:val="24"/>
        </w:rPr>
        <w:t>contra-hegemônica</w:t>
      </w:r>
      <w:proofErr w:type="spellEnd"/>
      <w:r w:rsidRPr="001561D6">
        <w:rPr>
          <w:rFonts w:eastAsia="inter"/>
          <w:color w:val="000000"/>
          <w:sz w:val="24"/>
          <w:szCs w:val="24"/>
        </w:rPr>
        <w:t>. Não basta ter escolas no campo se não houver professores comprometidos com o campo e com os povos camponeses, sobretudo nos territórios maranhenses.</w:t>
      </w:r>
    </w:p>
    <w:p w14:paraId="4E324002" w14:textId="77777777" w:rsidR="00A73C52" w:rsidRPr="001561D6" w:rsidRDefault="00A73C52" w:rsidP="00A73C52">
      <w:pPr>
        <w:spacing w:after="210" w:line="360" w:lineRule="auto"/>
        <w:ind w:firstLine="709"/>
        <w:jc w:val="both"/>
        <w:rPr>
          <w:sz w:val="24"/>
          <w:szCs w:val="24"/>
        </w:rPr>
      </w:pPr>
      <w:r w:rsidRPr="001561D6">
        <w:rPr>
          <w:rFonts w:eastAsia="inter"/>
          <w:color w:val="000000"/>
          <w:sz w:val="24"/>
          <w:szCs w:val="24"/>
        </w:rPr>
        <w:t xml:space="preserve">A Licenciatura em Educação do Campo da Universidade Federal do Maranhão constitui-se como uma política pública de formação de educadores que busca atender às demandas específicas dos povos do campo. </w:t>
      </w:r>
    </w:p>
    <w:p w14:paraId="78CE734D" w14:textId="77777777" w:rsidR="00A73C52" w:rsidRPr="00A82A86" w:rsidRDefault="00A73C52" w:rsidP="00A73C52">
      <w:pPr>
        <w:pStyle w:val="SemEspaamento"/>
        <w:rPr>
          <w:rFonts w:ascii="Arial" w:hAnsi="Arial" w:cs="Arial"/>
        </w:rPr>
      </w:pPr>
      <w:r w:rsidRPr="00A82A86">
        <w:rPr>
          <w:rFonts w:ascii="Arial" w:hAnsi="Arial" w:cs="Arial"/>
        </w:rPr>
        <w:t>A Licenciatura em Educação do Campo foi construída com o objetivo de alterar a forma e o conteúdo na educação superior, funcionando como exemplo didático-pedagógico para as escolas do campo, tendo como função social garantir o acesso ao conhecimento produzido historicamente pela humanidade. (Diniz, 2021, p.135)</w:t>
      </w:r>
    </w:p>
    <w:p w14:paraId="232A445D" w14:textId="77777777" w:rsidR="00A73C52" w:rsidRPr="001561D6" w:rsidRDefault="00A73C52" w:rsidP="00A73C52">
      <w:pPr>
        <w:spacing w:after="210" w:line="360" w:lineRule="auto"/>
        <w:ind w:firstLine="709"/>
        <w:jc w:val="both"/>
        <w:rPr>
          <w:rFonts w:eastAsia="inter"/>
          <w:color w:val="000000"/>
          <w:sz w:val="24"/>
          <w:szCs w:val="24"/>
        </w:rPr>
      </w:pPr>
      <w:r w:rsidRPr="001561D6">
        <w:rPr>
          <w:sz w:val="24"/>
          <w:szCs w:val="24"/>
        </w:rPr>
        <w:t>De acordo com Diniz (2021), as concepções de campo e de educação que estruturam o Projeto Político Pedagógico (PPP) estão alinhadas com as discussões do Movimento d</w:t>
      </w:r>
      <w:r>
        <w:rPr>
          <w:sz w:val="24"/>
          <w:szCs w:val="24"/>
        </w:rPr>
        <w:t>a</w:t>
      </w:r>
      <w:r w:rsidRPr="001561D6">
        <w:rPr>
          <w:sz w:val="24"/>
          <w:szCs w:val="24"/>
        </w:rPr>
        <w:t xml:space="preserve"> Educação do Campo, ao afirmar que a política de Educação do Campo surgiu das lutas dos trabalhadores rurais no enfrentamento das questões agrárias, que se estendem para além da propriedade da terra para abarcar diversas políticas públicas.  </w:t>
      </w:r>
      <w:r w:rsidRPr="001561D6">
        <w:rPr>
          <w:rFonts w:eastAsia="inter"/>
          <w:color w:val="000000"/>
          <w:sz w:val="24"/>
          <w:szCs w:val="24"/>
        </w:rPr>
        <w:t xml:space="preserve">Nesse sentido, a formação de professores que atuarão nessas escolas, deve ser pautada na lógica de superar a alienação da forma escolar, pautada na formação de sujeitos que serão </w:t>
      </w:r>
      <w:proofErr w:type="gramStart"/>
      <w:r w:rsidRPr="001561D6">
        <w:rPr>
          <w:rFonts w:eastAsia="inter"/>
          <w:color w:val="000000"/>
          <w:sz w:val="24"/>
          <w:szCs w:val="24"/>
        </w:rPr>
        <w:t>protagonista</w:t>
      </w:r>
      <w:proofErr w:type="gramEnd"/>
      <w:r w:rsidRPr="001561D6">
        <w:rPr>
          <w:rFonts w:eastAsia="inter"/>
          <w:color w:val="000000"/>
          <w:sz w:val="24"/>
          <w:szCs w:val="24"/>
        </w:rPr>
        <w:t xml:space="preserve"> na luta por uma transformação social. </w:t>
      </w:r>
    </w:p>
    <w:p w14:paraId="278D7323" w14:textId="77777777" w:rsidR="00A73C52" w:rsidRPr="001561D6" w:rsidRDefault="00A73C52" w:rsidP="00A73C52">
      <w:pPr>
        <w:spacing w:line="360" w:lineRule="auto"/>
        <w:ind w:firstLine="426"/>
        <w:jc w:val="both"/>
        <w:rPr>
          <w:sz w:val="24"/>
          <w:szCs w:val="24"/>
        </w:rPr>
      </w:pPr>
      <w:r w:rsidRPr="001561D6">
        <w:rPr>
          <w:sz w:val="24"/>
          <w:szCs w:val="24"/>
        </w:rPr>
        <w:t>Dessa forma, a Licenciatura em Educação do Campo da UFMA</w:t>
      </w:r>
      <w:r>
        <w:rPr>
          <w:sz w:val="24"/>
          <w:szCs w:val="24"/>
        </w:rPr>
        <w:t>,</w:t>
      </w:r>
      <w:r w:rsidRPr="001561D6">
        <w:rPr>
          <w:sz w:val="24"/>
          <w:szCs w:val="24"/>
        </w:rPr>
        <w:t xml:space="preserve"> materializa uma concepção de formação que transcende os limites da sala de aula universitária </w:t>
      </w:r>
      <w:r w:rsidRPr="001561D6">
        <w:rPr>
          <w:sz w:val="24"/>
          <w:szCs w:val="24"/>
        </w:rPr>
        <w:lastRenderedPageBreak/>
        <w:t xml:space="preserve">tradicional, constituindo-se como práxis educativa transformadora. Através da pedagogia da alternância e da formação por áreas de conhecimento, o curso desafia a fragmentação disciplinar e promove uma educação enraizada na vida camponesa. Assim, consolida-se uma experiência </w:t>
      </w:r>
      <w:proofErr w:type="spellStart"/>
      <w:r w:rsidRPr="001561D6">
        <w:rPr>
          <w:sz w:val="24"/>
          <w:szCs w:val="24"/>
        </w:rPr>
        <w:t>contra-hegemônica</w:t>
      </w:r>
      <w:proofErr w:type="spellEnd"/>
      <w:r w:rsidRPr="001561D6">
        <w:rPr>
          <w:sz w:val="24"/>
          <w:szCs w:val="24"/>
        </w:rPr>
        <w:t xml:space="preserve"> que demonstra ser possível formar professores comprometidos com a emancipação dos povos do campo, superando a lógica mercantil que subordina a educação aos interesses do capital.</w:t>
      </w:r>
    </w:p>
    <w:p w14:paraId="7886C6E6" w14:textId="77777777" w:rsidR="00A73C52" w:rsidRPr="001561D6" w:rsidRDefault="00A73C52" w:rsidP="00A73C52">
      <w:pPr>
        <w:spacing w:after="210" w:line="360" w:lineRule="auto"/>
        <w:ind w:firstLine="709"/>
        <w:jc w:val="both"/>
        <w:rPr>
          <w:sz w:val="24"/>
          <w:szCs w:val="24"/>
        </w:rPr>
      </w:pPr>
      <w:r w:rsidRPr="001561D6">
        <w:rPr>
          <w:rFonts w:eastAsia="inter"/>
          <w:color w:val="000000"/>
          <w:sz w:val="24"/>
          <w:szCs w:val="24"/>
        </w:rPr>
        <w:t>Entendendo que a escola precisa estar vinculada com todas as lutas do campo e que os conteúdos científicos não devem ser aquém dos educandos e de sua vida, a Licenciatura em Educação do Campo da UFMA cria espaços, práticas e estratégias de mudança da relação da escola do campo, pensa possibilidades de convergência dos perfis para os quais os professores das escolas do campo sairão formados do curso de graduação.</w:t>
      </w:r>
    </w:p>
    <w:p w14:paraId="658966CE" w14:textId="77777777" w:rsidR="00A73C52" w:rsidRPr="00A82A86" w:rsidRDefault="00A73C52" w:rsidP="00A73C52">
      <w:pPr>
        <w:pStyle w:val="SemEspaamento"/>
        <w:rPr>
          <w:rFonts w:ascii="Arial" w:hAnsi="Arial" w:cs="Arial"/>
        </w:rPr>
      </w:pPr>
      <w:r w:rsidRPr="00A82A86">
        <w:rPr>
          <w:rFonts w:ascii="Arial" w:hAnsi="Arial" w:cs="Arial"/>
        </w:rPr>
        <w:t>Dessa forma, é possível identificar nas concepções, princípios e objetivos a defesa de uma matriz formativa cuja referência é o trabalho (produção social da existência do ser homem), conjugado à construção de uma nova sociedade, esta, uma condição para desencadear a educação de homens e mulheres comprometidos com a sociabilidade humana em contraposição à sociabilidade capitalista (Diniz, 2021, p. 120)</w:t>
      </w:r>
    </w:p>
    <w:p w14:paraId="6339D369" w14:textId="77777777" w:rsidR="00A73C52" w:rsidRDefault="00A73C52" w:rsidP="00A73C52">
      <w:pPr>
        <w:pStyle w:val="SemEspaamento"/>
      </w:pPr>
    </w:p>
    <w:p w14:paraId="3C705689" w14:textId="77777777" w:rsidR="00A73C52" w:rsidRPr="001561D6" w:rsidRDefault="00A73C52" w:rsidP="00A73C52">
      <w:pPr>
        <w:spacing w:after="210" w:line="360" w:lineRule="auto"/>
        <w:ind w:firstLine="709"/>
        <w:jc w:val="both"/>
        <w:rPr>
          <w:rFonts w:eastAsia="inter"/>
          <w:color w:val="000000"/>
          <w:sz w:val="24"/>
          <w:szCs w:val="24"/>
        </w:rPr>
      </w:pPr>
      <w:r w:rsidRPr="00B13DCB">
        <w:rPr>
          <w:rFonts w:eastAsia="inter"/>
          <w:color w:val="000000"/>
          <w:sz w:val="24"/>
          <w:szCs w:val="24"/>
        </w:rPr>
        <w:t>Entender a</w:t>
      </w:r>
      <w:r w:rsidRPr="001561D6">
        <w:rPr>
          <w:rFonts w:eastAsia="inter"/>
          <w:color w:val="000000"/>
          <w:sz w:val="24"/>
          <w:szCs w:val="24"/>
        </w:rPr>
        <w:t xml:space="preserve"> disputa do modelo de campo no Maranhão não</w:t>
      </w:r>
      <w:r>
        <w:rPr>
          <w:rFonts w:eastAsia="inter"/>
          <w:color w:val="000000"/>
          <w:sz w:val="24"/>
          <w:szCs w:val="24"/>
        </w:rPr>
        <w:t xml:space="preserve"> deve</w:t>
      </w:r>
      <w:r w:rsidRPr="001561D6">
        <w:rPr>
          <w:rFonts w:eastAsia="inter"/>
          <w:color w:val="000000"/>
          <w:sz w:val="24"/>
          <w:szCs w:val="24"/>
        </w:rPr>
        <w:t xml:space="preserve"> se desvincula</w:t>
      </w:r>
      <w:r>
        <w:rPr>
          <w:rFonts w:eastAsia="inter"/>
          <w:color w:val="000000"/>
          <w:sz w:val="24"/>
          <w:szCs w:val="24"/>
        </w:rPr>
        <w:t>r</w:t>
      </w:r>
      <w:r w:rsidRPr="001561D6">
        <w:rPr>
          <w:rFonts w:eastAsia="inter"/>
          <w:color w:val="000000"/>
          <w:sz w:val="24"/>
          <w:szCs w:val="24"/>
        </w:rPr>
        <w:t xml:space="preserve"> do processo educativo, assim, consolidando dentro da formação do sujeito do campo uma visão global do desafio a ser enfrentado no estado, construindo consciência de classe, visão de mundo e inserindo-se nas lutas dos movimentos sociais, nos trabalhos coletivos, nas organizações de suas comunidades.</w:t>
      </w:r>
    </w:p>
    <w:p w14:paraId="3CB4951E" w14:textId="77777777" w:rsidR="00A73C52" w:rsidRPr="001561D6" w:rsidRDefault="00A73C52" w:rsidP="00A73C52">
      <w:pPr>
        <w:spacing w:after="210" w:line="360" w:lineRule="auto"/>
        <w:ind w:firstLine="709"/>
        <w:jc w:val="both"/>
        <w:rPr>
          <w:sz w:val="24"/>
          <w:szCs w:val="24"/>
        </w:rPr>
      </w:pPr>
      <w:r w:rsidRPr="001561D6">
        <w:rPr>
          <w:sz w:val="24"/>
          <w:szCs w:val="24"/>
        </w:rPr>
        <w:t xml:space="preserve">Para Diniz (2021, p.108), a criação do curso orientou-se pela necessidade de promover transformações estruturais nos territórios de assentamento maranhenses, abrangendo tanto as dimensões socioeconômicas quanto político-culturais desses espaços. Sua proposta formativa articula o trabalho educativo direto com as populações camponesas e suas famílias com estratégias de organização comunitária que fortaleçam a luta por uma escola pública contextualizada no campo. Além disso, </w:t>
      </w:r>
      <w:r w:rsidRPr="001561D6">
        <w:rPr>
          <w:sz w:val="24"/>
          <w:szCs w:val="24"/>
        </w:rPr>
        <w:lastRenderedPageBreak/>
        <w:t xml:space="preserve">o projeto pedagógico busca formar educadores que extrapolem a função docente tradicional nas etapas finais da educação básica, constituindo-se como lideranças orgânicas em seus territórios de origem e desenvolvendo capacidades para dar continuidade aos seus processos formativos. </w:t>
      </w:r>
    </w:p>
    <w:p w14:paraId="76C98772" w14:textId="77777777" w:rsidR="00A73C52" w:rsidRPr="001561D6" w:rsidRDefault="00A73C52" w:rsidP="00A73C52">
      <w:pPr>
        <w:spacing w:after="210" w:line="360" w:lineRule="auto"/>
        <w:ind w:firstLine="709"/>
        <w:jc w:val="both"/>
        <w:rPr>
          <w:rFonts w:eastAsia="inter"/>
          <w:color w:val="000000"/>
          <w:sz w:val="24"/>
          <w:szCs w:val="24"/>
        </w:rPr>
      </w:pPr>
      <w:r w:rsidRPr="001561D6">
        <w:rPr>
          <w:rFonts w:eastAsia="inter"/>
          <w:color w:val="000000"/>
          <w:sz w:val="24"/>
          <w:szCs w:val="24"/>
        </w:rPr>
        <w:t xml:space="preserve">A Licenciatura em Educação do Campo da UFMA desafia-se a trabalhar com a práxis pedagógica, onde o estudante não deve se desvincular da sua comunidade para estudar, ou seja, não deve abandonar a família e o lugar de onde vive para estudar um curso superior.  A alternância Pedagógica no curso funciona da seguinte forma: para que se mantenha o estudante vinculado em sua comunidade são criadas bases nos fundamentos político-epistemológicos da pedagogia dos movimentos sociais, onde os tempos educativos são divididos em dois, o Tempo Universidade e o Tempo Comunidade. </w:t>
      </w:r>
    </w:p>
    <w:p w14:paraId="2C5E21AB" w14:textId="77777777" w:rsidR="00A73C52" w:rsidRDefault="00A73C52" w:rsidP="00A73C52">
      <w:pPr>
        <w:spacing w:line="360" w:lineRule="auto"/>
        <w:ind w:firstLine="709"/>
        <w:jc w:val="both"/>
        <w:rPr>
          <w:sz w:val="24"/>
          <w:szCs w:val="24"/>
        </w:rPr>
      </w:pPr>
      <w:r w:rsidRPr="001561D6">
        <w:rPr>
          <w:rFonts w:eastAsia="inter"/>
          <w:color w:val="000000"/>
          <w:sz w:val="24"/>
          <w:szCs w:val="24"/>
        </w:rPr>
        <w:t>O Tempo Universidade é o tempo onde o estudante passa 30 dias estudando na universidade e o Tempo Comunidade, o estudante volta para sua comunidade no interior maranhense e continua estudando, buscando elementos que fundamentam a teoria a partir da prática. Retorna para o Tempo Universidade com as contradições e desafios para serem pensados a partir das literaturas propostas sobre como trabalhar com essas contradições.</w:t>
      </w:r>
    </w:p>
    <w:p w14:paraId="323E5D56" w14:textId="77777777" w:rsidR="00A73C52" w:rsidRDefault="00A73C52" w:rsidP="00A73C52">
      <w:pPr>
        <w:spacing w:line="360" w:lineRule="auto"/>
        <w:jc w:val="both"/>
        <w:rPr>
          <w:b/>
          <w:sz w:val="24"/>
          <w:szCs w:val="24"/>
        </w:rPr>
      </w:pPr>
    </w:p>
    <w:p w14:paraId="1D8F7945" w14:textId="77777777" w:rsidR="00A73C52" w:rsidRDefault="00A73C52" w:rsidP="00A73C52">
      <w:pPr>
        <w:spacing w:line="360" w:lineRule="auto"/>
        <w:jc w:val="both"/>
        <w:rPr>
          <w:b/>
          <w:sz w:val="24"/>
          <w:szCs w:val="24"/>
        </w:rPr>
      </w:pPr>
      <w:r>
        <w:rPr>
          <w:b/>
          <w:sz w:val="24"/>
          <w:szCs w:val="24"/>
        </w:rPr>
        <w:t>3</w:t>
      </w:r>
      <w:r>
        <w:rPr>
          <w:b/>
          <w:sz w:val="24"/>
          <w:szCs w:val="24"/>
        </w:rPr>
        <w:tab/>
        <w:t>CONCLUSÃO</w:t>
      </w:r>
    </w:p>
    <w:p w14:paraId="242C1B6B" w14:textId="77777777" w:rsidR="00A73C52" w:rsidRDefault="00A73C52" w:rsidP="00A73C52">
      <w:pPr>
        <w:spacing w:line="360" w:lineRule="auto"/>
        <w:jc w:val="both"/>
        <w:rPr>
          <w:sz w:val="24"/>
          <w:szCs w:val="24"/>
        </w:rPr>
      </w:pPr>
    </w:p>
    <w:p w14:paraId="4B24990F" w14:textId="77777777" w:rsidR="00A73C52" w:rsidRPr="00B13DCB" w:rsidRDefault="00A73C52" w:rsidP="00A73C52">
      <w:pPr>
        <w:spacing w:line="360" w:lineRule="auto"/>
        <w:ind w:firstLine="1134"/>
        <w:jc w:val="both"/>
        <w:rPr>
          <w:rFonts w:ascii="Times New Roman" w:eastAsia="Times New Roman" w:hAnsi="Times New Roman" w:cs="Times New Roman"/>
          <w:sz w:val="24"/>
          <w:szCs w:val="24"/>
        </w:rPr>
      </w:pPr>
      <w:r w:rsidRPr="00B13DCB">
        <w:rPr>
          <w:rFonts w:eastAsia="Times New Roman"/>
          <w:color w:val="000000"/>
          <w:sz w:val="24"/>
          <w:szCs w:val="24"/>
        </w:rPr>
        <w:t>Diante dessas reflexões, a defesa da formação qualificada do Educador do Campo constitui-se um desafio, pois, as reformas educacionais vêm reforçando a ausência do Estado do dever de garantir à população o acesso à educação pública, gratuita e de qualidade socialmente referenciada no espaço das instituições públicas. A estratégia reformista tem sido utilizada como justificativa para corrigir os defeitos e fracassos existentes no campo educacional, sem, contudo, conseguir eliminar ou superar os problemas existentes. </w:t>
      </w:r>
    </w:p>
    <w:p w14:paraId="5610AF56" w14:textId="77777777" w:rsidR="00A73C52" w:rsidRPr="00B13DCB" w:rsidRDefault="00A73C52" w:rsidP="00A73C52">
      <w:pPr>
        <w:spacing w:line="360" w:lineRule="auto"/>
        <w:ind w:firstLine="1134"/>
        <w:jc w:val="both"/>
        <w:rPr>
          <w:rFonts w:ascii="Times New Roman" w:eastAsia="Times New Roman" w:hAnsi="Times New Roman" w:cs="Times New Roman"/>
          <w:sz w:val="24"/>
          <w:szCs w:val="24"/>
        </w:rPr>
      </w:pPr>
      <w:r w:rsidRPr="00B13DCB">
        <w:rPr>
          <w:rFonts w:eastAsia="Times New Roman"/>
          <w:color w:val="000000"/>
          <w:sz w:val="24"/>
          <w:szCs w:val="24"/>
        </w:rPr>
        <w:lastRenderedPageBreak/>
        <w:t xml:space="preserve">Os cursos de formação de professores devem visar à formação de seres humanos plenamente cultos, a partir de um modelo de formação que contemple um percurso teórico à luz do pensamento dialético em direção a unidade entre teoria e prática. Dessa forma, “[…] o ato de antecipar mentalmente o que será realizado significa exatamente que a prática humana é determinada pela teoria […]” (SAVIANI, </w:t>
      </w:r>
      <w:r w:rsidRPr="00A35833">
        <w:rPr>
          <w:rFonts w:eastAsia="Times New Roman"/>
          <w:color w:val="000000"/>
          <w:sz w:val="24"/>
          <w:szCs w:val="24"/>
        </w:rPr>
        <w:t>2011, p. 08</w:t>
      </w:r>
      <w:r w:rsidRPr="00B13DCB">
        <w:rPr>
          <w:rFonts w:eastAsia="Times New Roman"/>
          <w:color w:val="000000"/>
          <w:sz w:val="24"/>
          <w:szCs w:val="24"/>
        </w:rPr>
        <w:t>). Nessa concepção a história é concebida como eixo da formação do licenciando, fazendo-os profundos conhecedores da história concreta dos homens dentro de uma percepção de que esta é produzida individual e coletivamente. </w:t>
      </w:r>
    </w:p>
    <w:p w14:paraId="59235CBE" w14:textId="77777777" w:rsidR="00A73C52" w:rsidRPr="00B13DCB" w:rsidRDefault="00A73C52" w:rsidP="00A73C52">
      <w:pPr>
        <w:spacing w:line="360" w:lineRule="auto"/>
        <w:ind w:firstLine="1134"/>
        <w:jc w:val="both"/>
        <w:rPr>
          <w:rFonts w:ascii="Times New Roman" w:eastAsia="Times New Roman" w:hAnsi="Times New Roman" w:cs="Times New Roman"/>
          <w:sz w:val="24"/>
          <w:szCs w:val="24"/>
        </w:rPr>
      </w:pPr>
      <w:r w:rsidRPr="00B13DCB">
        <w:rPr>
          <w:rFonts w:eastAsia="Times New Roman"/>
          <w:color w:val="000000"/>
          <w:sz w:val="24"/>
          <w:szCs w:val="24"/>
        </w:rPr>
        <w:t>Concorda-se que é necessário “[…] elaborar uma teoria concreta da revolução como passagem indispensável, em virtude da unidade entre teoria e prática para transformar as relações existentes […]” (VÁSQUEZ, 2007, p. 157). A pesquisa educacional que toma o cotidiano como objeto de estudo, acaba se limitando a descrições e impressões a teoria tem finalidade que não se reduz ao ato de interpretar ou de aceitar a imutabilidade do mundo, mas que conduza a uma práxis revolucionária, vista como atitude humana de transformação da natureza e da sociedade a fim de alcançar a autonomia e a emancipação dos sujeitos envolvidos.</w:t>
      </w:r>
    </w:p>
    <w:p w14:paraId="3CA9D172" w14:textId="77777777" w:rsidR="00A73C52" w:rsidRPr="00D977EC" w:rsidRDefault="00A73C52" w:rsidP="00A73C52">
      <w:pPr>
        <w:spacing w:line="360" w:lineRule="auto"/>
        <w:ind w:firstLine="1134"/>
        <w:jc w:val="both"/>
        <w:rPr>
          <w:rFonts w:ascii="Times New Roman" w:eastAsia="Times New Roman" w:hAnsi="Times New Roman" w:cs="Times New Roman"/>
          <w:sz w:val="24"/>
          <w:szCs w:val="24"/>
          <w:highlight w:val="yellow"/>
        </w:rPr>
      </w:pPr>
    </w:p>
    <w:p w14:paraId="59D4D5E2" w14:textId="77777777" w:rsidR="00A73C52" w:rsidRPr="00CB33DD" w:rsidRDefault="00A73C52" w:rsidP="00A73C52">
      <w:pPr>
        <w:spacing w:after="210" w:line="360" w:lineRule="auto"/>
        <w:ind w:firstLine="709"/>
        <w:jc w:val="both"/>
        <w:rPr>
          <w:bCs/>
          <w:sz w:val="24"/>
          <w:szCs w:val="24"/>
        </w:rPr>
      </w:pPr>
      <w:r>
        <w:rPr>
          <w:b/>
          <w:sz w:val="24"/>
          <w:szCs w:val="24"/>
        </w:rPr>
        <w:t xml:space="preserve">REFERÊNCIAS </w:t>
      </w:r>
    </w:p>
    <w:p w14:paraId="551E2647" w14:textId="77777777" w:rsidR="00A73C52" w:rsidRPr="007635CB" w:rsidRDefault="00A73C52" w:rsidP="00A73C52">
      <w:pPr>
        <w:spacing w:line="240" w:lineRule="auto"/>
        <w:jc w:val="both"/>
        <w:rPr>
          <w:sz w:val="24"/>
          <w:szCs w:val="24"/>
        </w:rPr>
      </w:pPr>
    </w:p>
    <w:p w14:paraId="00AF5035" w14:textId="77777777" w:rsidR="00A73C52" w:rsidRPr="00B73CC1" w:rsidRDefault="00A73C52" w:rsidP="00A73C52">
      <w:pPr>
        <w:spacing w:after="210" w:line="240" w:lineRule="auto"/>
        <w:jc w:val="both"/>
        <w:rPr>
          <w:sz w:val="24"/>
          <w:szCs w:val="24"/>
        </w:rPr>
      </w:pPr>
      <w:r w:rsidRPr="007635CB">
        <w:rPr>
          <w:sz w:val="24"/>
          <w:szCs w:val="24"/>
        </w:rPr>
        <w:t>DINIZ, Diana Costa.</w:t>
      </w:r>
      <w:r w:rsidRPr="00B73CC1">
        <w:rPr>
          <w:sz w:val="24"/>
          <w:szCs w:val="24"/>
        </w:rPr>
        <w:t> </w:t>
      </w:r>
      <w:r w:rsidRPr="007635CB">
        <w:rPr>
          <w:b/>
          <w:bCs/>
          <w:sz w:val="24"/>
          <w:szCs w:val="24"/>
        </w:rPr>
        <w:t>A formação de professores para o ensino de ciências da natureza e matemática em escolas do campo: reflexões e críticas a partir da experiência do Curso de Licenciatura em Educação do Campo da UFMA.</w:t>
      </w:r>
      <w:r w:rsidRPr="00B73CC1">
        <w:rPr>
          <w:sz w:val="24"/>
          <w:szCs w:val="24"/>
        </w:rPr>
        <w:t xml:space="preserve"> Tese (Doutorado) – Universidade Federal de Mato Grosso, Rede Amazônica de Educação em Ciências e Matemática, 2021.</w:t>
      </w:r>
    </w:p>
    <w:p w14:paraId="60A4AFA2" w14:textId="77777777" w:rsidR="00A73C52" w:rsidRDefault="00A73C52" w:rsidP="00A73C52">
      <w:pPr>
        <w:spacing w:after="210" w:line="240" w:lineRule="auto"/>
        <w:jc w:val="both"/>
        <w:rPr>
          <w:sz w:val="24"/>
          <w:szCs w:val="24"/>
        </w:rPr>
      </w:pPr>
      <w:r w:rsidRPr="007635CB">
        <w:rPr>
          <w:sz w:val="24"/>
          <w:szCs w:val="24"/>
        </w:rPr>
        <w:t>FREITAS, Helena Costa Lopes de.</w:t>
      </w:r>
      <w:r w:rsidRPr="00B73CC1">
        <w:rPr>
          <w:sz w:val="24"/>
          <w:szCs w:val="24"/>
        </w:rPr>
        <w:t> A reforma do Ensino Superior no campo da formação dos profissionais da educação básica: as políticas educacionais e o movimento dos educadores. </w:t>
      </w:r>
      <w:r w:rsidRPr="00B73CC1">
        <w:rPr>
          <w:b/>
          <w:bCs/>
          <w:sz w:val="24"/>
          <w:szCs w:val="24"/>
        </w:rPr>
        <w:t>Educação &amp; Sociedade</w:t>
      </w:r>
      <w:r w:rsidRPr="00B73CC1">
        <w:rPr>
          <w:sz w:val="24"/>
          <w:szCs w:val="24"/>
        </w:rPr>
        <w:t>, Campinas, v. 20, n. 68, p. 11-57, dez. 1999.</w:t>
      </w:r>
    </w:p>
    <w:p w14:paraId="28F2C467" w14:textId="77777777" w:rsidR="00A73C52" w:rsidRPr="00B73CC1" w:rsidRDefault="00A73C52" w:rsidP="00A73C52">
      <w:pPr>
        <w:spacing w:after="210" w:line="240" w:lineRule="auto"/>
        <w:jc w:val="both"/>
        <w:rPr>
          <w:sz w:val="24"/>
          <w:szCs w:val="24"/>
        </w:rPr>
      </w:pPr>
      <w:r w:rsidRPr="007635CB">
        <w:rPr>
          <w:sz w:val="24"/>
          <w:szCs w:val="24"/>
        </w:rPr>
        <w:t>FREITAS, Helena Costa Lopes de.</w:t>
      </w:r>
      <w:r w:rsidRPr="00B73CC1">
        <w:rPr>
          <w:sz w:val="24"/>
          <w:szCs w:val="24"/>
        </w:rPr>
        <w:t> Certificação docente e formação do educador: regulação e desprofissionalização. </w:t>
      </w:r>
      <w:r w:rsidRPr="00B73CC1">
        <w:rPr>
          <w:b/>
          <w:bCs/>
          <w:sz w:val="24"/>
          <w:szCs w:val="24"/>
        </w:rPr>
        <w:t>Educação &amp; Sociedade</w:t>
      </w:r>
      <w:r w:rsidRPr="00B73CC1">
        <w:rPr>
          <w:sz w:val="24"/>
          <w:szCs w:val="24"/>
        </w:rPr>
        <w:t>, Campinas, v. 24, n. 85, p. 1095-1154, 2003.</w:t>
      </w:r>
    </w:p>
    <w:p w14:paraId="04656D9A" w14:textId="77777777" w:rsidR="00A73C52" w:rsidRPr="00A35833" w:rsidRDefault="00A73C52" w:rsidP="00A73C52">
      <w:pPr>
        <w:spacing w:after="210" w:line="240" w:lineRule="auto"/>
        <w:jc w:val="both"/>
        <w:rPr>
          <w:sz w:val="24"/>
          <w:szCs w:val="24"/>
        </w:rPr>
      </w:pPr>
      <w:r w:rsidRPr="007635CB">
        <w:rPr>
          <w:sz w:val="24"/>
          <w:szCs w:val="24"/>
        </w:rPr>
        <w:lastRenderedPageBreak/>
        <w:t>FREITAS, Helena Costa Lopes de.</w:t>
      </w:r>
      <w:r w:rsidRPr="00B73CC1">
        <w:rPr>
          <w:sz w:val="24"/>
          <w:szCs w:val="24"/>
        </w:rPr>
        <w:t> A nova política de formação de professores: a prioridade postergada. </w:t>
      </w:r>
      <w:r w:rsidRPr="00B73CC1">
        <w:rPr>
          <w:b/>
          <w:bCs/>
          <w:sz w:val="24"/>
          <w:szCs w:val="24"/>
        </w:rPr>
        <w:t>Educação &amp; Sociedade</w:t>
      </w:r>
      <w:r w:rsidRPr="00B73CC1">
        <w:rPr>
          <w:sz w:val="24"/>
          <w:szCs w:val="24"/>
        </w:rPr>
        <w:t>, Campinas, v. 28, n. 100, p. 1203-</w:t>
      </w:r>
      <w:r w:rsidRPr="00A35833">
        <w:rPr>
          <w:sz w:val="24"/>
          <w:szCs w:val="24"/>
        </w:rPr>
        <w:t>1230, 2007.</w:t>
      </w:r>
    </w:p>
    <w:p w14:paraId="422A59AD" w14:textId="77777777" w:rsidR="00A73C52" w:rsidRDefault="00A73C52" w:rsidP="00A73C52">
      <w:pPr>
        <w:contextualSpacing/>
        <w:rPr>
          <w:sz w:val="24"/>
          <w:szCs w:val="24"/>
        </w:rPr>
      </w:pPr>
      <w:r w:rsidRPr="00A35833">
        <w:rPr>
          <w:sz w:val="24"/>
          <w:szCs w:val="24"/>
        </w:rPr>
        <w:t xml:space="preserve">SAVIANI, D. </w:t>
      </w:r>
      <w:r w:rsidRPr="00A35833">
        <w:rPr>
          <w:bCs/>
          <w:sz w:val="24"/>
          <w:szCs w:val="24"/>
        </w:rPr>
        <w:t>Formação de professores no Brasil</w:t>
      </w:r>
      <w:r w:rsidRPr="00A35833">
        <w:rPr>
          <w:sz w:val="24"/>
          <w:szCs w:val="24"/>
        </w:rPr>
        <w:t xml:space="preserve">: dilemas e perspectivas. </w:t>
      </w:r>
      <w:r w:rsidRPr="00A35833">
        <w:rPr>
          <w:b/>
          <w:bCs/>
          <w:sz w:val="24"/>
          <w:szCs w:val="24"/>
        </w:rPr>
        <w:t xml:space="preserve">Revista </w:t>
      </w:r>
      <w:proofErr w:type="spellStart"/>
      <w:r w:rsidRPr="00A35833">
        <w:rPr>
          <w:b/>
          <w:bCs/>
          <w:sz w:val="24"/>
          <w:szCs w:val="24"/>
        </w:rPr>
        <w:t>Poíesis</w:t>
      </w:r>
      <w:proofErr w:type="spellEnd"/>
      <w:r w:rsidRPr="00A35833">
        <w:rPr>
          <w:b/>
          <w:bCs/>
          <w:sz w:val="24"/>
          <w:szCs w:val="24"/>
        </w:rPr>
        <w:t xml:space="preserve"> Pedagógica</w:t>
      </w:r>
      <w:r w:rsidRPr="00A35833">
        <w:rPr>
          <w:sz w:val="24"/>
          <w:szCs w:val="24"/>
        </w:rPr>
        <w:t xml:space="preserve">, </w:t>
      </w:r>
      <w:proofErr w:type="spellStart"/>
      <w:r w:rsidRPr="00A35833">
        <w:rPr>
          <w:sz w:val="24"/>
          <w:szCs w:val="24"/>
        </w:rPr>
        <w:t>Catalão-GO</w:t>
      </w:r>
      <w:proofErr w:type="spellEnd"/>
      <w:r w:rsidRPr="00A35833">
        <w:rPr>
          <w:sz w:val="24"/>
          <w:szCs w:val="24"/>
        </w:rPr>
        <w:t>, v. 9, n. 1, p. 7-19, 2011.</w:t>
      </w:r>
      <w:r>
        <w:rPr>
          <w:sz w:val="24"/>
          <w:szCs w:val="24"/>
        </w:rPr>
        <w:t xml:space="preserve"> </w:t>
      </w:r>
    </w:p>
    <w:p w14:paraId="6DBF2C8B" w14:textId="77777777" w:rsidR="00A73C52" w:rsidRDefault="00A73C52" w:rsidP="00A73C52">
      <w:pPr>
        <w:contextualSpacing/>
        <w:rPr>
          <w:sz w:val="24"/>
          <w:szCs w:val="24"/>
        </w:rPr>
      </w:pPr>
    </w:p>
    <w:p w14:paraId="5A1CC382" w14:textId="77777777" w:rsidR="00A73C52" w:rsidRDefault="00A73C52" w:rsidP="00A73C52">
      <w:pPr>
        <w:contextualSpacing/>
        <w:jc w:val="both"/>
        <w:rPr>
          <w:sz w:val="24"/>
          <w:szCs w:val="24"/>
        </w:rPr>
      </w:pPr>
      <w:r w:rsidRPr="007635CB">
        <w:rPr>
          <w:sz w:val="24"/>
          <w:szCs w:val="24"/>
        </w:rPr>
        <w:t>SILVA, Kátia Augusta Curado Pinheiro Cordeiro da.</w:t>
      </w:r>
      <w:r w:rsidRPr="00B73CC1">
        <w:rPr>
          <w:sz w:val="24"/>
          <w:szCs w:val="24"/>
        </w:rPr>
        <w:t xml:space="preserve"> Políticas públicas na formação de professores e a relação teoria e prática: um debate com Gramsci. In: CUNHA, Célio da; SOUSA, José Vieira de; SILVA, Maria </w:t>
      </w:r>
      <w:proofErr w:type="spellStart"/>
      <w:r w:rsidRPr="00B73CC1">
        <w:rPr>
          <w:sz w:val="24"/>
          <w:szCs w:val="24"/>
        </w:rPr>
        <w:t>Abádia</w:t>
      </w:r>
      <w:proofErr w:type="spellEnd"/>
      <w:r w:rsidRPr="00B73CC1">
        <w:rPr>
          <w:sz w:val="24"/>
          <w:szCs w:val="24"/>
        </w:rPr>
        <w:t xml:space="preserve"> da (org.). </w:t>
      </w:r>
      <w:r w:rsidRPr="00B73CC1">
        <w:rPr>
          <w:b/>
          <w:bCs/>
          <w:sz w:val="24"/>
          <w:szCs w:val="24"/>
        </w:rPr>
        <w:t>Avaliação de políticas públicas de educação.</w:t>
      </w:r>
      <w:r w:rsidRPr="00B73CC1">
        <w:rPr>
          <w:sz w:val="24"/>
          <w:szCs w:val="24"/>
        </w:rPr>
        <w:t> Brasília: Liber Livro, 2012. p. 262-350.</w:t>
      </w:r>
    </w:p>
    <w:p w14:paraId="1C854B8A" w14:textId="77777777" w:rsidR="00A73C52" w:rsidRDefault="00A73C52" w:rsidP="00A73C52">
      <w:pPr>
        <w:contextualSpacing/>
        <w:jc w:val="both"/>
        <w:rPr>
          <w:sz w:val="24"/>
          <w:szCs w:val="24"/>
        </w:rPr>
      </w:pPr>
    </w:p>
    <w:p w14:paraId="40AFA388" w14:textId="77777777" w:rsidR="00A73C52" w:rsidRPr="00B73CC1" w:rsidRDefault="00A73C52" w:rsidP="00A73C52">
      <w:pPr>
        <w:spacing w:after="210" w:line="240" w:lineRule="auto"/>
        <w:jc w:val="both"/>
        <w:rPr>
          <w:sz w:val="24"/>
          <w:szCs w:val="24"/>
        </w:rPr>
      </w:pPr>
      <w:r w:rsidRPr="007635CB">
        <w:rPr>
          <w:sz w:val="24"/>
          <w:szCs w:val="24"/>
        </w:rPr>
        <w:t>TORRES, Rosa Maria.</w:t>
      </w:r>
      <w:r w:rsidRPr="00B73CC1">
        <w:rPr>
          <w:sz w:val="24"/>
          <w:szCs w:val="24"/>
        </w:rPr>
        <w:t> Tendências da formação docente nos anos 90. In: WARDE, Miriam Jorge (org.). </w:t>
      </w:r>
      <w:r w:rsidRPr="00B73CC1">
        <w:rPr>
          <w:b/>
          <w:bCs/>
          <w:sz w:val="24"/>
          <w:szCs w:val="24"/>
        </w:rPr>
        <w:t>Novas políticas educacionais: críticas e perspectivas</w:t>
      </w:r>
      <w:r w:rsidRPr="00B73CC1">
        <w:rPr>
          <w:sz w:val="24"/>
          <w:szCs w:val="24"/>
        </w:rPr>
        <w:t>. São Paulo: Cortez/Ação Educativa/PUC-SP, 1999.</w:t>
      </w:r>
    </w:p>
    <w:p w14:paraId="2D216D4D" w14:textId="77777777" w:rsidR="00A73C52" w:rsidRDefault="00A73C52" w:rsidP="00A73C52">
      <w:pPr>
        <w:spacing w:line="240" w:lineRule="auto"/>
        <w:contextualSpacing/>
        <w:jc w:val="both"/>
        <w:rPr>
          <w:rFonts w:ascii="Calibri" w:eastAsia="Calibri" w:hAnsi="Calibri" w:cs="Calibri"/>
          <w:sz w:val="24"/>
          <w:szCs w:val="24"/>
        </w:rPr>
      </w:pPr>
      <w:r w:rsidRPr="00B73CC1">
        <w:rPr>
          <w:sz w:val="24"/>
          <w:szCs w:val="24"/>
        </w:rPr>
        <w:t xml:space="preserve">VÁZQUEZ, A. S. </w:t>
      </w:r>
      <w:r w:rsidRPr="00B73CC1">
        <w:rPr>
          <w:b/>
          <w:sz w:val="24"/>
          <w:szCs w:val="24"/>
        </w:rPr>
        <w:t>Filosofia da práxis</w:t>
      </w:r>
      <w:r w:rsidRPr="00B73CC1">
        <w:rPr>
          <w:sz w:val="24"/>
          <w:szCs w:val="24"/>
        </w:rPr>
        <w:t xml:space="preserve">. Tradução: Maria </w:t>
      </w:r>
      <w:proofErr w:type="spellStart"/>
      <w:r w:rsidRPr="00B73CC1">
        <w:rPr>
          <w:sz w:val="24"/>
          <w:szCs w:val="24"/>
        </w:rPr>
        <w:t>Encarnácion</w:t>
      </w:r>
      <w:proofErr w:type="spellEnd"/>
      <w:r w:rsidRPr="00B73CC1">
        <w:rPr>
          <w:sz w:val="24"/>
          <w:szCs w:val="24"/>
        </w:rPr>
        <w:t xml:space="preserve"> Moya. São Paulo: Expressão Popular, 2007.</w:t>
      </w:r>
    </w:p>
    <w:p w14:paraId="766AF517" w14:textId="77777777" w:rsidR="00A73C52" w:rsidRDefault="00A73C52" w:rsidP="00A73C52">
      <w:pPr>
        <w:spacing w:line="240" w:lineRule="auto"/>
        <w:jc w:val="both"/>
        <w:rPr>
          <w:rFonts w:ascii="Calibri" w:eastAsia="Calibri" w:hAnsi="Calibri" w:cs="Calibri"/>
          <w:sz w:val="24"/>
          <w:szCs w:val="24"/>
        </w:rPr>
      </w:pPr>
    </w:p>
    <w:p w14:paraId="7AEAD1FA" w14:textId="1D8661DA" w:rsidR="001B340A" w:rsidRDefault="001B340A" w:rsidP="00B73CC1">
      <w:pPr>
        <w:spacing w:line="240" w:lineRule="auto"/>
        <w:jc w:val="both"/>
        <w:rPr>
          <w:rFonts w:ascii="Calibri" w:eastAsia="Calibri" w:hAnsi="Calibri" w:cs="Calibri"/>
          <w:sz w:val="24"/>
          <w:szCs w:val="24"/>
        </w:rPr>
      </w:pPr>
    </w:p>
    <w:p w14:paraId="4764AFC0" w14:textId="7CB7447E" w:rsidR="001B340A" w:rsidRDefault="001B340A" w:rsidP="00B73CC1">
      <w:pPr>
        <w:spacing w:line="240" w:lineRule="auto"/>
        <w:jc w:val="both"/>
        <w:rPr>
          <w:rFonts w:ascii="Calibri" w:eastAsia="Calibri" w:hAnsi="Calibri" w:cs="Calibri"/>
          <w:sz w:val="24"/>
          <w:szCs w:val="24"/>
        </w:rPr>
      </w:pPr>
    </w:p>
    <w:p w14:paraId="1DCB9D9F" w14:textId="276A9C61" w:rsidR="001B340A" w:rsidRDefault="001B340A" w:rsidP="00B73CC1">
      <w:pPr>
        <w:spacing w:line="240" w:lineRule="auto"/>
        <w:jc w:val="both"/>
        <w:rPr>
          <w:rFonts w:ascii="Calibri" w:eastAsia="Calibri" w:hAnsi="Calibri" w:cs="Calibri"/>
          <w:sz w:val="24"/>
          <w:szCs w:val="24"/>
        </w:rPr>
      </w:pPr>
    </w:p>
    <w:p w14:paraId="3FFDF0E2" w14:textId="0C0ED80F" w:rsidR="001B340A" w:rsidRDefault="001B340A" w:rsidP="00B73CC1">
      <w:pPr>
        <w:spacing w:line="240" w:lineRule="auto"/>
        <w:jc w:val="both"/>
        <w:rPr>
          <w:rFonts w:ascii="Calibri" w:eastAsia="Calibri" w:hAnsi="Calibri" w:cs="Calibri"/>
          <w:sz w:val="24"/>
          <w:szCs w:val="24"/>
        </w:rPr>
      </w:pPr>
    </w:p>
    <w:p w14:paraId="07CE02FE" w14:textId="77777777" w:rsidR="00685D7F" w:rsidRDefault="00685D7F" w:rsidP="00B73CC1">
      <w:pPr>
        <w:spacing w:line="240" w:lineRule="auto"/>
        <w:jc w:val="both"/>
        <w:rPr>
          <w:rFonts w:ascii="Calibri" w:eastAsia="Calibri" w:hAnsi="Calibri" w:cs="Calibri"/>
          <w:sz w:val="24"/>
          <w:szCs w:val="24"/>
        </w:rPr>
      </w:pPr>
    </w:p>
    <w:p w14:paraId="3D1C1108" w14:textId="77777777" w:rsidR="00685D7F" w:rsidRDefault="00685D7F" w:rsidP="00B73CC1">
      <w:pPr>
        <w:spacing w:line="240" w:lineRule="auto"/>
        <w:jc w:val="both"/>
        <w:rPr>
          <w:rFonts w:ascii="Calibri" w:eastAsia="Calibri" w:hAnsi="Calibri" w:cs="Calibri"/>
          <w:sz w:val="24"/>
          <w:szCs w:val="24"/>
        </w:rPr>
      </w:pPr>
    </w:p>
    <w:p w14:paraId="68CFF87A" w14:textId="77777777" w:rsidR="00685D7F" w:rsidRDefault="00685D7F" w:rsidP="00B73CC1">
      <w:pPr>
        <w:spacing w:line="240" w:lineRule="auto"/>
        <w:jc w:val="both"/>
        <w:rPr>
          <w:rFonts w:ascii="Calibri" w:eastAsia="Calibri" w:hAnsi="Calibri" w:cs="Calibri"/>
          <w:sz w:val="24"/>
          <w:szCs w:val="24"/>
        </w:rPr>
      </w:pPr>
    </w:p>
    <w:p w14:paraId="75E6597D" w14:textId="77777777" w:rsidR="00685D7F" w:rsidRDefault="00685D7F" w:rsidP="00B73CC1">
      <w:pPr>
        <w:spacing w:line="240" w:lineRule="auto"/>
        <w:jc w:val="both"/>
        <w:rPr>
          <w:rFonts w:ascii="Calibri" w:eastAsia="Calibri" w:hAnsi="Calibri" w:cs="Calibri"/>
          <w:sz w:val="24"/>
          <w:szCs w:val="24"/>
        </w:rPr>
      </w:pPr>
    </w:p>
    <w:p w14:paraId="33577049" w14:textId="77777777" w:rsidR="00685D7F" w:rsidRDefault="00685D7F" w:rsidP="00B73CC1">
      <w:pPr>
        <w:spacing w:line="240" w:lineRule="auto"/>
        <w:jc w:val="both"/>
        <w:rPr>
          <w:rFonts w:ascii="Calibri" w:eastAsia="Calibri" w:hAnsi="Calibri" w:cs="Calibri"/>
          <w:sz w:val="24"/>
          <w:szCs w:val="24"/>
        </w:rPr>
      </w:pPr>
    </w:p>
    <w:p w14:paraId="649F74CB" w14:textId="77777777" w:rsidR="00685D7F" w:rsidRDefault="00685D7F" w:rsidP="00B73CC1">
      <w:pPr>
        <w:spacing w:line="240" w:lineRule="auto"/>
        <w:jc w:val="both"/>
        <w:rPr>
          <w:rFonts w:ascii="Calibri" w:eastAsia="Calibri" w:hAnsi="Calibri" w:cs="Calibri"/>
          <w:sz w:val="24"/>
          <w:szCs w:val="24"/>
        </w:rPr>
      </w:pPr>
    </w:p>
    <w:p w14:paraId="317E5126" w14:textId="77777777" w:rsidR="00685D7F" w:rsidRDefault="00685D7F" w:rsidP="00B73CC1">
      <w:pPr>
        <w:spacing w:line="240" w:lineRule="auto"/>
        <w:jc w:val="both"/>
        <w:rPr>
          <w:rFonts w:ascii="Calibri" w:eastAsia="Calibri" w:hAnsi="Calibri" w:cs="Calibri"/>
          <w:sz w:val="24"/>
          <w:szCs w:val="24"/>
        </w:rPr>
      </w:pPr>
    </w:p>
    <w:p w14:paraId="3D6D8FE6" w14:textId="77777777" w:rsidR="00685D7F" w:rsidRDefault="00685D7F" w:rsidP="00B73CC1">
      <w:pPr>
        <w:spacing w:line="240" w:lineRule="auto"/>
        <w:jc w:val="both"/>
        <w:rPr>
          <w:rFonts w:ascii="Calibri" w:eastAsia="Calibri" w:hAnsi="Calibri" w:cs="Calibri"/>
          <w:sz w:val="24"/>
          <w:szCs w:val="24"/>
        </w:rPr>
      </w:pPr>
    </w:p>
    <w:p w14:paraId="51073B8F" w14:textId="77777777" w:rsidR="00685D7F" w:rsidRDefault="00685D7F" w:rsidP="00B73CC1">
      <w:pPr>
        <w:spacing w:line="240" w:lineRule="auto"/>
        <w:jc w:val="both"/>
        <w:rPr>
          <w:rFonts w:ascii="Calibri" w:eastAsia="Calibri" w:hAnsi="Calibri" w:cs="Calibri"/>
          <w:sz w:val="24"/>
          <w:szCs w:val="24"/>
        </w:rPr>
      </w:pPr>
    </w:p>
    <w:p w14:paraId="096D7DA6" w14:textId="77777777" w:rsidR="00685D7F" w:rsidRDefault="00685D7F" w:rsidP="00B73CC1">
      <w:pPr>
        <w:spacing w:line="240" w:lineRule="auto"/>
        <w:jc w:val="both"/>
        <w:rPr>
          <w:rFonts w:ascii="Calibri" w:eastAsia="Calibri" w:hAnsi="Calibri" w:cs="Calibri"/>
          <w:sz w:val="24"/>
          <w:szCs w:val="24"/>
        </w:rPr>
      </w:pPr>
    </w:p>
    <w:p w14:paraId="0E055240" w14:textId="77777777" w:rsidR="00685D7F" w:rsidRDefault="00685D7F" w:rsidP="00B73CC1">
      <w:pPr>
        <w:spacing w:line="240" w:lineRule="auto"/>
        <w:jc w:val="both"/>
        <w:rPr>
          <w:rFonts w:ascii="Calibri" w:eastAsia="Calibri" w:hAnsi="Calibri" w:cs="Calibri"/>
          <w:sz w:val="24"/>
          <w:szCs w:val="24"/>
        </w:rPr>
      </w:pPr>
    </w:p>
    <w:p w14:paraId="5F0ED414" w14:textId="77777777" w:rsidR="00685D7F" w:rsidRDefault="00685D7F" w:rsidP="00B73CC1">
      <w:pPr>
        <w:spacing w:line="240" w:lineRule="auto"/>
        <w:jc w:val="both"/>
        <w:rPr>
          <w:rFonts w:ascii="Calibri" w:eastAsia="Calibri" w:hAnsi="Calibri" w:cs="Calibri"/>
          <w:sz w:val="24"/>
          <w:szCs w:val="24"/>
        </w:rPr>
      </w:pPr>
    </w:p>
    <w:p w14:paraId="0B53A4EF" w14:textId="77777777" w:rsidR="00685D7F" w:rsidRDefault="00685D7F" w:rsidP="00B73CC1">
      <w:pPr>
        <w:spacing w:line="240" w:lineRule="auto"/>
        <w:jc w:val="both"/>
        <w:rPr>
          <w:rFonts w:ascii="Calibri" w:eastAsia="Calibri" w:hAnsi="Calibri" w:cs="Calibri"/>
          <w:sz w:val="24"/>
          <w:szCs w:val="24"/>
        </w:rPr>
      </w:pPr>
    </w:p>
    <w:p w14:paraId="2E556790" w14:textId="77777777" w:rsidR="00685D7F" w:rsidRDefault="00685D7F" w:rsidP="00B73CC1">
      <w:pPr>
        <w:spacing w:line="240" w:lineRule="auto"/>
        <w:jc w:val="both"/>
        <w:rPr>
          <w:rFonts w:ascii="Calibri" w:eastAsia="Calibri" w:hAnsi="Calibri" w:cs="Calibri"/>
          <w:sz w:val="24"/>
          <w:szCs w:val="24"/>
        </w:rPr>
      </w:pPr>
    </w:p>
    <w:p w14:paraId="17CAE891" w14:textId="52D934F8" w:rsidR="00685D7F" w:rsidRDefault="00685D7F" w:rsidP="00B73CC1">
      <w:pPr>
        <w:spacing w:line="240" w:lineRule="auto"/>
        <w:jc w:val="both"/>
        <w:rPr>
          <w:rFonts w:ascii="Calibri" w:eastAsia="Calibri" w:hAnsi="Calibri" w:cs="Calibri"/>
          <w:sz w:val="24"/>
          <w:szCs w:val="24"/>
        </w:rPr>
      </w:pPr>
    </w:p>
    <w:p w14:paraId="71D1F8A4" w14:textId="1F3C90A9" w:rsidR="00A73C52" w:rsidRDefault="00A73C52" w:rsidP="00B73CC1">
      <w:pPr>
        <w:spacing w:line="240" w:lineRule="auto"/>
        <w:jc w:val="both"/>
        <w:rPr>
          <w:rFonts w:ascii="Calibri" w:eastAsia="Calibri" w:hAnsi="Calibri" w:cs="Calibri"/>
          <w:sz w:val="24"/>
          <w:szCs w:val="24"/>
        </w:rPr>
      </w:pPr>
    </w:p>
    <w:p w14:paraId="71865837" w14:textId="77777777" w:rsidR="00A73C52" w:rsidRDefault="00A73C52" w:rsidP="00B73CC1">
      <w:pPr>
        <w:spacing w:line="240" w:lineRule="auto"/>
        <w:jc w:val="both"/>
        <w:rPr>
          <w:rFonts w:ascii="Calibri" w:eastAsia="Calibri" w:hAnsi="Calibri" w:cs="Calibri"/>
          <w:sz w:val="24"/>
          <w:szCs w:val="24"/>
        </w:rPr>
      </w:pPr>
    </w:p>
    <w:p w14:paraId="04E2EF5D" w14:textId="77777777" w:rsidR="00685D7F" w:rsidRPr="00430BC1" w:rsidRDefault="00685D7F" w:rsidP="00685D7F">
      <w:pPr>
        <w:pStyle w:val="Textodecomentrio"/>
        <w:ind w:firstLine="709"/>
        <w:jc w:val="center"/>
        <w:rPr>
          <w:rFonts w:eastAsia="Times New Roman"/>
          <w:b/>
          <w:bCs/>
          <w:color w:val="000000" w:themeColor="text1"/>
          <w:sz w:val="24"/>
          <w:szCs w:val="24"/>
        </w:rPr>
      </w:pPr>
      <w:r w:rsidRPr="00430BC1">
        <w:rPr>
          <w:rFonts w:eastAsia="Times New Roman"/>
          <w:b/>
          <w:bCs/>
          <w:color w:val="000000" w:themeColor="text1"/>
          <w:sz w:val="24"/>
          <w:szCs w:val="24"/>
        </w:rPr>
        <w:lastRenderedPageBreak/>
        <w:t>Hegemonia, educação e agronegócio: sobre projetos para escolas públicas promovidos pelo Sistema CNA/SENAR</w:t>
      </w:r>
    </w:p>
    <w:p w14:paraId="11056ED9" w14:textId="77777777" w:rsidR="00685D7F" w:rsidRPr="00430BC1" w:rsidRDefault="00685D7F" w:rsidP="00685D7F">
      <w:pPr>
        <w:pStyle w:val="Textodecomentrio"/>
        <w:spacing w:line="360" w:lineRule="auto"/>
        <w:ind w:firstLine="709"/>
        <w:jc w:val="both"/>
        <w:rPr>
          <w:rFonts w:eastAsia="Times New Roman"/>
          <w:color w:val="000000" w:themeColor="text1"/>
          <w:sz w:val="24"/>
          <w:szCs w:val="24"/>
        </w:rPr>
      </w:pPr>
    </w:p>
    <w:p w14:paraId="65738862" w14:textId="77777777" w:rsidR="0073467F" w:rsidRPr="0073467F" w:rsidRDefault="0073467F" w:rsidP="0073467F">
      <w:pPr>
        <w:pStyle w:val="Textodecomentrio"/>
        <w:spacing w:line="360" w:lineRule="auto"/>
        <w:ind w:firstLine="709"/>
        <w:jc w:val="right"/>
        <w:rPr>
          <w:rFonts w:eastAsia="Times New Roman"/>
          <w:color w:val="000000" w:themeColor="text1"/>
        </w:rPr>
      </w:pPr>
      <w:proofErr w:type="spellStart"/>
      <w:r w:rsidRPr="0073467F">
        <w:rPr>
          <w:rFonts w:eastAsia="Times New Roman"/>
          <w:color w:val="000000" w:themeColor="text1"/>
        </w:rPr>
        <w:t>Profa</w:t>
      </w:r>
      <w:proofErr w:type="spellEnd"/>
      <w:r w:rsidRPr="0073467F">
        <w:rPr>
          <w:rFonts w:eastAsia="Times New Roman"/>
          <w:color w:val="000000" w:themeColor="text1"/>
        </w:rPr>
        <w:t xml:space="preserve"> </w:t>
      </w:r>
      <w:proofErr w:type="spellStart"/>
      <w:r w:rsidRPr="0073467F">
        <w:rPr>
          <w:rFonts w:eastAsia="Times New Roman"/>
          <w:color w:val="000000" w:themeColor="text1"/>
        </w:rPr>
        <w:t>Dra</w:t>
      </w:r>
      <w:proofErr w:type="spellEnd"/>
      <w:r w:rsidRPr="0073467F">
        <w:rPr>
          <w:rFonts w:eastAsia="Times New Roman"/>
          <w:color w:val="000000" w:themeColor="text1"/>
        </w:rPr>
        <w:t xml:space="preserve"> Rita de Cássia Gomes Nascimento</w:t>
      </w:r>
      <w:r w:rsidRPr="0073467F">
        <w:rPr>
          <w:rStyle w:val="Refdenotaderodap"/>
          <w:rFonts w:eastAsia="Times New Roman"/>
          <w:color w:val="000000" w:themeColor="text1"/>
        </w:rPr>
        <w:footnoteReference w:id="8"/>
      </w:r>
    </w:p>
    <w:p w14:paraId="1C4401DA" w14:textId="77777777" w:rsidR="0073467F" w:rsidRPr="0073467F" w:rsidRDefault="0073467F" w:rsidP="0073467F">
      <w:pPr>
        <w:pStyle w:val="Textodecomentrio"/>
        <w:spacing w:line="360" w:lineRule="auto"/>
        <w:rPr>
          <w:rFonts w:eastAsia="Times New Roman"/>
          <w:color w:val="000000" w:themeColor="text1"/>
        </w:rPr>
      </w:pPr>
    </w:p>
    <w:p w14:paraId="7807D166" w14:textId="77777777" w:rsidR="0073467F" w:rsidRPr="00E76E94" w:rsidRDefault="0073467F" w:rsidP="0073467F">
      <w:pPr>
        <w:pStyle w:val="Textodecomentrio"/>
        <w:ind w:left="2835"/>
        <w:jc w:val="both"/>
        <w:rPr>
          <w:rFonts w:eastAsia="Times New Roman"/>
        </w:rPr>
      </w:pPr>
      <w:r w:rsidRPr="00E76E94">
        <w:rPr>
          <w:rFonts w:eastAsia="Times New Roman"/>
          <w:b/>
          <w:bCs/>
          <w:color w:val="000000" w:themeColor="text1"/>
        </w:rPr>
        <w:t>Resumo</w:t>
      </w:r>
      <w:r w:rsidRPr="00E76E94">
        <w:rPr>
          <w:rFonts w:eastAsia="Times New Roman"/>
          <w:color w:val="000000" w:themeColor="text1"/>
        </w:rPr>
        <w:t xml:space="preserve">: </w:t>
      </w:r>
      <w:r w:rsidRPr="00E76E94">
        <w:rPr>
          <w:rFonts w:eastAsia="Times New Roman"/>
        </w:rPr>
        <w:t>O artigo analisa a disputa pela escola pública nas últimas décadas, especialmente no contexto das frações agrárias dominantes, utilizando o método dialético para compreender as relações de poder e dominação que moldam a hegemonia do capital agrário. A partir da categoria dos Aparelhos Privados de Hegemonia (</w:t>
      </w:r>
      <w:proofErr w:type="spellStart"/>
      <w:r w:rsidRPr="00E76E94">
        <w:rPr>
          <w:rFonts w:eastAsia="Times New Roman"/>
        </w:rPr>
        <w:t>APHs</w:t>
      </w:r>
      <w:proofErr w:type="spellEnd"/>
      <w:r w:rsidRPr="00E76E94">
        <w:rPr>
          <w:rFonts w:eastAsia="Times New Roman"/>
        </w:rPr>
        <w:t>), desenvolvida em Antônio Gramsci, a Confederação Nacional da Agricultura e Pecuária (CNA) é identificada como um APH da classe burguesa, atuando na produção econômica e política e influenciando a formação da vontade coletiva. A CNA articula federações e sindicatos patronais rurais em todo o país, defendendo os interesses do agronegócio junto às principais instâncias do Estado. O artigo destaca o Serviço Nacional de Aprendizagem Rural (SENAR), integrante do Sistema S, como braço pedagógico da CNA, especialmente a partir dos anos 2000. O SENAR é problematizado como uma agência privada que promove uma educação voltada ao agronegócio, negando a reforma agrária. O estudo propõe compreender o SENAR como expressão da “CNA educadora”, revelando sua função estratégica na disputa pela hegemonia educacional no meio rural e seu papel na consolidação de um projeto político alinhado aos interesses do capital agrário.</w:t>
      </w:r>
    </w:p>
    <w:p w14:paraId="5EF921A6" w14:textId="77777777" w:rsidR="0073467F" w:rsidRPr="00E76E94" w:rsidRDefault="0073467F" w:rsidP="0073467F">
      <w:pPr>
        <w:pStyle w:val="Textodecomentrio"/>
        <w:spacing w:line="360" w:lineRule="auto"/>
        <w:ind w:left="2835"/>
        <w:rPr>
          <w:rFonts w:eastAsia="Times New Roman"/>
          <w:b/>
          <w:bCs/>
          <w:color w:val="000000" w:themeColor="text1"/>
          <w:lang w:eastAsia="en-US"/>
          <w14:ligatures w14:val="standardContextual"/>
        </w:rPr>
      </w:pPr>
    </w:p>
    <w:p w14:paraId="168CD737" w14:textId="77777777" w:rsidR="0073467F" w:rsidRPr="00E76E94" w:rsidRDefault="0073467F" w:rsidP="0073467F">
      <w:pPr>
        <w:pStyle w:val="Textodecomentrio"/>
        <w:spacing w:line="360" w:lineRule="auto"/>
        <w:ind w:left="2835"/>
        <w:rPr>
          <w:rFonts w:eastAsia="Times New Roman"/>
          <w:b/>
          <w:bCs/>
          <w:color w:val="000000" w:themeColor="text1"/>
        </w:rPr>
      </w:pPr>
      <w:r w:rsidRPr="00E76E94">
        <w:rPr>
          <w:rFonts w:eastAsia="Times New Roman"/>
          <w:b/>
          <w:bCs/>
          <w:color w:val="000000" w:themeColor="text1"/>
        </w:rPr>
        <w:t xml:space="preserve">Palavras-Chave: </w:t>
      </w:r>
      <w:r w:rsidRPr="00E76E94">
        <w:rPr>
          <w:rFonts w:eastAsia="Times New Roman"/>
          <w:color w:val="000000" w:themeColor="text1"/>
        </w:rPr>
        <w:t>Hegemonia; escolas públicas; agronegócio; Senar.</w:t>
      </w:r>
    </w:p>
    <w:p w14:paraId="342920C3" w14:textId="77777777" w:rsidR="0073467F" w:rsidRPr="00E76E94" w:rsidRDefault="0073467F" w:rsidP="0073467F">
      <w:pPr>
        <w:pStyle w:val="NormalWeb"/>
        <w:spacing w:before="0" w:beforeAutospacing="0" w:after="0" w:afterAutospacing="0"/>
        <w:ind w:left="2835"/>
        <w:jc w:val="both"/>
        <w:rPr>
          <w:rFonts w:ascii="Arial" w:hAnsi="Arial" w:cs="Arial"/>
          <w:color w:val="000000"/>
          <w:sz w:val="20"/>
          <w:szCs w:val="20"/>
        </w:rPr>
      </w:pPr>
    </w:p>
    <w:p w14:paraId="28DAB321" w14:textId="77777777" w:rsidR="0073467F" w:rsidRPr="00E76E94" w:rsidRDefault="0073467F" w:rsidP="0073467F">
      <w:pPr>
        <w:ind w:left="2835"/>
        <w:jc w:val="both"/>
        <w:rPr>
          <w:sz w:val="20"/>
          <w:szCs w:val="20"/>
        </w:rPr>
      </w:pPr>
      <w:r w:rsidRPr="00E76E94">
        <w:rPr>
          <w:sz w:val="20"/>
          <w:szCs w:val="20"/>
        </w:rPr>
        <w:t xml:space="preserve">Abstract: </w:t>
      </w:r>
    </w:p>
    <w:p w14:paraId="6916CE1B" w14:textId="77777777" w:rsidR="0073467F" w:rsidRPr="00E76E94" w:rsidRDefault="0073467F" w:rsidP="0073467F">
      <w:pPr>
        <w:ind w:left="2835"/>
        <w:jc w:val="both"/>
        <w:rPr>
          <w:sz w:val="20"/>
          <w:szCs w:val="20"/>
        </w:rPr>
      </w:pPr>
      <w:proofErr w:type="spellStart"/>
      <w:r w:rsidRPr="00E76E94">
        <w:rPr>
          <w:sz w:val="20"/>
          <w:szCs w:val="20"/>
        </w:rPr>
        <w:t>This</w:t>
      </w:r>
      <w:proofErr w:type="spellEnd"/>
      <w:r w:rsidRPr="00E76E94">
        <w:rPr>
          <w:sz w:val="20"/>
          <w:szCs w:val="20"/>
        </w:rPr>
        <w:t xml:space="preserve"> </w:t>
      </w:r>
      <w:proofErr w:type="spellStart"/>
      <w:r w:rsidRPr="00E76E94">
        <w:rPr>
          <w:sz w:val="20"/>
          <w:szCs w:val="20"/>
        </w:rPr>
        <w:t>article</w:t>
      </w:r>
      <w:proofErr w:type="spellEnd"/>
      <w:r w:rsidRPr="00E76E94">
        <w:rPr>
          <w:sz w:val="20"/>
          <w:szCs w:val="20"/>
        </w:rPr>
        <w:t xml:space="preserve"> </w:t>
      </w:r>
      <w:proofErr w:type="spellStart"/>
      <w:r w:rsidRPr="00E76E94">
        <w:rPr>
          <w:sz w:val="20"/>
          <w:szCs w:val="20"/>
        </w:rPr>
        <w:t>analyzes</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struggle</w:t>
      </w:r>
      <w:proofErr w:type="spellEnd"/>
      <w:r w:rsidRPr="00E76E94">
        <w:rPr>
          <w:sz w:val="20"/>
          <w:szCs w:val="20"/>
        </w:rPr>
        <w:t xml:space="preserve"> for </w:t>
      </w:r>
      <w:proofErr w:type="spellStart"/>
      <w:r w:rsidRPr="00E76E94">
        <w:rPr>
          <w:sz w:val="20"/>
          <w:szCs w:val="20"/>
        </w:rPr>
        <w:t>public</w:t>
      </w:r>
      <w:proofErr w:type="spellEnd"/>
      <w:r w:rsidRPr="00E76E94">
        <w:rPr>
          <w:sz w:val="20"/>
          <w:szCs w:val="20"/>
        </w:rPr>
        <w:t xml:space="preserve"> </w:t>
      </w:r>
      <w:proofErr w:type="spellStart"/>
      <w:r w:rsidRPr="00E76E94">
        <w:rPr>
          <w:sz w:val="20"/>
          <w:szCs w:val="20"/>
        </w:rPr>
        <w:t>education</w:t>
      </w:r>
      <w:proofErr w:type="spellEnd"/>
      <w:r w:rsidRPr="00E76E94">
        <w:rPr>
          <w:sz w:val="20"/>
          <w:szCs w:val="20"/>
        </w:rPr>
        <w:t xml:space="preserve"> in </w:t>
      </w:r>
      <w:proofErr w:type="spellStart"/>
      <w:r w:rsidRPr="00E76E94">
        <w:rPr>
          <w:sz w:val="20"/>
          <w:szCs w:val="20"/>
        </w:rPr>
        <w:t>recent</w:t>
      </w:r>
      <w:proofErr w:type="spellEnd"/>
      <w:r w:rsidRPr="00E76E94">
        <w:rPr>
          <w:sz w:val="20"/>
          <w:szCs w:val="20"/>
        </w:rPr>
        <w:t xml:space="preserve"> </w:t>
      </w:r>
      <w:proofErr w:type="spellStart"/>
      <w:r w:rsidRPr="00E76E94">
        <w:rPr>
          <w:sz w:val="20"/>
          <w:szCs w:val="20"/>
        </w:rPr>
        <w:t>decades</w:t>
      </w:r>
      <w:proofErr w:type="spellEnd"/>
      <w:r w:rsidRPr="00E76E94">
        <w:rPr>
          <w:sz w:val="20"/>
          <w:szCs w:val="20"/>
        </w:rPr>
        <w:t xml:space="preserve">, </w:t>
      </w:r>
      <w:proofErr w:type="spellStart"/>
      <w:r w:rsidRPr="00E76E94">
        <w:rPr>
          <w:sz w:val="20"/>
          <w:szCs w:val="20"/>
        </w:rPr>
        <w:t>particularly</w:t>
      </w:r>
      <w:proofErr w:type="spellEnd"/>
      <w:r w:rsidRPr="00E76E94">
        <w:rPr>
          <w:sz w:val="20"/>
          <w:szCs w:val="20"/>
        </w:rPr>
        <w:t xml:space="preserve"> </w:t>
      </w:r>
      <w:proofErr w:type="spellStart"/>
      <w:r w:rsidRPr="00E76E94">
        <w:rPr>
          <w:sz w:val="20"/>
          <w:szCs w:val="20"/>
        </w:rPr>
        <w:t>within</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context</w:t>
      </w:r>
      <w:proofErr w:type="spellEnd"/>
      <w:r w:rsidRPr="00E76E94">
        <w:rPr>
          <w:sz w:val="20"/>
          <w:szCs w:val="20"/>
        </w:rPr>
        <w:t xml:space="preserve"> </w:t>
      </w:r>
      <w:proofErr w:type="spellStart"/>
      <w:r w:rsidRPr="00E76E94">
        <w:rPr>
          <w:sz w:val="20"/>
          <w:szCs w:val="20"/>
        </w:rPr>
        <w:t>of</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dominant</w:t>
      </w:r>
      <w:proofErr w:type="spellEnd"/>
      <w:r w:rsidRPr="00E76E94">
        <w:rPr>
          <w:sz w:val="20"/>
          <w:szCs w:val="20"/>
        </w:rPr>
        <w:t xml:space="preserve"> </w:t>
      </w:r>
      <w:proofErr w:type="spellStart"/>
      <w:r w:rsidRPr="00E76E94">
        <w:rPr>
          <w:sz w:val="20"/>
          <w:szCs w:val="20"/>
        </w:rPr>
        <w:t>agrarian</w:t>
      </w:r>
      <w:proofErr w:type="spellEnd"/>
      <w:r w:rsidRPr="00E76E94">
        <w:rPr>
          <w:sz w:val="20"/>
          <w:szCs w:val="20"/>
        </w:rPr>
        <w:t xml:space="preserve"> </w:t>
      </w:r>
      <w:proofErr w:type="spellStart"/>
      <w:r w:rsidRPr="00E76E94">
        <w:rPr>
          <w:sz w:val="20"/>
          <w:szCs w:val="20"/>
        </w:rPr>
        <w:t>factions</w:t>
      </w:r>
      <w:proofErr w:type="spellEnd"/>
      <w:r w:rsidRPr="00E76E94">
        <w:rPr>
          <w:sz w:val="20"/>
          <w:szCs w:val="20"/>
        </w:rPr>
        <w:t xml:space="preserve">, </w:t>
      </w:r>
      <w:proofErr w:type="spellStart"/>
      <w:r w:rsidRPr="00E76E94">
        <w:rPr>
          <w:sz w:val="20"/>
          <w:szCs w:val="20"/>
        </w:rPr>
        <w:t>using</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dialectical</w:t>
      </w:r>
      <w:proofErr w:type="spellEnd"/>
      <w:r w:rsidRPr="00E76E94">
        <w:rPr>
          <w:sz w:val="20"/>
          <w:szCs w:val="20"/>
        </w:rPr>
        <w:t xml:space="preserve"> </w:t>
      </w:r>
      <w:proofErr w:type="spellStart"/>
      <w:r w:rsidRPr="00E76E94">
        <w:rPr>
          <w:sz w:val="20"/>
          <w:szCs w:val="20"/>
        </w:rPr>
        <w:t>method</w:t>
      </w:r>
      <w:proofErr w:type="spellEnd"/>
      <w:r w:rsidRPr="00E76E94">
        <w:rPr>
          <w:sz w:val="20"/>
          <w:szCs w:val="20"/>
        </w:rPr>
        <w:t xml:space="preserve"> </w:t>
      </w:r>
      <w:proofErr w:type="spellStart"/>
      <w:r w:rsidRPr="00E76E94">
        <w:rPr>
          <w:sz w:val="20"/>
          <w:szCs w:val="20"/>
        </w:rPr>
        <w:t>to</w:t>
      </w:r>
      <w:proofErr w:type="spellEnd"/>
      <w:r w:rsidRPr="00E76E94">
        <w:rPr>
          <w:sz w:val="20"/>
          <w:szCs w:val="20"/>
        </w:rPr>
        <w:t xml:space="preserve"> </w:t>
      </w:r>
      <w:proofErr w:type="spellStart"/>
      <w:r w:rsidRPr="00E76E94">
        <w:rPr>
          <w:sz w:val="20"/>
          <w:szCs w:val="20"/>
        </w:rPr>
        <w:t>understand</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relations</w:t>
      </w:r>
      <w:proofErr w:type="spellEnd"/>
      <w:r w:rsidRPr="00E76E94">
        <w:rPr>
          <w:sz w:val="20"/>
          <w:szCs w:val="20"/>
        </w:rPr>
        <w:t xml:space="preserve"> </w:t>
      </w:r>
      <w:proofErr w:type="spellStart"/>
      <w:r w:rsidRPr="00E76E94">
        <w:rPr>
          <w:sz w:val="20"/>
          <w:szCs w:val="20"/>
        </w:rPr>
        <w:t>of</w:t>
      </w:r>
      <w:proofErr w:type="spellEnd"/>
      <w:r w:rsidRPr="00E76E94">
        <w:rPr>
          <w:sz w:val="20"/>
          <w:szCs w:val="20"/>
        </w:rPr>
        <w:t xml:space="preserve"> </w:t>
      </w:r>
      <w:proofErr w:type="spellStart"/>
      <w:r w:rsidRPr="00E76E94">
        <w:rPr>
          <w:sz w:val="20"/>
          <w:szCs w:val="20"/>
        </w:rPr>
        <w:t>power</w:t>
      </w:r>
      <w:proofErr w:type="spellEnd"/>
      <w:r w:rsidRPr="00E76E94">
        <w:rPr>
          <w:sz w:val="20"/>
          <w:szCs w:val="20"/>
        </w:rPr>
        <w:t xml:space="preserve"> </w:t>
      </w:r>
      <w:proofErr w:type="spellStart"/>
      <w:r w:rsidRPr="00E76E94">
        <w:rPr>
          <w:sz w:val="20"/>
          <w:szCs w:val="20"/>
        </w:rPr>
        <w:t>and</w:t>
      </w:r>
      <w:proofErr w:type="spellEnd"/>
      <w:r w:rsidRPr="00E76E94">
        <w:rPr>
          <w:sz w:val="20"/>
          <w:szCs w:val="20"/>
        </w:rPr>
        <w:t xml:space="preserve"> </w:t>
      </w:r>
      <w:proofErr w:type="spellStart"/>
      <w:r w:rsidRPr="00E76E94">
        <w:rPr>
          <w:sz w:val="20"/>
          <w:szCs w:val="20"/>
        </w:rPr>
        <w:t>domination</w:t>
      </w:r>
      <w:proofErr w:type="spellEnd"/>
      <w:r w:rsidRPr="00E76E94">
        <w:rPr>
          <w:sz w:val="20"/>
          <w:szCs w:val="20"/>
        </w:rPr>
        <w:t xml:space="preserve"> </w:t>
      </w:r>
      <w:proofErr w:type="spellStart"/>
      <w:r w:rsidRPr="00E76E94">
        <w:rPr>
          <w:sz w:val="20"/>
          <w:szCs w:val="20"/>
        </w:rPr>
        <w:t>that</w:t>
      </w:r>
      <w:proofErr w:type="spellEnd"/>
      <w:r w:rsidRPr="00E76E94">
        <w:rPr>
          <w:sz w:val="20"/>
          <w:szCs w:val="20"/>
        </w:rPr>
        <w:t xml:space="preserve"> shape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hegemony</w:t>
      </w:r>
      <w:proofErr w:type="spellEnd"/>
      <w:r w:rsidRPr="00E76E94">
        <w:rPr>
          <w:sz w:val="20"/>
          <w:szCs w:val="20"/>
        </w:rPr>
        <w:t xml:space="preserve"> </w:t>
      </w:r>
      <w:proofErr w:type="spellStart"/>
      <w:r w:rsidRPr="00E76E94">
        <w:rPr>
          <w:sz w:val="20"/>
          <w:szCs w:val="20"/>
        </w:rPr>
        <w:t>of</w:t>
      </w:r>
      <w:proofErr w:type="spellEnd"/>
      <w:r w:rsidRPr="00E76E94">
        <w:rPr>
          <w:sz w:val="20"/>
          <w:szCs w:val="20"/>
        </w:rPr>
        <w:t xml:space="preserve"> </w:t>
      </w:r>
      <w:proofErr w:type="spellStart"/>
      <w:r w:rsidRPr="00E76E94">
        <w:rPr>
          <w:sz w:val="20"/>
          <w:szCs w:val="20"/>
        </w:rPr>
        <w:t>agrarian</w:t>
      </w:r>
      <w:proofErr w:type="spellEnd"/>
      <w:r w:rsidRPr="00E76E94">
        <w:rPr>
          <w:sz w:val="20"/>
          <w:szCs w:val="20"/>
        </w:rPr>
        <w:t xml:space="preserve"> capital. </w:t>
      </w:r>
      <w:proofErr w:type="spellStart"/>
      <w:r w:rsidRPr="00E76E94">
        <w:rPr>
          <w:sz w:val="20"/>
          <w:szCs w:val="20"/>
        </w:rPr>
        <w:t>Based</w:t>
      </w:r>
      <w:proofErr w:type="spellEnd"/>
      <w:r w:rsidRPr="00E76E94">
        <w:rPr>
          <w:sz w:val="20"/>
          <w:szCs w:val="20"/>
        </w:rPr>
        <w:t xml:space="preserve"> </w:t>
      </w:r>
      <w:proofErr w:type="spellStart"/>
      <w:r w:rsidRPr="00E76E94">
        <w:rPr>
          <w:sz w:val="20"/>
          <w:szCs w:val="20"/>
        </w:rPr>
        <w:t>on</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category</w:t>
      </w:r>
      <w:proofErr w:type="spellEnd"/>
      <w:r w:rsidRPr="00E76E94">
        <w:rPr>
          <w:sz w:val="20"/>
          <w:szCs w:val="20"/>
        </w:rPr>
        <w:t xml:space="preserve"> </w:t>
      </w:r>
      <w:proofErr w:type="spellStart"/>
      <w:r w:rsidRPr="00E76E94">
        <w:rPr>
          <w:sz w:val="20"/>
          <w:szCs w:val="20"/>
        </w:rPr>
        <w:t>of</w:t>
      </w:r>
      <w:proofErr w:type="spellEnd"/>
      <w:r w:rsidRPr="00E76E94">
        <w:rPr>
          <w:sz w:val="20"/>
          <w:szCs w:val="20"/>
        </w:rPr>
        <w:t xml:space="preserve"> Private </w:t>
      </w:r>
      <w:proofErr w:type="spellStart"/>
      <w:r w:rsidRPr="00E76E94">
        <w:rPr>
          <w:sz w:val="20"/>
          <w:szCs w:val="20"/>
        </w:rPr>
        <w:t>Hegemonic</w:t>
      </w:r>
      <w:proofErr w:type="spellEnd"/>
      <w:r w:rsidRPr="00E76E94">
        <w:rPr>
          <w:sz w:val="20"/>
          <w:szCs w:val="20"/>
        </w:rPr>
        <w:t xml:space="preserve"> </w:t>
      </w:r>
      <w:proofErr w:type="spellStart"/>
      <w:r w:rsidRPr="00E76E94">
        <w:rPr>
          <w:sz w:val="20"/>
          <w:szCs w:val="20"/>
        </w:rPr>
        <w:t>Apparatuses</w:t>
      </w:r>
      <w:proofErr w:type="spellEnd"/>
      <w:r w:rsidRPr="00E76E94">
        <w:rPr>
          <w:sz w:val="20"/>
          <w:szCs w:val="20"/>
        </w:rPr>
        <w:t xml:space="preserve"> (</w:t>
      </w:r>
      <w:proofErr w:type="spellStart"/>
      <w:r w:rsidRPr="00E76E94">
        <w:rPr>
          <w:sz w:val="20"/>
          <w:szCs w:val="20"/>
        </w:rPr>
        <w:t>APHs</w:t>
      </w:r>
      <w:proofErr w:type="spellEnd"/>
      <w:r w:rsidRPr="00E76E94">
        <w:rPr>
          <w:sz w:val="20"/>
          <w:szCs w:val="20"/>
        </w:rPr>
        <w:t xml:space="preserve">), </w:t>
      </w:r>
      <w:proofErr w:type="spellStart"/>
      <w:r w:rsidRPr="00E76E94">
        <w:rPr>
          <w:sz w:val="20"/>
          <w:szCs w:val="20"/>
        </w:rPr>
        <w:t>developed</w:t>
      </w:r>
      <w:proofErr w:type="spellEnd"/>
      <w:r w:rsidRPr="00E76E94">
        <w:rPr>
          <w:sz w:val="20"/>
          <w:szCs w:val="20"/>
        </w:rPr>
        <w:t xml:space="preserve"> </w:t>
      </w:r>
      <w:proofErr w:type="spellStart"/>
      <w:r w:rsidRPr="00E76E94">
        <w:rPr>
          <w:sz w:val="20"/>
          <w:szCs w:val="20"/>
        </w:rPr>
        <w:t>by</w:t>
      </w:r>
      <w:proofErr w:type="spellEnd"/>
      <w:r w:rsidRPr="00E76E94">
        <w:rPr>
          <w:sz w:val="20"/>
          <w:szCs w:val="20"/>
        </w:rPr>
        <w:t xml:space="preserve"> </w:t>
      </w:r>
      <w:proofErr w:type="spellStart"/>
      <w:r w:rsidRPr="00E76E94">
        <w:rPr>
          <w:sz w:val="20"/>
          <w:szCs w:val="20"/>
        </w:rPr>
        <w:t>Antonio</w:t>
      </w:r>
      <w:proofErr w:type="spellEnd"/>
      <w:r w:rsidRPr="00E76E94">
        <w:rPr>
          <w:sz w:val="20"/>
          <w:szCs w:val="20"/>
        </w:rPr>
        <w:t xml:space="preserve"> Gramsci,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National</w:t>
      </w:r>
      <w:proofErr w:type="spellEnd"/>
      <w:r w:rsidRPr="00E76E94">
        <w:rPr>
          <w:sz w:val="20"/>
          <w:szCs w:val="20"/>
        </w:rPr>
        <w:t xml:space="preserve"> </w:t>
      </w:r>
      <w:proofErr w:type="spellStart"/>
      <w:r w:rsidRPr="00E76E94">
        <w:rPr>
          <w:sz w:val="20"/>
          <w:szCs w:val="20"/>
        </w:rPr>
        <w:t>Confederation</w:t>
      </w:r>
      <w:proofErr w:type="spellEnd"/>
      <w:r w:rsidRPr="00E76E94">
        <w:rPr>
          <w:sz w:val="20"/>
          <w:szCs w:val="20"/>
        </w:rPr>
        <w:t xml:space="preserve"> </w:t>
      </w:r>
      <w:proofErr w:type="spellStart"/>
      <w:r w:rsidRPr="00E76E94">
        <w:rPr>
          <w:sz w:val="20"/>
          <w:szCs w:val="20"/>
        </w:rPr>
        <w:t>of</w:t>
      </w:r>
      <w:proofErr w:type="spellEnd"/>
      <w:r w:rsidRPr="00E76E94">
        <w:rPr>
          <w:sz w:val="20"/>
          <w:szCs w:val="20"/>
        </w:rPr>
        <w:t xml:space="preserve"> </w:t>
      </w:r>
      <w:proofErr w:type="spellStart"/>
      <w:r w:rsidRPr="00E76E94">
        <w:rPr>
          <w:sz w:val="20"/>
          <w:szCs w:val="20"/>
        </w:rPr>
        <w:t>Agriculture</w:t>
      </w:r>
      <w:proofErr w:type="spellEnd"/>
      <w:r w:rsidRPr="00E76E94">
        <w:rPr>
          <w:sz w:val="20"/>
          <w:szCs w:val="20"/>
        </w:rPr>
        <w:t xml:space="preserve"> </w:t>
      </w:r>
      <w:proofErr w:type="spellStart"/>
      <w:r w:rsidRPr="00E76E94">
        <w:rPr>
          <w:sz w:val="20"/>
          <w:szCs w:val="20"/>
        </w:rPr>
        <w:t>and</w:t>
      </w:r>
      <w:proofErr w:type="spellEnd"/>
      <w:r w:rsidRPr="00E76E94">
        <w:rPr>
          <w:sz w:val="20"/>
          <w:szCs w:val="20"/>
        </w:rPr>
        <w:t xml:space="preserve"> </w:t>
      </w:r>
      <w:proofErr w:type="spellStart"/>
      <w:r w:rsidRPr="00E76E94">
        <w:rPr>
          <w:sz w:val="20"/>
          <w:szCs w:val="20"/>
        </w:rPr>
        <w:t>Livestock</w:t>
      </w:r>
      <w:proofErr w:type="spellEnd"/>
      <w:r w:rsidRPr="00E76E94">
        <w:rPr>
          <w:sz w:val="20"/>
          <w:szCs w:val="20"/>
        </w:rPr>
        <w:t xml:space="preserve"> (CNA) </w:t>
      </w:r>
      <w:proofErr w:type="spellStart"/>
      <w:r w:rsidRPr="00E76E94">
        <w:rPr>
          <w:sz w:val="20"/>
          <w:szCs w:val="20"/>
        </w:rPr>
        <w:t>is</w:t>
      </w:r>
      <w:proofErr w:type="spellEnd"/>
      <w:r w:rsidRPr="00E76E94">
        <w:rPr>
          <w:sz w:val="20"/>
          <w:szCs w:val="20"/>
        </w:rPr>
        <w:t xml:space="preserve"> </w:t>
      </w:r>
      <w:proofErr w:type="spellStart"/>
      <w:r w:rsidRPr="00E76E94">
        <w:rPr>
          <w:sz w:val="20"/>
          <w:szCs w:val="20"/>
        </w:rPr>
        <w:t>identified</w:t>
      </w:r>
      <w:proofErr w:type="spellEnd"/>
      <w:r w:rsidRPr="00E76E94">
        <w:rPr>
          <w:sz w:val="20"/>
          <w:szCs w:val="20"/>
        </w:rPr>
        <w:t xml:space="preserve"> as </w:t>
      </w:r>
      <w:proofErr w:type="spellStart"/>
      <w:r w:rsidRPr="00E76E94">
        <w:rPr>
          <w:sz w:val="20"/>
          <w:szCs w:val="20"/>
        </w:rPr>
        <w:t>an</w:t>
      </w:r>
      <w:proofErr w:type="spellEnd"/>
      <w:r w:rsidRPr="00E76E94">
        <w:rPr>
          <w:sz w:val="20"/>
          <w:szCs w:val="20"/>
        </w:rPr>
        <w:t xml:space="preserve"> APH </w:t>
      </w:r>
      <w:proofErr w:type="spellStart"/>
      <w:r w:rsidRPr="00E76E94">
        <w:rPr>
          <w:sz w:val="20"/>
          <w:szCs w:val="20"/>
        </w:rPr>
        <w:t>of</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bourgeois</w:t>
      </w:r>
      <w:proofErr w:type="spellEnd"/>
      <w:r w:rsidRPr="00E76E94">
        <w:rPr>
          <w:sz w:val="20"/>
          <w:szCs w:val="20"/>
        </w:rPr>
        <w:t xml:space="preserve"> </w:t>
      </w:r>
      <w:proofErr w:type="spellStart"/>
      <w:r w:rsidRPr="00E76E94">
        <w:rPr>
          <w:sz w:val="20"/>
          <w:szCs w:val="20"/>
        </w:rPr>
        <w:t>class</w:t>
      </w:r>
      <w:proofErr w:type="spellEnd"/>
      <w:r w:rsidRPr="00E76E94">
        <w:rPr>
          <w:sz w:val="20"/>
          <w:szCs w:val="20"/>
        </w:rPr>
        <w:t xml:space="preserve">, </w:t>
      </w:r>
      <w:proofErr w:type="spellStart"/>
      <w:r w:rsidRPr="00E76E94">
        <w:rPr>
          <w:sz w:val="20"/>
          <w:szCs w:val="20"/>
        </w:rPr>
        <w:t>active</w:t>
      </w:r>
      <w:proofErr w:type="spellEnd"/>
      <w:r w:rsidRPr="00E76E94">
        <w:rPr>
          <w:sz w:val="20"/>
          <w:szCs w:val="20"/>
        </w:rPr>
        <w:t xml:space="preserve"> in </w:t>
      </w:r>
      <w:proofErr w:type="spellStart"/>
      <w:r w:rsidRPr="00E76E94">
        <w:rPr>
          <w:sz w:val="20"/>
          <w:szCs w:val="20"/>
        </w:rPr>
        <w:t>economic</w:t>
      </w:r>
      <w:proofErr w:type="spellEnd"/>
      <w:r w:rsidRPr="00E76E94">
        <w:rPr>
          <w:sz w:val="20"/>
          <w:szCs w:val="20"/>
        </w:rPr>
        <w:t xml:space="preserve"> </w:t>
      </w:r>
      <w:proofErr w:type="spellStart"/>
      <w:r w:rsidRPr="00E76E94">
        <w:rPr>
          <w:sz w:val="20"/>
          <w:szCs w:val="20"/>
        </w:rPr>
        <w:t>and</w:t>
      </w:r>
      <w:proofErr w:type="spellEnd"/>
      <w:r w:rsidRPr="00E76E94">
        <w:rPr>
          <w:sz w:val="20"/>
          <w:szCs w:val="20"/>
        </w:rPr>
        <w:t xml:space="preserve"> </w:t>
      </w:r>
      <w:proofErr w:type="spellStart"/>
      <w:r w:rsidRPr="00E76E94">
        <w:rPr>
          <w:sz w:val="20"/>
          <w:szCs w:val="20"/>
        </w:rPr>
        <w:t>political</w:t>
      </w:r>
      <w:proofErr w:type="spellEnd"/>
      <w:r w:rsidRPr="00E76E94">
        <w:rPr>
          <w:sz w:val="20"/>
          <w:szCs w:val="20"/>
        </w:rPr>
        <w:t xml:space="preserve"> </w:t>
      </w:r>
      <w:proofErr w:type="spellStart"/>
      <w:r w:rsidRPr="00E76E94">
        <w:rPr>
          <w:sz w:val="20"/>
          <w:szCs w:val="20"/>
        </w:rPr>
        <w:t>production</w:t>
      </w:r>
      <w:proofErr w:type="spellEnd"/>
      <w:r w:rsidRPr="00E76E94">
        <w:rPr>
          <w:sz w:val="20"/>
          <w:szCs w:val="20"/>
        </w:rPr>
        <w:t xml:space="preserve"> </w:t>
      </w:r>
      <w:proofErr w:type="spellStart"/>
      <w:r w:rsidRPr="00E76E94">
        <w:rPr>
          <w:sz w:val="20"/>
          <w:szCs w:val="20"/>
        </w:rPr>
        <w:t>and</w:t>
      </w:r>
      <w:proofErr w:type="spellEnd"/>
      <w:r w:rsidRPr="00E76E94">
        <w:rPr>
          <w:sz w:val="20"/>
          <w:szCs w:val="20"/>
        </w:rPr>
        <w:t xml:space="preserve"> </w:t>
      </w:r>
      <w:proofErr w:type="spellStart"/>
      <w:r w:rsidRPr="00E76E94">
        <w:rPr>
          <w:sz w:val="20"/>
          <w:szCs w:val="20"/>
        </w:rPr>
        <w:t>influencing</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formation</w:t>
      </w:r>
      <w:proofErr w:type="spellEnd"/>
      <w:r w:rsidRPr="00E76E94">
        <w:rPr>
          <w:sz w:val="20"/>
          <w:szCs w:val="20"/>
        </w:rPr>
        <w:t xml:space="preserve"> </w:t>
      </w:r>
      <w:proofErr w:type="spellStart"/>
      <w:r w:rsidRPr="00E76E94">
        <w:rPr>
          <w:sz w:val="20"/>
          <w:szCs w:val="20"/>
        </w:rPr>
        <w:t>of</w:t>
      </w:r>
      <w:proofErr w:type="spellEnd"/>
      <w:r w:rsidRPr="00E76E94">
        <w:rPr>
          <w:sz w:val="20"/>
          <w:szCs w:val="20"/>
        </w:rPr>
        <w:t xml:space="preserve"> </w:t>
      </w:r>
      <w:proofErr w:type="spellStart"/>
      <w:r w:rsidRPr="00E76E94">
        <w:rPr>
          <w:sz w:val="20"/>
          <w:szCs w:val="20"/>
        </w:rPr>
        <w:t>collective</w:t>
      </w:r>
      <w:proofErr w:type="spellEnd"/>
      <w:r w:rsidRPr="00E76E94">
        <w:rPr>
          <w:sz w:val="20"/>
          <w:szCs w:val="20"/>
        </w:rPr>
        <w:t xml:space="preserve"> </w:t>
      </w:r>
      <w:proofErr w:type="spellStart"/>
      <w:r w:rsidRPr="00E76E94">
        <w:rPr>
          <w:sz w:val="20"/>
          <w:szCs w:val="20"/>
        </w:rPr>
        <w:t>will</w:t>
      </w:r>
      <w:proofErr w:type="spellEnd"/>
      <w:r w:rsidRPr="00E76E94">
        <w:rPr>
          <w:sz w:val="20"/>
          <w:szCs w:val="20"/>
        </w:rPr>
        <w:t xml:space="preserve">. The CNA </w:t>
      </w:r>
      <w:proofErr w:type="spellStart"/>
      <w:r w:rsidRPr="00E76E94">
        <w:rPr>
          <w:sz w:val="20"/>
          <w:szCs w:val="20"/>
        </w:rPr>
        <w:t>coordinates</w:t>
      </w:r>
      <w:proofErr w:type="spellEnd"/>
      <w:r w:rsidRPr="00E76E94">
        <w:rPr>
          <w:sz w:val="20"/>
          <w:szCs w:val="20"/>
        </w:rPr>
        <w:t xml:space="preserve"> rural </w:t>
      </w:r>
      <w:proofErr w:type="spellStart"/>
      <w:r w:rsidRPr="00E76E94">
        <w:rPr>
          <w:sz w:val="20"/>
          <w:szCs w:val="20"/>
        </w:rPr>
        <w:lastRenderedPageBreak/>
        <w:t>employers</w:t>
      </w:r>
      <w:proofErr w:type="spellEnd"/>
      <w:r w:rsidRPr="00E76E94">
        <w:rPr>
          <w:sz w:val="20"/>
          <w:szCs w:val="20"/>
        </w:rPr>
        <w:t xml:space="preserve">' </w:t>
      </w:r>
      <w:proofErr w:type="spellStart"/>
      <w:r w:rsidRPr="00E76E94">
        <w:rPr>
          <w:sz w:val="20"/>
          <w:szCs w:val="20"/>
        </w:rPr>
        <w:t>federations</w:t>
      </w:r>
      <w:proofErr w:type="spellEnd"/>
      <w:r w:rsidRPr="00E76E94">
        <w:rPr>
          <w:sz w:val="20"/>
          <w:szCs w:val="20"/>
        </w:rPr>
        <w:t xml:space="preserve"> </w:t>
      </w:r>
      <w:proofErr w:type="spellStart"/>
      <w:r w:rsidRPr="00E76E94">
        <w:rPr>
          <w:sz w:val="20"/>
          <w:szCs w:val="20"/>
        </w:rPr>
        <w:t>and</w:t>
      </w:r>
      <w:proofErr w:type="spellEnd"/>
      <w:r w:rsidRPr="00E76E94">
        <w:rPr>
          <w:sz w:val="20"/>
          <w:szCs w:val="20"/>
        </w:rPr>
        <w:t xml:space="preserve"> </w:t>
      </w:r>
      <w:proofErr w:type="spellStart"/>
      <w:r w:rsidRPr="00E76E94">
        <w:rPr>
          <w:sz w:val="20"/>
          <w:szCs w:val="20"/>
        </w:rPr>
        <w:t>unions</w:t>
      </w:r>
      <w:proofErr w:type="spellEnd"/>
      <w:r w:rsidRPr="00E76E94">
        <w:rPr>
          <w:sz w:val="20"/>
          <w:szCs w:val="20"/>
        </w:rPr>
        <w:t xml:space="preserve"> </w:t>
      </w:r>
      <w:proofErr w:type="spellStart"/>
      <w:r w:rsidRPr="00E76E94">
        <w:rPr>
          <w:sz w:val="20"/>
          <w:szCs w:val="20"/>
        </w:rPr>
        <w:t>throughout</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country, </w:t>
      </w:r>
      <w:proofErr w:type="spellStart"/>
      <w:r w:rsidRPr="00E76E94">
        <w:rPr>
          <w:sz w:val="20"/>
          <w:szCs w:val="20"/>
        </w:rPr>
        <w:t>defending</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interests</w:t>
      </w:r>
      <w:proofErr w:type="spellEnd"/>
      <w:r w:rsidRPr="00E76E94">
        <w:rPr>
          <w:sz w:val="20"/>
          <w:szCs w:val="20"/>
        </w:rPr>
        <w:t xml:space="preserve"> </w:t>
      </w:r>
      <w:proofErr w:type="spellStart"/>
      <w:r w:rsidRPr="00E76E94">
        <w:rPr>
          <w:sz w:val="20"/>
          <w:szCs w:val="20"/>
        </w:rPr>
        <w:t>of</w:t>
      </w:r>
      <w:proofErr w:type="spellEnd"/>
      <w:r w:rsidRPr="00E76E94">
        <w:rPr>
          <w:sz w:val="20"/>
          <w:szCs w:val="20"/>
        </w:rPr>
        <w:t xml:space="preserve"> agribusiness </w:t>
      </w:r>
      <w:proofErr w:type="spellStart"/>
      <w:r w:rsidRPr="00E76E94">
        <w:rPr>
          <w:sz w:val="20"/>
          <w:szCs w:val="20"/>
        </w:rPr>
        <w:t>before</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main</w:t>
      </w:r>
      <w:proofErr w:type="spellEnd"/>
      <w:r w:rsidRPr="00E76E94">
        <w:rPr>
          <w:sz w:val="20"/>
          <w:szCs w:val="20"/>
        </w:rPr>
        <w:t xml:space="preserve"> </w:t>
      </w:r>
      <w:proofErr w:type="spellStart"/>
      <w:r w:rsidRPr="00E76E94">
        <w:rPr>
          <w:sz w:val="20"/>
          <w:szCs w:val="20"/>
        </w:rPr>
        <w:t>government</w:t>
      </w:r>
      <w:proofErr w:type="spellEnd"/>
      <w:r w:rsidRPr="00E76E94">
        <w:rPr>
          <w:sz w:val="20"/>
          <w:szCs w:val="20"/>
        </w:rPr>
        <w:t xml:space="preserve"> </w:t>
      </w:r>
      <w:proofErr w:type="spellStart"/>
      <w:r w:rsidRPr="00E76E94">
        <w:rPr>
          <w:sz w:val="20"/>
          <w:szCs w:val="20"/>
        </w:rPr>
        <w:t>bodies</w:t>
      </w:r>
      <w:proofErr w:type="spellEnd"/>
      <w:r w:rsidRPr="00E76E94">
        <w:rPr>
          <w:sz w:val="20"/>
          <w:szCs w:val="20"/>
        </w:rPr>
        <w:t xml:space="preserve">. The </w:t>
      </w:r>
      <w:proofErr w:type="spellStart"/>
      <w:r w:rsidRPr="00E76E94">
        <w:rPr>
          <w:sz w:val="20"/>
          <w:szCs w:val="20"/>
        </w:rPr>
        <w:t>article</w:t>
      </w:r>
      <w:proofErr w:type="spellEnd"/>
      <w:r w:rsidRPr="00E76E94">
        <w:rPr>
          <w:sz w:val="20"/>
          <w:szCs w:val="20"/>
        </w:rPr>
        <w:t xml:space="preserve"> </w:t>
      </w:r>
      <w:proofErr w:type="spellStart"/>
      <w:r w:rsidRPr="00E76E94">
        <w:rPr>
          <w:sz w:val="20"/>
          <w:szCs w:val="20"/>
        </w:rPr>
        <w:t>highlights</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National</w:t>
      </w:r>
      <w:proofErr w:type="spellEnd"/>
      <w:r w:rsidRPr="00E76E94">
        <w:rPr>
          <w:sz w:val="20"/>
          <w:szCs w:val="20"/>
        </w:rPr>
        <w:t xml:space="preserve"> Rural Learning Service (SENAR), </w:t>
      </w:r>
      <w:proofErr w:type="spellStart"/>
      <w:r w:rsidRPr="00E76E94">
        <w:rPr>
          <w:sz w:val="20"/>
          <w:szCs w:val="20"/>
        </w:rPr>
        <w:t>part</w:t>
      </w:r>
      <w:proofErr w:type="spellEnd"/>
      <w:r w:rsidRPr="00E76E94">
        <w:rPr>
          <w:sz w:val="20"/>
          <w:szCs w:val="20"/>
        </w:rPr>
        <w:t xml:space="preserve"> </w:t>
      </w:r>
      <w:proofErr w:type="spellStart"/>
      <w:r w:rsidRPr="00E76E94">
        <w:rPr>
          <w:sz w:val="20"/>
          <w:szCs w:val="20"/>
        </w:rPr>
        <w:t>of</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S System, as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pedagogical</w:t>
      </w:r>
      <w:proofErr w:type="spellEnd"/>
      <w:r w:rsidRPr="00E76E94">
        <w:rPr>
          <w:sz w:val="20"/>
          <w:szCs w:val="20"/>
        </w:rPr>
        <w:t xml:space="preserve"> </w:t>
      </w:r>
      <w:proofErr w:type="spellStart"/>
      <w:r w:rsidRPr="00E76E94">
        <w:rPr>
          <w:sz w:val="20"/>
          <w:szCs w:val="20"/>
        </w:rPr>
        <w:t>arm</w:t>
      </w:r>
      <w:proofErr w:type="spellEnd"/>
      <w:r w:rsidRPr="00E76E94">
        <w:rPr>
          <w:sz w:val="20"/>
          <w:szCs w:val="20"/>
        </w:rPr>
        <w:t xml:space="preserve"> </w:t>
      </w:r>
      <w:proofErr w:type="spellStart"/>
      <w:r w:rsidRPr="00E76E94">
        <w:rPr>
          <w:sz w:val="20"/>
          <w:szCs w:val="20"/>
        </w:rPr>
        <w:t>of</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CNA, </w:t>
      </w:r>
      <w:proofErr w:type="spellStart"/>
      <w:r w:rsidRPr="00E76E94">
        <w:rPr>
          <w:sz w:val="20"/>
          <w:szCs w:val="20"/>
        </w:rPr>
        <w:t>particularly</w:t>
      </w:r>
      <w:proofErr w:type="spellEnd"/>
      <w:r w:rsidRPr="00E76E94">
        <w:rPr>
          <w:sz w:val="20"/>
          <w:szCs w:val="20"/>
        </w:rPr>
        <w:t xml:space="preserve"> </w:t>
      </w:r>
      <w:proofErr w:type="spellStart"/>
      <w:r w:rsidRPr="00E76E94">
        <w:rPr>
          <w:sz w:val="20"/>
          <w:szCs w:val="20"/>
        </w:rPr>
        <w:t>since</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2000s. SENAR </w:t>
      </w:r>
      <w:proofErr w:type="spellStart"/>
      <w:r w:rsidRPr="00E76E94">
        <w:rPr>
          <w:sz w:val="20"/>
          <w:szCs w:val="20"/>
        </w:rPr>
        <w:t>is</w:t>
      </w:r>
      <w:proofErr w:type="spellEnd"/>
      <w:r w:rsidRPr="00E76E94">
        <w:rPr>
          <w:sz w:val="20"/>
          <w:szCs w:val="20"/>
        </w:rPr>
        <w:t xml:space="preserve"> </w:t>
      </w:r>
      <w:proofErr w:type="spellStart"/>
      <w:r w:rsidRPr="00E76E94">
        <w:rPr>
          <w:sz w:val="20"/>
          <w:szCs w:val="20"/>
        </w:rPr>
        <w:t>problematized</w:t>
      </w:r>
      <w:proofErr w:type="spellEnd"/>
      <w:r w:rsidRPr="00E76E94">
        <w:rPr>
          <w:sz w:val="20"/>
          <w:szCs w:val="20"/>
        </w:rPr>
        <w:t xml:space="preserve"> as a </w:t>
      </w:r>
      <w:proofErr w:type="spellStart"/>
      <w:r w:rsidRPr="00E76E94">
        <w:rPr>
          <w:sz w:val="20"/>
          <w:szCs w:val="20"/>
        </w:rPr>
        <w:t>private</w:t>
      </w:r>
      <w:proofErr w:type="spellEnd"/>
      <w:r w:rsidRPr="00E76E94">
        <w:rPr>
          <w:sz w:val="20"/>
          <w:szCs w:val="20"/>
        </w:rPr>
        <w:t xml:space="preserve"> </w:t>
      </w:r>
      <w:proofErr w:type="spellStart"/>
      <w:r w:rsidRPr="00E76E94">
        <w:rPr>
          <w:sz w:val="20"/>
          <w:szCs w:val="20"/>
        </w:rPr>
        <w:t>agency</w:t>
      </w:r>
      <w:proofErr w:type="spellEnd"/>
      <w:r w:rsidRPr="00E76E94">
        <w:rPr>
          <w:sz w:val="20"/>
          <w:szCs w:val="20"/>
        </w:rPr>
        <w:t xml:space="preserve"> </w:t>
      </w:r>
      <w:proofErr w:type="spellStart"/>
      <w:r w:rsidRPr="00E76E94">
        <w:rPr>
          <w:sz w:val="20"/>
          <w:szCs w:val="20"/>
        </w:rPr>
        <w:t>that</w:t>
      </w:r>
      <w:proofErr w:type="spellEnd"/>
      <w:r w:rsidRPr="00E76E94">
        <w:rPr>
          <w:sz w:val="20"/>
          <w:szCs w:val="20"/>
        </w:rPr>
        <w:t xml:space="preserve"> </w:t>
      </w:r>
      <w:proofErr w:type="spellStart"/>
      <w:r w:rsidRPr="00E76E94">
        <w:rPr>
          <w:sz w:val="20"/>
          <w:szCs w:val="20"/>
        </w:rPr>
        <w:t>promotes</w:t>
      </w:r>
      <w:proofErr w:type="spellEnd"/>
      <w:r w:rsidRPr="00E76E94">
        <w:rPr>
          <w:sz w:val="20"/>
          <w:szCs w:val="20"/>
        </w:rPr>
        <w:t xml:space="preserve"> </w:t>
      </w:r>
      <w:proofErr w:type="spellStart"/>
      <w:r w:rsidRPr="00E76E94">
        <w:rPr>
          <w:sz w:val="20"/>
          <w:szCs w:val="20"/>
        </w:rPr>
        <w:t>education</w:t>
      </w:r>
      <w:proofErr w:type="spellEnd"/>
      <w:r w:rsidRPr="00E76E94">
        <w:rPr>
          <w:sz w:val="20"/>
          <w:szCs w:val="20"/>
        </w:rPr>
        <w:t xml:space="preserve"> </w:t>
      </w:r>
      <w:proofErr w:type="spellStart"/>
      <w:r w:rsidRPr="00E76E94">
        <w:rPr>
          <w:sz w:val="20"/>
          <w:szCs w:val="20"/>
        </w:rPr>
        <w:t>focused</w:t>
      </w:r>
      <w:proofErr w:type="spellEnd"/>
      <w:r w:rsidRPr="00E76E94">
        <w:rPr>
          <w:sz w:val="20"/>
          <w:szCs w:val="20"/>
        </w:rPr>
        <w:t xml:space="preserve"> </w:t>
      </w:r>
      <w:proofErr w:type="spellStart"/>
      <w:r w:rsidRPr="00E76E94">
        <w:rPr>
          <w:sz w:val="20"/>
          <w:szCs w:val="20"/>
        </w:rPr>
        <w:t>on</w:t>
      </w:r>
      <w:proofErr w:type="spellEnd"/>
      <w:r w:rsidRPr="00E76E94">
        <w:rPr>
          <w:sz w:val="20"/>
          <w:szCs w:val="20"/>
        </w:rPr>
        <w:t xml:space="preserve"> agribusiness, </w:t>
      </w:r>
      <w:proofErr w:type="spellStart"/>
      <w:r w:rsidRPr="00E76E94">
        <w:rPr>
          <w:sz w:val="20"/>
          <w:szCs w:val="20"/>
        </w:rPr>
        <w:t>denying</w:t>
      </w:r>
      <w:proofErr w:type="spellEnd"/>
      <w:r w:rsidRPr="00E76E94">
        <w:rPr>
          <w:sz w:val="20"/>
          <w:szCs w:val="20"/>
        </w:rPr>
        <w:t xml:space="preserve"> </w:t>
      </w:r>
      <w:proofErr w:type="spellStart"/>
      <w:r w:rsidRPr="00E76E94">
        <w:rPr>
          <w:sz w:val="20"/>
          <w:szCs w:val="20"/>
        </w:rPr>
        <w:t>agrarian</w:t>
      </w:r>
      <w:proofErr w:type="spellEnd"/>
      <w:r w:rsidRPr="00E76E94">
        <w:rPr>
          <w:sz w:val="20"/>
          <w:szCs w:val="20"/>
        </w:rPr>
        <w:t xml:space="preserve"> reform. The </w:t>
      </w:r>
      <w:proofErr w:type="spellStart"/>
      <w:r w:rsidRPr="00E76E94">
        <w:rPr>
          <w:sz w:val="20"/>
          <w:szCs w:val="20"/>
        </w:rPr>
        <w:t>study</w:t>
      </w:r>
      <w:proofErr w:type="spellEnd"/>
      <w:r w:rsidRPr="00E76E94">
        <w:rPr>
          <w:sz w:val="20"/>
          <w:szCs w:val="20"/>
        </w:rPr>
        <w:t xml:space="preserve"> </w:t>
      </w:r>
      <w:proofErr w:type="spellStart"/>
      <w:r w:rsidRPr="00E76E94">
        <w:rPr>
          <w:sz w:val="20"/>
          <w:szCs w:val="20"/>
        </w:rPr>
        <w:t>proposes</w:t>
      </w:r>
      <w:proofErr w:type="spellEnd"/>
      <w:r w:rsidRPr="00E76E94">
        <w:rPr>
          <w:sz w:val="20"/>
          <w:szCs w:val="20"/>
        </w:rPr>
        <w:t xml:space="preserve"> </w:t>
      </w:r>
      <w:proofErr w:type="spellStart"/>
      <w:r w:rsidRPr="00E76E94">
        <w:rPr>
          <w:sz w:val="20"/>
          <w:szCs w:val="20"/>
        </w:rPr>
        <w:t>to</w:t>
      </w:r>
      <w:proofErr w:type="spellEnd"/>
      <w:r w:rsidRPr="00E76E94">
        <w:rPr>
          <w:sz w:val="20"/>
          <w:szCs w:val="20"/>
        </w:rPr>
        <w:t xml:space="preserve"> </w:t>
      </w:r>
      <w:proofErr w:type="spellStart"/>
      <w:r w:rsidRPr="00E76E94">
        <w:rPr>
          <w:sz w:val="20"/>
          <w:szCs w:val="20"/>
        </w:rPr>
        <w:t>understand</w:t>
      </w:r>
      <w:proofErr w:type="spellEnd"/>
      <w:r w:rsidRPr="00E76E94">
        <w:rPr>
          <w:sz w:val="20"/>
          <w:szCs w:val="20"/>
        </w:rPr>
        <w:t xml:space="preserve"> SENAR as </w:t>
      </w:r>
      <w:proofErr w:type="spellStart"/>
      <w:r w:rsidRPr="00E76E94">
        <w:rPr>
          <w:sz w:val="20"/>
          <w:szCs w:val="20"/>
        </w:rPr>
        <w:t>an</w:t>
      </w:r>
      <w:proofErr w:type="spellEnd"/>
      <w:r w:rsidRPr="00E76E94">
        <w:rPr>
          <w:sz w:val="20"/>
          <w:szCs w:val="20"/>
        </w:rPr>
        <w:t xml:space="preserve"> </w:t>
      </w:r>
      <w:proofErr w:type="spellStart"/>
      <w:r w:rsidRPr="00E76E94">
        <w:rPr>
          <w:sz w:val="20"/>
          <w:szCs w:val="20"/>
        </w:rPr>
        <w:t>expression</w:t>
      </w:r>
      <w:proofErr w:type="spellEnd"/>
      <w:r w:rsidRPr="00E76E94">
        <w:rPr>
          <w:sz w:val="20"/>
          <w:szCs w:val="20"/>
        </w:rPr>
        <w:t xml:space="preserve"> </w:t>
      </w:r>
      <w:proofErr w:type="spellStart"/>
      <w:r w:rsidRPr="00E76E94">
        <w:rPr>
          <w:sz w:val="20"/>
          <w:szCs w:val="20"/>
        </w:rPr>
        <w:t>of</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educating</w:t>
      </w:r>
      <w:proofErr w:type="spellEnd"/>
      <w:r w:rsidRPr="00E76E94">
        <w:rPr>
          <w:sz w:val="20"/>
          <w:szCs w:val="20"/>
        </w:rPr>
        <w:t xml:space="preserve"> CNA," </w:t>
      </w:r>
      <w:proofErr w:type="spellStart"/>
      <w:r w:rsidRPr="00E76E94">
        <w:rPr>
          <w:sz w:val="20"/>
          <w:szCs w:val="20"/>
        </w:rPr>
        <w:t>revealing</w:t>
      </w:r>
      <w:proofErr w:type="spellEnd"/>
      <w:r w:rsidRPr="00E76E94">
        <w:rPr>
          <w:sz w:val="20"/>
          <w:szCs w:val="20"/>
        </w:rPr>
        <w:t xml:space="preserve"> its </w:t>
      </w:r>
      <w:proofErr w:type="spellStart"/>
      <w:r w:rsidRPr="00E76E94">
        <w:rPr>
          <w:sz w:val="20"/>
          <w:szCs w:val="20"/>
        </w:rPr>
        <w:t>strategic</w:t>
      </w:r>
      <w:proofErr w:type="spellEnd"/>
      <w:r w:rsidRPr="00E76E94">
        <w:rPr>
          <w:sz w:val="20"/>
          <w:szCs w:val="20"/>
        </w:rPr>
        <w:t xml:space="preserve"> role in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struggle</w:t>
      </w:r>
      <w:proofErr w:type="spellEnd"/>
      <w:r w:rsidRPr="00E76E94">
        <w:rPr>
          <w:sz w:val="20"/>
          <w:szCs w:val="20"/>
        </w:rPr>
        <w:t xml:space="preserve"> for </w:t>
      </w:r>
      <w:proofErr w:type="spellStart"/>
      <w:r w:rsidRPr="00E76E94">
        <w:rPr>
          <w:sz w:val="20"/>
          <w:szCs w:val="20"/>
        </w:rPr>
        <w:t>educational</w:t>
      </w:r>
      <w:proofErr w:type="spellEnd"/>
      <w:r w:rsidRPr="00E76E94">
        <w:rPr>
          <w:sz w:val="20"/>
          <w:szCs w:val="20"/>
        </w:rPr>
        <w:t xml:space="preserve"> </w:t>
      </w:r>
      <w:proofErr w:type="spellStart"/>
      <w:r w:rsidRPr="00E76E94">
        <w:rPr>
          <w:sz w:val="20"/>
          <w:szCs w:val="20"/>
        </w:rPr>
        <w:t>hegemony</w:t>
      </w:r>
      <w:proofErr w:type="spellEnd"/>
      <w:r w:rsidRPr="00E76E94">
        <w:rPr>
          <w:sz w:val="20"/>
          <w:szCs w:val="20"/>
        </w:rPr>
        <w:t xml:space="preserve"> in rural </w:t>
      </w:r>
      <w:proofErr w:type="spellStart"/>
      <w:r w:rsidRPr="00E76E94">
        <w:rPr>
          <w:sz w:val="20"/>
          <w:szCs w:val="20"/>
        </w:rPr>
        <w:t>areas</w:t>
      </w:r>
      <w:proofErr w:type="spellEnd"/>
      <w:r w:rsidRPr="00E76E94">
        <w:rPr>
          <w:sz w:val="20"/>
          <w:szCs w:val="20"/>
        </w:rPr>
        <w:t xml:space="preserve"> </w:t>
      </w:r>
      <w:proofErr w:type="spellStart"/>
      <w:r w:rsidRPr="00E76E94">
        <w:rPr>
          <w:sz w:val="20"/>
          <w:szCs w:val="20"/>
        </w:rPr>
        <w:t>and</w:t>
      </w:r>
      <w:proofErr w:type="spellEnd"/>
      <w:r w:rsidRPr="00E76E94">
        <w:rPr>
          <w:sz w:val="20"/>
          <w:szCs w:val="20"/>
        </w:rPr>
        <w:t xml:space="preserve"> its role in </w:t>
      </w:r>
      <w:proofErr w:type="spellStart"/>
      <w:r w:rsidRPr="00E76E94">
        <w:rPr>
          <w:sz w:val="20"/>
          <w:szCs w:val="20"/>
        </w:rPr>
        <w:t>consolidating</w:t>
      </w:r>
      <w:proofErr w:type="spellEnd"/>
      <w:r w:rsidRPr="00E76E94">
        <w:rPr>
          <w:sz w:val="20"/>
          <w:szCs w:val="20"/>
        </w:rPr>
        <w:t xml:space="preserve"> a </w:t>
      </w:r>
      <w:proofErr w:type="spellStart"/>
      <w:r w:rsidRPr="00E76E94">
        <w:rPr>
          <w:sz w:val="20"/>
          <w:szCs w:val="20"/>
        </w:rPr>
        <w:t>political</w:t>
      </w:r>
      <w:proofErr w:type="spellEnd"/>
      <w:r w:rsidRPr="00E76E94">
        <w:rPr>
          <w:sz w:val="20"/>
          <w:szCs w:val="20"/>
        </w:rPr>
        <w:t xml:space="preserve"> </w:t>
      </w:r>
      <w:proofErr w:type="spellStart"/>
      <w:r w:rsidRPr="00E76E94">
        <w:rPr>
          <w:sz w:val="20"/>
          <w:szCs w:val="20"/>
        </w:rPr>
        <w:t>project</w:t>
      </w:r>
      <w:proofErr w:type="spellEnd"/>
      <w:r w:rsidRPr="00E76E94">
        <w:rPr>
          <w:sz w:val="20"/>
          <w:szCs w:val="20"/>
        </w:rPr>
        <w:t xml:space="preserve"> </w:t>
      </w:r>
      <w:proofErr w:type="spellStart"/>
      <w:r w:rsidRPr="00E76E94">
        <w:rPr>
          <w:sz w:val="20"/>
          <w:szCs w:val="20"/>
        </w:rPr>
        <w:t>aligned</w:t>
      </w:r>
      <w:proofErr w:type="spellEnd"/>
      <w:r w:rsidRPr="00E76E94">
        <w:rPr>
          <w:sz w:val="20"/>
          <w:szCs w:val="20"/>
        </w:rPr>
        <w:t xml:space="preserve"> </w:t>
      </w:r>
      <w:proofErr w:type="spellStart"/>
      <w:r w:rsidRPr="00E76E94">
        <w:rPr>
          <w:sz w:val="20"/>
          <w:szCs w:val="20"/>
        </w:rPr>
        <w:t>with</w:t>
      </w:r>
      <w:proofErr w:type="spellEnd"/>
      <w:r w:rsidRPr="00E76E94">
        <w:rPr>
          <w:sz w:val="20"/>
          <w:szCs w:val="20"/>
        </w:rPr>
        <w:t xml:space="preserve"> </w:t>
      </w:r>
      <w:proofErr w:type="spellStart"/>
      <w:r w:rsidRPr="00E76E94">
        <w:rPr>
          <w:sz w:val="20"/>
          <w:szCs w:val="20"/>
        </w:rPr>
        <w:t>the</w:t>
      </w:r>
      <w:proofErr w:type="spellEnd"/>
      <w:r w:rsidRPr="00E76E94">
        <w:rPr>
          <w:sz w:val="20"/>
          <w:szCs w:val="20"/>
        </w:rPr>
        <w:t xml:space="preserve"> </w:t>
      </w:r>
      <w:proofErr w:type="spellStart"/>
      <w:r w:rsidRPr="00E76E94">
        <w:rPr>
          <w:sz w:val="20"/>
          <w:szCs w:val="20"/>
        </w:rPr>
        <w:t>interests</w:t>
      </w:r>
      <w:proofErr w:type="spellEnd"/>
      <w:r w:rsidRPr="00E76E94">
        <w:rPr>
          <w:sz w:val="20"/>
          <w:szCs w:val="20"/>
        </w:rPr>
        <w:t xml:space="preserve"> </w:t>
      </w:r>
      <w:proofErr w:type="spellStart"/>
      <w:r w:rsidRPr="00E76E94">
        <w:rPr>
          <w:sz w:val="20"/>
          <w:szCs w:val="20"/>
        </w:rPr>
        <w:t>of</w:t>
      </w:r>
      <w:proofErr w:type="spellEnd"/>
      <w:r w:rsidRPr="00E76E94">
        <w:rPr>
          <w:sz w:val="20"/>
          <w:szCs w:val="20"/>
        </w:rPr>
        <w:t xml:space="preserve"> </w:t>
      </w:r>
      <w:proofErr w:type="spellStart"/>
      <w:r w:rsidRPr="00E76E94">
        <w:rPr>
          <w:sz w:val="20"/>
          <w:szCs w:val="20"/>
        </w:rPr>
        <w:t>agrarian</w:t>
      </w:r>
      <w:proofErr w:type="spellEnd"/>
      <w:r w:rsidRPr="00E76E94">
        <w:rPr>
          <w:sz w:val="20"/>
          <w:szCs w:val="20"/>
        </w:rPr>
        <w:t xml:space="preserve"> capital.</w:t>
      </w:r>
    </w:p>
    <w:p w14:paraId="2AEDC8D6" w14:textId="77777777" w:rsidR="0073467F" w:rsidRPr="00E76E94" w:rsidRDefault="0073467F" w:rsidP="0073467F">
      <w:pPr>
        <w:ind w:left="2835"/>
        <w:jc w:val="both"/>
        <w:rPr>
          <w:sz w:val="20"/>
          <w:szCs w:val="20"/>
        </w:rPr>
      </w:pPr>
    </w:p>
    <w:p w14:paraId="7F3E8A36" w14:textId="77777777" w:rsidR="0073467F" w:rsidRPr="00E76E94" w:rsidRDefault="0073467F" w:rsidP="0073467F">
      <w:pPr>
        <w:ind w:left="2835"/>
        <w:rPr>
          <w:sz w:val="20"/>
          <w:szCs w:val="20"/>
        </w:rPr>
      </w:pPr>
      <w:r w:rsidRPr="00E76E94">
        <w:rPr>
          <w:sz w:val="20"/>
          <w:szCs w:val="20"/>
        </w:rPr>
        <w:t xml:space="preserve">Keywords: </w:t>
      </w:r>
      <w:proofErr w:type="spellStart"/>
      <w:r w:rsidRPr="00E76E94">
        <w:rPr>
          <w:sz w:val="20"/>
          <w:szCs w:val="20"/>
        </w:rPr>
        <w:t>Hegemony</w:t>
      </w:r>
      <w:proofErr w:type="spellEnd"/>
      <w:r w:rsidRPr="00E76E94">
        <w:rPr>
          <w:sz w:val="20"/>
          <w:szCs w:val="20"/>
        </w:rPr>
        <w:t xml:space="preserve">; </w:t>
      </w:r>
      <w:proofErr w:type="spellStart"/>
      <w:r w:rsidRPr="00E76E94">
        <w:rPr>
          <w:sz w:val="20"/>
          <w:szCs w:val="20"/>
        </w:rPr>
        <w:t>public</w:t>
      </w:r>
      <w:proofErr w:type="spellEnd"/>
      <w:r w:rsidRPr="00E76E94">
        <w:rPr>
          <w:sz w:val="20"/>
          <w:szCs w:val="20"/>
        </w:rPr>
        <w:t xml:space="preserve"> </w:t>
      </w:r>
      <w:proofErr w:type="spellStart"/>
      <w:r w:rsidRPr="00E76E94">
        <w:rPr>
          <w:sz w:val="20"/>
          <w:szCs w:val="20"/>
        </w:rPr>
        <w:t>schools</w:t>
      </w:r>
      <w:proofErr w:type="spellEnd"/>
      <w:r w:rsidRPr="00E76E94">
        <w:rPr>
          <w:sz w:val="20"/>
          <w:szCs w:val="20"/>
        </w:rPr>
        <w:t>; agribusiness; SENAR.</w:t>
      </w:r>
    </w:p>
    <w:p w14:paraId="187A3DD0" w14:textId="5FDABC38" w:rsidR="00685D7F" w:rsidRPr="00430BC1" w:rsidRDefault="00685D7F" w:rsidP="00685D7F">
      <w:pPr>
        <w:pStyle w:val="Textodecomentrio"/>
        <w:spacing w:line="360" w:lineRule="auto"/>
        <w:ind w:firstLine="709"/>
        <w:jc w:val="right"/>
        <w:rPr>
          <w:rFonts w:eastAsia="Times New Roman"/>
          <w:color w:val="000000" w:themeColor="text1"/>
        </w:rPr>
      </w:pPr>
    </w:p>
    <w:p w14:paraId="770B6A03" w14:textId="77777777" w:rsidR="00685D7F" w:rsidRPr="00430BC1" w:rsidRDefault="00685D7F" w:rsidP="00685D7F">
      <w:pPr>
        <w:pStyle w:val="Textodecomentrio"/>
        <w:spacing w:line="360" w:lineRule="auto"/>
        <w:jc w:val="both"/>
        <w:rPr>
          <w:rFonts w:eastAsia="Times New Roman"/>
          <w:color w:val="000000" w:themeColor="text1"/>
          <w:sz w:val="24"/>
          <w:szCs w:val="24"/>
        </w:rPr>
      </w:pPr>
      <w:r w:rsidRPr="00430BC1">
        <w:rPr>
          <w:rFonts w:eastAsia="Times New Roman"/>
          <w:b/>
          <w:bCs/>
          <w:color w:val="000000" w:themeColor="text1"/>
          <w:sz w:val="24"/>
          <w:szCs w:val="24"/>
        </w:rPr>
        <w:t>1 Introdução</w:t>
      </w:r>
    </w:p>
    <w:p w14:paraId="0BEEF855" w14:textId="77777777" w:rsidR="00685D7F" w:rsidRPr="00430BC1" w:rsidRDefault="00685D7F" w:rsidP="00685D7F">
      <w:pPr>
        <w:pStyle w:val="Textodecomentrio"/>
        <w:spacing w:line="360" w:lineRule="auto"/>
        <w:ind w:firstLine="709"/>
        <w:jc w:val="both"/>
        <w:rPr>
          <w:rFonts w:eastAsia="Times New Roman"/>
          <w:color w:val="000000" w:themeColor="text1"/>
          <w:sz w:val="24"/>
          <w:szCs w:val="24"/>
        </w:rPr>
      </w:pPr>
    </w:p>
    <w:p w14:paraId="69B97AB7" w14:textId="77777777" w:rsidR="00685D7F" w:rsidRPr="00430BC1" w:rsidRDefault="00685D7F" w:rsidP="00685D7F">
      <w:pPr>
        <w:pStyle w:val="Textodecomentrio"/>
        <w:spacing w:line="360" w:lineRule="auto"/>
        <w:ind w:firstLine="709"/>
        <w:jc w:val="both"/>
        <w:rPr>
          <w:rFonts w:eastAsia="Times New Roman"/>
          <w:sz w:val="24"/>
          <w:szCs w:val="24"/>
        </w:rPr>
      </w:pPr>
      <w:r w:rsidRPr="00430BC1">
        <w:rPr>
          <w:rFonts w:eastAsia="Times New Roman"/>
          <w:color w:val="000000" w:themeColor="text1"/>
          <w:sz w:val="24"/>
          <w:szCs w:val="24"/>
        </w:rPr>
        <w:t xml:space="preserve">O presente artigo problematiza a disputa pela escola feita pelas frações agrárias nas últimas décadas. </w:t>
      </w:r>
      <w:r w:rsidRPr="00430BC1">
        <w:rPr>
          <w:rFonts w:eastAsia="Times New Roman"/>
          <w:sz w:val="24"/>
          <w:szCs w:val="24"/>
        </w:rPr>
        <w:t>Do ponto de vista do método dialético, partiu-se do entendimento da materialidade em torno das relações de poder e dominação, que compõe o embate pela hegemonia econômica e política do capital agrário, no interior da disputa pela vontade coletiva das frações agrárias dominantes e da classe trabalhadora no seio do Estado integral. Diante disso, toma-se, como categoria útil, para essa análise, os Aparelhos Privados de Hegemonia (</w:t>
      </w:r>
      <w:proofErr w:type="spellStart"/>
      <w:r w:rsidRPr="00430BC1">
        <w:rPr>
          <w:rFonts w:eastAsia="Times New Roman"/>
          <w:sz w:val="24"/>
          <w:szCs w:val="24"/>
        </w:rPr>
        <w:t>APHs</w:t>
      </w:r>
      <w:proofErr w:type="spellEnd"/>
      <w:r w:rsidRPr="00430BC1">
        <w:rPr>
          <w:rFonts w:eastAsia="Times New Roman"/>
          <w:sz w:val="24"/>
          <w:szCs w:val="24"/>
        </w:rPr>
        <w:t xml:space="preserve">) (Gramsci, 2001), que têm sentido como materialidade institucional específica da sociedade civil, constituindo-se como conjunto de instâncias de associação voluntária, de empresas e instituições estatais. </w:t>
      </w:r>
    </w:p>
    <w:p w14:paraId="0BA5B445" w14:textId="77777777" w:rsidR="00685D7F" w:rsidRPr="00430BC1" w:rsidRDefault="00685D7F" w:rsidP="00685D7F">
      <w:pPr>
        <w:pStyle w:val="Textodecomentrio"/>
        <w:spacing w:line="360" w:lineRule="auto"/>
        <w:ind w:firstLine="709"/>
        <w:jc w:val="both"/>
        <w:rPr>
          <w:rFonts w:eastAsia="Times New Roman"/>
          <w:color w:val="000000" w:themeColor="text1"/>
          <w:sz w:val="24"/>
          <w:szCs w:val="24"/>
        </w:rPr>
      </w:pPr>
      <w:r w:rsidRPr="00430BC1">
        <w:rPr>
          <w:rFonts w:eastAsia="Times New Roman"/>
          <w:sz w:val="24"/>
          <w:szCs w:val="24"/>
        </w:rPr>
        <w:t xml:space="preserve">A Confederação Nacional de Agricultura e Pecuária (CNA), representante do sindicalismo patronal rural, portanto, é tomada como APH ou formas organizativas que, mormente a atuação cultural, opera, desde sua gênese, na forma de produção econômica (infraestrutura) e política (Estado), que deve ser analisada em sua organização interna na produção de vontades coletivas, mas também precisa ser considerada a relação deste aparelho com os demais grupos antagônicos (Gramsci, 2001). É, assim, historicamente uma instituição ligada ao aparato estatal restrito, constituindo-se como espaço privilegiado de disputas entre setores da sociedade civil. </w:t>
      </w:r>
      <w:r w:rsidRPr="00430BC1">
        <w:rPr>
          <w:rFonts w:eastAsia="Times New Roman"/>
          <w:sz w:val="24"/>
          <w:szCs w:val="24"/>
        </w:rPr>
        <w:lastRenderedPageBreak/>
        <w:t xml:space="preserve">Em torno dela são reunidas todas as federações de agricultura de grandes e médios produtores rurais (uma por estado), que, por sua vez, também aglutinam todos os sindicatos rurais dessa categoria no território nacional. Essa organização patronal defende os interesses dos grandes proprietários e empresários do agronegócio junto ao Governo Federal, ao Congresso Nacional e aos tribunais superiores do poder Judiciário. A CNA tem assento em vários conselhos, comissões temáticas, grupos de trabalho e programas oficiais (Leal, 2002), </w:t>
      </w:r>
      <w:r w:rsidRPr="00430BC1">
        <w:rPr>
          <w:rFonts w:eastAsia="Times New Roman"/>
          <w:color w:val="000000" w:themeColor="text1"/>
          <w:sz w:val="24"/>
          <w:szCs w:val="24"/>
        </w:rPr>
        <w:t xml:space="preserve">possuindo, assim, uma dinâmica complexa de enraizamento nas esferas de poder como APH da classe burguesa (Gramsci, 2001). </w:t>
      </w:r>
    </w:p>
    <w:p w14:paraId="6F018338" w14:textId="77777777" w:rsidR="00685D7F" w:rsidRPr="00430BC1" w:rsidRDefault="00685D7F" w:rsidP="00685D7F">
      <w:pPr>
        <w:pStyle w:val="Textodecomentrio"/>
        <w:spacing w:line="360" w:lineRule="auto"/>
        <w:ind w:firstLine="709"/>
        <w:jc w:val="both"/>
        <w:rPr>
          <w:rFonts w:eastAsia="Times New Roman"/>
          <w:sz w:val="24"/>
          <w:szCs w:val="24"/>
        </w:rPr>
      </w:pPr>
      <w:r w:rsidRPr="00430BC1">
        <w:rPr>
          <w:rFonts w:eastAsia="Times New Roman"/>
          <w:sz w:val="24"/>
          <w:szCs w:val="24"/>
        </w:rPr>
        <w:t xml:space="preserve">Integrante do chamado “Sistema S”, o Serviço Nacional da Aprendizagem Rural (SENAR), autointitulada como a “verdadeira escola da terra”, assume, na passagem dos anos 1990 aos anos 2000, a missão estabelecida a partir da relação orgânica ou até de simbiose, entre CNA e SENAR, uma vez que este último funciona como espaço de organização e difusão dos pressupostos políticos e formativos daquela. </w:t>
      </w:r>
    </w:p>
    <w:p w14:paraId="2813F87A" w14:textId="77777777" w:rsidR="00685D7F" w:rsidRPr="00430BC1" w:rsidRDefault="00685D7F" w:rsidP="00685D7F">
      <w:pPr>
        <w:pStyle w:val="Standard"/>
        <w:spacing w:line="360" w:lineRule="auto"/>
        <w:ind w:firstLine="709"/>
        <w:jc w:val="both"/>
        <w:rPr>
          <w:rFonts w:ascii="Arial" w:eastAsia="Times New Roman" w:hAnsi="Arial" w:cs="Arial"/>
          <w:color w:val="auto"/>
        </w:rPr>
      </w:pPr>
      <w:r w:rsidRPr="00430BC1">
        <w:rPr>
          <w:rFonts w:ascii="Arial" w:hAnsi="Arial" w:cs="Arial"/>
        </w:rPr>
        <w:t xml:space="preserve">De forma específica, este trabalho trata da atuação do SENAR como agência privada vinculada à CNA, que possui projeto político e pedagógico alicerçado, claramente expresso, a partir dos anos 2000, na negação da reforma agrária, criminalização dos movimentos sociais do campo e educação para o agronegócio. </w:t>
      </w:r>
      <w:r w:rsidRPr="00430BC1">
        <w:rPr>
          <w:rFonts w:ascii="Arial" w:eastAsia="Times New Roman" w:hAnsi="Arial" w:cs="Arial"/>
          <w:color w:val="auto"/>
        </w:rPr>
        <w:t>Pretende-se problematizar o SENAR a partir da década de 1990, como entidade que dimensionou, caracterizou e deu corpo à “CNA educadora”.</w:t>
      </w:r>
    </w:p>
    <w:p w14:paraId="213020FC" w14:textId="77777777" w:rsidR="00685D7F" w:rsidRPr="00430BC1" w:rsidRDefault="00685D7F" w:rsidP="00685D7F">
      <w:pPr>
        <w:pStyle w:val="Textodecomentrio"/>
        <w:spacing w:line="360" w:lineRule="auto"/>
        <w:ind w:firstLine="709"/>
        <w:jc w:val="both"/>
        <w:rPr>
          <w:rFonts w:eastAsia="Times New Roman"/>
          <w:color w:val="000000" w:themeColor="text1"/>
          <w:sz w:val="24"/>
          <w:szCs w:val="24"/>
        </w:rPr>
      </w:pPr>
    </w:p>
    <w:p w14:paraId="4E6E3405" w14:textId="77777777" w:rsidR="00685D7F" w:rsidRPr="00430BC1" w:rsidRDefault="00685D7F" w:rsidP="00685D7F">
      <w:pPr>
        <w:pStyle w:val="Textodecomentrio"/>
        <w:spacing w:line="360" w:lineRule="auto"/>
        <w:jc w:val="both"/>
        <w:rPr>
          <w:b/>
          <w:bCs/>
          <w:sz w:val="24"/>
          <w:szCs w:val="24"/>
        </w:rPr>
      </w:pPr>
      <w:r w:rsidRPr="00430BC1">
        <w:rPr>
          <w:b/>
          <w:bCs/>
          <w:sz w:val="24"/>
          <w:szCs w:val="24"/>
        </w:rPr>
        <w:t>2 Estado, Poder e Educação para o Agronegócio</w:t>
      </w:r>
    </w:p>
    <w:p w14:paraId="74CE80CD" w14:textId="77777777" w:rsidR="00685D7F" w:rsidRPr="00430BC1" w:rsidRDefault="00685D7F" w:rsidP="00685D7F">
      <w:pPr>
        <w:pStyle w:val="Textodecomentrio"/>
        <w:spacing w:line="360" w:lineRule="auto"/>
        <w:jc w:val="both"/>
        <w:rPr>
          <w:b/>
          <w:bCs/>
          <w:sz w:val="24"/>
          <w:szCs w:val="24"/>
        </w:rPr>
      </w:pPr>
    </w:p>
    <w:p w14:paraId="31302246" w14:textId="77777777" w:rsidR="00685D7F" w:rsidRPr="00430BC1" w:rsidRDefault="00685D7F" w:rsidP="00685D7F">
      <w:pPr>
        <w:pStyle w:val="Textodecomentrio"/>
        <w:spacing w:line="360" w:lineRule="auto"/>
        <w:ind w:firstLine="708"/>
        <w:jc w:val="both"/>
        <w:rPr>
          <w:rFonts w:eastAsia="Times New Roman"/>
          <w:sz w:val="22"/>
        </w:rPr>
      </w:pPr>
      <w:r w:rsidRPr="00430BC1">
        <w:rPr>
          <w:rFonts w:eastAsia="Times New Roman"/>
          <w:sz w:val="24"/>
          <w:szCs w:val="24"/>
        </w:rPr>
        <w:t xml:space="preserve">No léxico gramsciano, “formação” aponta para o sentido da elaboração de um “novo tipo de homem” que abrange a construção de uma consciência coletiva que concorre para um modo de pensar e operar homogêneo (Baratta, 2017). Tal intento formativo está ligado a um projeto de poder hegemônico ou contra hegemônico. Essa relação saber e poder se sustenta na materialidade institucional do Estado restrito no contexto da sociedade do capital. Materialidade </w:t>
      </w:r>
      <w:proofErr w:type="spellStart"/>
      <w:r w:rsidRPr="00430BC1">
        <w:rPr>
          <w:rFonts w:eastAsia="Times New Roman"/>
          <w:sz w:val="24"/>
          <w:szCs w:val="24"/>
        </w:rPr>
        <w:t>esta</w:t>
      </w:r>
      <w:proofErr w:type="spellEnd"/>
      <w:r w:rsidRPr="00430BC1">
        <w:rPr>
          <w:rFonts w:eastAsia="Times New Roman"/>
          <w:sz w:val="24"/>
          <w:szCs w:val="24"/>
        </w:rPr>
        <w:t xml:space="preserve"> expressa nas relações de </w:t>
      </w:r>
      <w:r w:rsidRPr="00430BC1">
        <w:rPr>
          <w:rFonts w:eastAsia="Times New Roman"/>
          <w:sz w:val="24"/>
          <w:szCs w:val="24"/>
        </w:rPr>
        <w:lastRenderedPageBreak/>
        <w:t xml:space="preserve">dominação que, segundo </w:t>
      </w:r>
      <w:proofErr w:type="spellStart"/>
      <w:r w:rsidRPr="00430BC1">
        <w:rPr>
          <w:rFonts w:eastAsia="Times New Roman"/>
          <w:sz w:val="24"/>
          <w:szCs w:val="24"/>
        </w:rPr>
        <w:t>Poulantzas</w:t>
      </w:r>
      <w:proofErr w:type="spellEnd"/>
      <w:r w:rsidRPr="00430BC1">
        <w:rPr>
          <w:rFonts w:eastAsia="Times New Roman"/>
          <w:sz w:val="24"/>
          <w:szCs w:val="24"/>
        </w:rPr>
        <w:t xml:space="preserve"> (1985), situam-se na </w:t>
      </w:r>
      <w:r w:rsidRPr="00430BC1">
        <w:rPr>
          <w:rFonts w:eastAsia="Times New Roman"/>
          <w:i/>
          <w:sz w:val="24"/>
          <w:szCs w:val="24"/>
        </w:rPr>
        <w:t xml:space="preserve">ossatura material </w:t>
      </w:r>
      <w:r w:rsidRPr="00430BC1">
        <w:rPr>
          <w:rFonts w:eastAsia="Times New Roman"/>
          <w:sz w:val="24"/>
          <w:szCs w:val="24"/>
        </w:rPr>
        <w:t>do Estado. Tomando o Estado em sentido integral, observam-se relações de força e poder do Agronegócio na elaboração e execução de políticas educacionais para o campo, na disputa por um projeto societário hegemônico alinhado ao capitalismo dominante, sobretudo nas mediações entre sociedade política e sociedade civil.</w:t>
      </w:r>
    </w:p>
    <w:p w14:paraId="1E9F9D31" w14:textId="77777777" w:rsidR="00685D7F" w:rsidRPr="00430BC1" w:rsidRDefault="00685D7F" w:rsidP="00685D7F">
      <w:pPr>
        <w:pStyle w:val="Textodecomentrio"/>
        <w:spacing w:line="360" w:lineRule="auto"/>
        <w:ind w:firstLine="709"/>
        <w:jc w:val="both"/>
        <w:rPr>
          <w:color w:val="000000" w:themeColor="text1"/>
          <w:sz w:val="24"/>
          <w:szCs w:val="24"/>
        </w:rPr>
      </w:pPr>
      <w:r w:rsidRPr="00430BC1">
        <w:rPr>
          <w:rFonts w:eastAsia="Times New Roman"/>
          <w:color w:val="000000" w:themeColor="text1"/>
          <w:sz w:val="24"/>
          <w:szCs w:val="24"/>
        </w:rPr>
        <w:t xml:space="preserve">Diante disso, deve-se compreender que o projeto pedagógico das frações agrárias articula-se com o processo educativo em geral, que </w:t>
      </w:r>
      <w:r w:rsidRPr="00430BC1">
        <w:rPr>
          <w:color w:val="000000" w:themeColor="text1"/>
          <w:sz w:val="24"/>
          <w:szCs w:val="24"/>
        </w:rPr>
        <w:t>se desenvolve no conjunto das relações sociais determinadas pelo capitalismo. As mudanças no processo produtivo impuseram alterações e interesses do capital na definição da forma de educar as massas trabalhadoras no campo desde o final do século XX, período em que, sob o novo imperialismo, intensificaram-se as formas de exploração e dominação visando a reprodução ampliada do capital (Neves, 2010). Trata-se do agronegócio como momento da agricultura capitalista em sua etapa “mais desenvolvida e perversa”, que combina acumulação primitiva do capital com “territorialização mundial do comércio” intensificando a desigualdade e concentração de terra e poder em torno de uma pequena camada privilegiada constituída pelas frações agrárias. Diante disso, as classes subalternas do campo são expostas à subsunção ao mercado e ao regime de exploração do trabalho (Junqueira &amp; Bezerra, 2013)</w:t>
      </w:r>
      <w:r w:rsidRPr="00430BC1">
        <w:rPr>
          <w:rStyle w:val="Refdenotaderodap"/>
          <w:color w:val="000000" w:themeColor="text1"/>
        </w:rPr>
        <w:footnoteReference w:id="9"/>
      </w:r>
      <w:r w:rsidRPr="00430BC1">
        <w:rPr>
          <w:color w:val="000000" w:themeColor="text1"/>
          <w:sz w:val="24"/>
          <w:szCs w:val="24"/>
        </w:rPr>
        <w:t xml:space="preserve">. </w:t>
      </w:r>
    </w:p>
    <w:p w14:paraId="6C5E1865" w14:textId="77777777" w:rsidR="00685D7F" w:rsidRPr="00430BC1" w:rsidRDefault="00685D7F" w:rsidP="00685D7F">
      <w:pPr>
        <w:pStyle w:val="Textodecomentrio"/>
        <w:spacing w:line="360" w:lineRule="auto"/>
        <w:ind w:firstLine="709"/>
        <w:jc w:val="both"/>
        <w:rPr>
          <w:sz w:val="24"/>
          <w:szCs w:val="24"/>
        </w:rPr>
      </w:pPr>
      <w:r w:rsidRPr="00430BC1">
        <w:rPr>
          <w:rFonts w:eastAsia="Times New Roman"/>
          <w:sz w:val="24"/>
          <w:szCs w:val="24"/>
        </w:rPr>
        <w:t xml:space="preserve"> A dimensão ideológica, nesse processo, é fundamental, uma vez que a ideologia, como imaterialidade da luta de classes, tem uma validade “psicológica”, por ajudar a “organizar as massas” (Gramsci, 2001- v1). No caso da classe dominante, ajudar a aculturar a favor da manutenção de sua hegemonia. A ideia de difundir uma imagem positiva e empática ao Agronegócio alastrou-se em várias frentes, além da educação. Como pesquisou Chã (2018), houve um intenso investimento das </w:t>
      </w:r>
      <w:r w:rsidRPr="00430BC1">
        <w:rPr>
          <w:rFonts w:eastAsia="Times New Roman"/>
          <w:sz w:val="24"/>
          <w:szCs w:val="24"/>
        </w:rPr>
        <w:lastRenderedPageBreak/>
        <w:t>empresas do Agronegócio, a partir dos anos 2000, na construção da hegemonia a partir da indústria cultural. Dessa forma, verificou-se um amplo investimento em ferramentas da indústria cultural, como peças de teatro, novelas e até mesmo a música, para se colocar o Agronegócio como única solução para os problemas do campo brasileiro, despertando o interesse da opinião pública (Chã, 2018). A chamada Pedagogia do Agronegócio emerge</w:t>
      </w:r>
      <w:r w:rsidRPr="00430BC1">
        <w:rPr>
          <w:color w:val="000000" w:themeColor="text1"/>
          <w:sz w:val="24"/>
          <w:szCs w:val="24"/>
        </w:rPr>
        <w:t xml:space="preserve"> na passagem para a primeira década dos anos 2000, direcionando-se para os seguintes pontos principais: a defesa da imagem positiva do agronegócio, a incapacidade do estado restrito de gerir a educação profissional rural, a negação da categoria campesinato, a superação da Reforma Agrária, a defesa da educação empreendedora para o desenvolvimento da produção agrária, a empregabilidade e administração da pobreza e desemprego no campo, mascarando a expropriação e expulsão dos sujeitos do campo no avanço do agronegócio </w:t>
      </w:r>
      <w:r w:rsidRPr="00430BC1">
        <w:rPr>
          <w:sz w:val="24"/>
          <w:szCs w:val="24"/>
        </w:rPr>
        <w:t>sobre as terras e águas das populações campesinas e povos das floresta (Lamosa, 2016).</w:t>
      </w:r>
    </w:p>
    <w:p w14:paraId="70DAD259" w14:textId="77777777" w:rsidR="00685D7F" w:rsidRPr="00430BC1" w:rsidRDefault="00685D7F" w:rsidP="00685D7F">
      <w:pPr>
        <w:pStyle w:val="Textodecomentrio"/>
        <w:spacing w:line="360" w:lineRule="auto"/>
        <w:ind w:firstLine="709"/>
        <w:jc w:val="both"/>
        <w:rPr>
          <w:rFonts w:eastAsia="Times New Roman"/>
          <w:sz w:val="24"/>
          <w:szCs w:val="24"/>
        </w:rPr>
      </w:pPr>
      <w:r w:rsidRPr="00430BC1">
        <w:rPr>
          <w:sz w:val="24"/>
          <w:szCs w:val="24"/>
        </w:rPr>
        <w:t>O pensamento pedagógico, portanto, é orientado em suas bases pela educação para o capital. S</w:t>
      </w:r>
      <w:r w:rsidRPr="00430BC1">
        <w:rPr>
          <w:rFonts w:eastAsia="Times New Roman"/>
          <w:sz w:val="24"/>
          <w:szCs w:val="24"/>
        </w:rPr>
        <w:t>ão destacados os “princípios da livre iniciativa e da economia de mercado”, ou seja, são definidos a Pedagogia Liberal ou Pedagogia Burguesa como referências político-pedagógicas para o desenvolvimento da Aprendizagem Rural e demais atividades que o SENAR possa executar. Incorpora-se, também, a disputa por crianças e jovens, como questão fundamental no plano de ações do Sistema CNA-SENAR. Dessa forma, era preciso formar mentes para o Agronegócio desde tenra idade, e o um espaço utilizado como alvo, para essa ação, foram as escolas públicas, rurais e urbanas.</w:t>
      </w:r>
    </w:p>
    <w:p w14:paraId="15C4A3AF" w14:textId="77777777" w:rsidR="00685D7F" w:rsidRPr="00430BC1" w:rsidRDefault="00685D7F" w:rsidP="00685D7F">
      <w:pPr>
        <w:pStyle w:val="Textodecomentrio"/>
        <w:spacing w:line="360" w:lineRule="auto"/>
        <w:jc w:val="both"/>
        <w:rPr>
          <w:rFonts w:eastAsia="Times New Roman"/>
          <w:sz w:val="24"/>
          <w:szCs w:val="24"/>
        </w:rPr>
      </w:pPr>
    </w:p>
    <w:p w14:paraId="33C83416" w14:textId="77777777" w:rsidR="00685D7F" w:rsidRPr="00430BC1" w:rsidRDefault="00685D7F" w:rsidP="00685D7F">
      <w:pPr>
        <w:pStyle w:val="Textodecomentrio"/>
        <w:jc w:val="both"/>
        <w:rPr>
          <w:rFonts w:eastAsia="Times New Roman"/>
          <w:b/>
          <w:bCs/>
          <w:sz w:val="24"/>
          <w:szCs w:val="24"/>
        </w:rPr>
      </w:pPr>
      <w:r w:rsidRPr="00430BC1">
        <w:rPr>
          <w:rFonts w:eastAsia="Times New Roman"/>
          <w:b/>
          <w:bCs/>
          <w:sz w:val="24"/>
          <w:szCs w:val="24"/>
        </w:rPr>
        <w:t>2 O Patronato Rural e a educação para o Agronegócio: o caso do Sistema CNA/ SENAR</w:t>
      </w:r>
    </w:p>
    <w:p w14:paraId="2282FCB9" w14:textId="77777777" w:rsidR="00685D7F" w:rsidRPr="00430BC1" w:rsidRDefault="00685D7F" w:rsidP="00685D7F">
      <w:pPr>
        <w:pStyle w:val="Textodecomentrio"/>
        <w:spacing w:line="360" w:lineRule="auto"/>
        <w:jc w:val="both"/>
        <w:rPr>
          <w:rFonts w:eastAsia="Times New Roman"/>
          <w:b/>
          <w:bCs/>
          <w:sz w:val="24"/>
          <w:szCs w:val="24"/>
        </w:rPr>
      </w:pPr>
    </w:p>
    <w:p w14:paraId="1625F8B0" w14:textId="77777777" w:rsidR="00685D7F" w:rsidRPr="00430BC1" w:rsidRDefault="00685D7F" w:rsidP="00685D7F">
      <w:pPr>
        <w:pStyle w:val="Textodecomentrio"/>
        <w:spacing w:line="360" w:lineRule="auto"/>
        <w:ind w:firstLine="709"/>
        <w:jc w:val="both"/>
        <w:rPr>
          <w:rFonts w:eastAsia="Times New Roman"/>
          <w:color w:val="000000" w:themeColor="text1"/>
          <w:sz w:val="24"/>
          <w:szCs w:val="24"/>
        </w:rPr>
      </w:pPr>
      <w:r w:rsidRPr="00430BC1">
        <w:rPr>
          <w:color w:val="000000" w:themeColor="text1"/>
          <w:sz w:val="24"/>
          <w:szCs w:val="24"/>
        </w:rPr>
        <w:t xml:space="preserve">Como assinalou Gramsci, toda relação de “hegemonia” é necessariamente uma </w:t>
      </w:r>
      <w:r w:rsidRPr="00430BC1">
        <w:rPr>
          <w:sz w:val="24"/>
          <w:szCs w:val="24"/>
        </w:rPr>
        <w:t xml:space="preserve">relação pedagógica (Gramsci, 2001-v3). Dessa forma, não se restringe apenas a </w:t>
      </w:r>
      <w:r w:rsidRPr="00430BC1">
        <w:rPr>
          <w:sz w:val="24"/>
          <w:szCs w:val="24"/>
        </w:rPr>
        <w:lastRenderedPageBreak/>
        <w:t xml:space="preserve">“relações especificamente ‘escolares’”, mas a relações que existem em toda a sociedade no seu conjunto e em todo indivíduo em relação a outro indivíduo; e que dizem respeito também, e fundamentalmente, à materialidade e às relações de poder e hegemonia na luta de classes. </w:t>
      </w:r>
      <w:r w:rsidRPr="00430BC1">
        <w:rPr>
          <w:rFonts w:eastAsia="Times New Roman"/>
          <w:color w:val="000000" w:themeColor="text1"/>
          <w:sz w:val="24"/>
          <w:szCs w:val="24"/>
        </w:rPr>
        <w:t xml:space="preserve">Portanto, as frações organizadas do Agronegócio têm interesse em debater a educação, sobretudo a do tipo profissional. A educação, tomada como variável de desenvolvimento econômico, neste caso específico ao setor agrário, é colocada como incremento importante à produção da mais valia e lucratividade para reprodução da riqueza da burguesia agrária. A educação é estabelecida, assim, como vinculada ao processo produtivo de forma indireta e mediata. </w:t>
      </w:r>
    </w:p>
    <w:p w14:paraId="49C2233F" w14:textId="77777777" w:rsidR="00685D7F" w:rsidRPr="00430BC1" w:rsidRDefault="00685D7F" w:rsidP="00685D7F">
      <w:pPr>
        <w:pStyle w:val="Textodecomentrio"/>
        <w:spacing w:line="360" w:lineRule="auto"/>
        <w:ind w:firstLine="708"/>
        <w:jc w:val="both"/>
        <w:rPr>
          <w:rFonts w:eastAsia="Times New Roman"/>
          <w:color w:val="000000" w:themeColor="text1"/>
          <w:sz w:val="24"/>
          <w:szCs w:val="24"/>
        </w:rPr>
      </w:pPr>
      <w:r w:rsidRPr="00430BC1">
        <w:rPr>
          <w:color w:val="000000" w:themeColor="text1"/>
          <w:sz w:val="24"/>
          <w:szCs w:val="24"/>
        </w:rPr>
        <w:t>A perspectiva pedagógica parte na negação d</w:t>
      </w:r>
      <w:r w:rsidRPr="00430BC1">
        <w:rPr>
          <w:rFonts w:eastAsia="Times New Roman"/>
          <w:color w:val="000000" w:themeColor="text1"/>
          <w:sz w:val="24"/>
          <w:szCs w:val="24"/>
        </w:rPr>
        <w:t>as críticas à grande produção agrária como cultura do atraso, exploração, poluidora e de dizimação ambiental para fundar a imagem da tecnologia, modernidade e oportunidade. Soma-se a isso a crença na imprescindibilidade da agricultura de mercado para o desenvolvimento socioeconômico do Brasil. Forja-se, assim, uma nova educação de tipo agrário fundamentado nos princípios do Agronegócio como base material e como ideologia, uma vez que este modelo de produção, além de apresentar um caráter de “economia política”, no sentido das “alianças de classe social para a captura do excedente econômico”, articula-se enquanto “política econômica explícita de Estado” e “projeto de hegemonia ideológica” (Delgado, 2013, p. 61).</w:t>
      </w:r>
    </w:p>
    <w:p w14:paraId="37CF0147" w14:textId="77777777" w:rsidR="00685D7F" w:rsidRPr="00430BC1" w:rsidRDefault="00685D7F" w:rsidP="00685D7F">
      <w:pPr>
        <w:pStyle w:val="Textodecomentrio"/>
        <w:spacing w:line="360" w:lineRule="auto"/>
        <w:ind w:firstLine="708"/>
        <w:jc w:val="both"/>
        <w:rPr>
          <w:rFonts w:eastAsia="Times New Roman"/>
          <w:sz w:val="24"/>
          <w:szCs w:val="24"/>
        </w:rPr>
      </w:pPr>
      <w:r w:rsidRPr="00430BC1">
        <w:rPr>
          <w:rFonts w:eastAsia="Times New Roman"/>
          <w:sz w:val="24"/>
          <w:szCs w:val="24"/>
        </w:rPr>
        <w:t xml:space="preserve">Apoia-se, nesse sentido, em referenciais de uma pedagogia alicerçada em princípios liberais, onde os cursos trabalhariam noções sobre Agronegócio que produzissem um encantamento sobre o trabalho e a produção deste setor. Fazem parte dessa empreitada a eliminação, sobretudo, das contradições e desconfianças relativas à questão ambiental, agrária, trabalhistas e agrotóxicos, por exemplo. </w:t>
      </w:r>
    </w:p>
    <w:p w14:paraId="1B70CF05" w14:textId="77777777" w:rsidR="00685D7F" w:rsidRPr="00430BC1" w:rsidRDefault="00685D7F" w:rsidP="00685D7F">
      <w:pPr>
        <w:pStyle w:val="Textodecomentrio"/>
        <w:spacing w:line="360" w:lineRule="auto"/>
        <w:ind w:firstLine="708"/>
        <w:jc w:val="both"/>
      </w:pPr>
      <w:r w:rsidRPr="00430BC1">
        <w:rPr>
          <w:rFonts w:eastAsia="Times New Roman"/>
          <w:sz w:val="24"/>
          <w:szCs w:val="24"/>
        </w:rPr>
        <w:t xml:space="preserve">Para tanto, o combate às visões críticas, </w:t>
      </w:r>
      <w:proofErr w:type="spellStart"/>
      <w:r w:rsidRPr="00430BC1">
        <w:rPr>
          <w:rFonts w:eastAsia="Times New Roman"/>
          <w:sz w:val="24"/>
          <w:szCs w:val="24"/>
        </w:rPr>
        <w:t>vilanizadas</w:t>
      </w:r>
      <w:proofErr w:type="spellEnd"/>
      <w:r w:rsidRPr="00430BC1">
        <w:rPr>
          <w:rFonts w:eastAsia="Times New Roman"/>
          <w:sz w:val="24"/>
          <w:szCs w:val="24"/>
        </w:rPr>
        <w:t xml:space="preserve"> como fatores de difusão de supostas distorções sobre o Agronegócio, é posto como linha de ação prioritária. Tal questão começa a ser difundida, caracterizando debates críticos sobre dados acerca da questão da terra, monocultura, estrutura fundiária, questões climáticas e </w:t>
      </w:r>
      <w:r w:rsidRPr="00430BC1">
        <w:rPr>
          <w:rFonts w:eastAsia="Times New Roman"/>
          <w:sz w:val="24"/>
          <w:szCs w:val="24"/>
        </w:rPr>
        <w:lastRenderedPageBreak/>
        <w:t xml:space="preserve">assuntos relativos à poluição e </w:t>
      </w:r>
      <w:r w:rsidRPr="00430BC1">
        <w:rPr>
          <w:rFonts w:eastAsia="Times New Roman"/>
          <w:color w:val="000000" w:themeColor="text1"/>
          <w:sz w:val="24"/>
          <w:szCs w:val="24"/>
        </w:rPr>
        <w:t xml:space="preserve">desmatamento como temas </w:t>
      </w:r>
      <w:proofErr w:type="spellStart"/>
      <w:r w:rsidRPr="00430BC1">
        <w:rPr>
          <w:rFonts w:eastAsia="Times New Roman"/>
          <w:color w:val="000000" w:themeColor="text1"/>
          <w:sz w:val="24"/>
          <w:szCs w:val="24"/>
        </w:rPr>
        <w:t>ideologizantes</w:t>
      </w:r>
      <w:proofErr w:type="spellEnd"/>
      <w:r w:rsidRPr="00430BC1">
        <w:rPr>
          <w:rFonts w:eastAsia="Times New Roman"/>
          <w:color w:val="000000" w:themeColor="text1"/>
          <w:sz w:val="24"/>
          <w:szCs w:val="24"/>
        </w:rPr>
        <w:t xml:space="preserve">, próprios de docentes “marxistas e comunistas”. Tal questão vai ao encontro de fenômenos como Movimento Escola Sem Partido lançado em 2013, que visou uma “reforma moralizante”, defendendo um projeto de lei que </w:t>
      </w:r>
      <w:r w:rsidRPr="00430BC1">
        <w:rPr>
          <w:color w:val="000000" w:themeColor="text1"/>
          <w:sz w:val="24"/>
          <w:szCs w:val="24"/>
        </w:rPr>
        <w:t>existia desde 2004, proposto pelo advogado cristão Miguel Nagib, que defendia o combate a uma suposta doutrinação</w:t>
      </w:r>
      <w:r w:rsidRPr="00430BC1">
        <w:rPr>
          <w:sz w:val="24"/>
          <w:szCs w:val="24"/>
        </w:rPr>
        <w:t xml:space="preserve"> ideológica e “ideologia de gênero” nas escolas, a qual violaria a liberdade de crença e consciência prevista na Constituição de 1988 (</w:t>
      </w:r>
      <w:proofErr w:type="spellStart"/>
      <w:r w:rsidRPr="00430BC1">
        <w:rPr>
          <w:sz w:val="24"/>
          <w:szCs w:val="24"/>
        </w:rPr>
        <w:t>Tommaselli</w:t>
      </w:r>
      <w:proofErr w:type="spellEnd"/>
      <w:r w:rsidRPr="00430BC1">
        <w:rPr>
          <w:sz w:val="24"/>
          <w:szCs w:val="24"/>
        </w:rPr>
        <w:t xml:space="preserve">, 2018). </w:t>
      </w:r>
    </w:p>
    <w:p w14:paraId="51C2BE91" w14:textId="77777777" w:rsidR="00685D7F" w:rsidRPr="00430BC1" w:rsidRDefault="00685D7F" w:rsidP="00685D7F">
      <w:pPr>
        <w:pStyle w:val="Textodecomentrio"/>
        <w:spacing w:line="360" w:lineRule="auto"/>
        <w:ind w:firstLine="708"/>
        <w:jc w:val="both"/>
        <w:rPr>
          <w:rFonts w:eastAsia="Times New Roman"/>
          <w:sz w:val="24"/>
          <w:szCs w:val="24"/>
        </w:rPr>
      </w:pPr>
      <w:r w:rsidRPr="00430BC1">
        <w:rPr>
          <w:rFonts w:eastAsia="Times New Roman"/>
          <w:sz w:val="24"/>
          <w:szCs w:val="24"/>
        </w:rPr>
        <w:t xml:space="preserve">No </w:t>
      </w:r>
      <w:r w:rsidRPr="00430BC1">
        <w:rPr>
          <w:rFonts w:eastAsia="Times New Roman"/>
          <w:i/>
          <w:iCs/>
          <w:sz w:val="24"/>
          <w:szCs w:val="24"/>
        </w:rPr>
        <w:t>site</w:t>
      </w:r>
      <w:r w:rsidRPr="00430BC1">
        <w:rPr>
          <w:rFonts w:eastAsia="Times New Roman"/>
          <w:sz w:val="24"/>
          <w:szCs w:val="24"/>
        </w:rPr>
        <w:t xml:space="preserve"> do Projeto Escola Sem Partido, movimento que irá dar voz aos setores dominantes na perseguição ao pensamento crítico na escola, há a presença do artigo “Difamação contra o agronegócio vai continuar” publicado em 23 de setembro de 2011, por Luís Lopes Dinis Filho, professor do Departamento de Geografia da Universidade Federal do Paraná, que destacou em seu texto que os docentes “difamam” o agronegócio por ignorarem dados (</w:t>
      </w:r>
      <w:r w:rsidRPr="00430BC1">
        <w:rPr>
          <w:sz w:val="24"/>
          <w:szCs w:val="24"/>
          <w:shd w:val="clear" w:color="auto" w:fill="FFFFFF"/>
        </w:rPr>
        <w:t>A</w:t>
      </w:r>
      <w:r w:rsidRPr="00430BC1">
        <w:rPr>
          <w:rStyle w:val="apple-converted-space"/>
          <w:sz w:val="24"/>
          <w:szCs w:val="24"/>
          <w:bdr w:val="none" w:sz="0" w:space="0" w:color="auto" w:frame="1"/>
          <w:shd w:val="clear" w:color="auto" w:fill="FFFFFF"/>
        </w:rPr>
        <w:t> </w:t>
      </w:r>
      <w:r w:rsidRPr="00430BC1">
        <w:rPr>
          <w:rStyle w:val="apple-converted-space"/>
          <w:i/>
          <w:iCs/>
          <w:sz w:val="24"/>
          <w:szCs w:val="24"/>
          <w:bdr w:val="none" w:sz="0" w:space="0" w:color="auto" w:frame="1"/>
          <w:shd w:val="clear" w:color="auto" w:fill="FFFFFF"/>
        </w:rPr>
        <w:t>Pesquisa de Orçamentos Familiares 2002-2003 </w:t>
      </w:r>
      <w:r w:rsidRPr="00430BC1">
        <w:rPr>
          <w:rStyle w:val="apple-converted-space"/>
          <w:sz w:val="24"/>
          <w:szCs w:val="24"/>
          <w:bdr w:val="none" w:sz="0" w:space="0" w:color="auto" w:frame="1"/>
          <w:shd w:val="clear" w:color="auto" w:fill="FFFFFF"/>
        </w:rPr>
        <w:t>– POF, do IBGE)</w:t>
      </w:r>
      <w:r w:rsidRPr="00430BC1">
        <w:rPr>
          <w:rFonts w:eastAsia="Times New Roman"/>
          <w:sz w:val="24"/>
          <w:szCs w:val="24"/>
        </w:rPr>
        <w:t xml:space="preserve">, de que, ao lado do avanço do agronegócio, a partir dos anos 2000, a desnutrição seguiria acabando. Estabeleceu, assim, a relação de que não há o reconhecimento de que o Agronegócio estaria promovendo o fim da fome, o que o tornaria injustamente caluniado, segundo ele. </w:t>
      </w:r>
    </w:p>
    <w:p w14:paraId="3715B304" w14:textId="77777777" w:rsidR="00685D7F" w:rsidRPr="00430BC1" w:rsidRDefault="00685D7F" w:rsidP="00685D7F">
      <w:pPr>
        <w:pStyle w:val="Textodecomentrio"/>
        <w:spacing w:line="360" w:lineRule="auto"/>
        <w:ind w:firstLine="708"/>
        <w:jc w:val="both"/>
        <w:rPr>
          <w:rFonts w:eastAsia="Times New Roman"/>
          <w:sz w:val="24"/>
          <w:szCs w:val="24"/>
        </w:rPr>
      </w:pPr>
      <w:r w:rsidRPr="00430BC1">
        <w:rPr>
          <w:rFonts w:eastAsia="Times New Roman"/>
          <w:sz w:val="24"/>
          <w:szCs w:val="24"/>
        </w:rPr>
        <w:t xml:space="preserve"> Caracterizou os argumentos dos professores críticos como “simplistas”, parciais e sem consistência. A vigilância sobre o ensino ministrado pelos professores perseguindo as abordagens que tomem dados objetivos que expõem as contradições e distorções históricas que a monocultura e o latifúndio produziram na história social e política do país são criminalizadas</w:t>
      </w:r>
      <w:r w:rsidRPr="00430BC1">
        <w:rPr>
          <w:rStyle w:val="Refdenotaderodap"/>
          <w:rFonts w:eastAsia="Times New Roman"/>
        </w:rPr>
        <w:footnoteReference w:id="10"/>
      </w:r>
      <w:r w:rsidRPr="00430BC1">
        <w:rPr>
          <w:rFonts w:eastAsia="Times New Roman"/>
          <w:sz w:val="24"/>
          <w:szCs w:val="24"/>
        </w:rPr>
        <w:t xml:space="preserve"> e denominadas de pautas militantes. O Projeto Escola Sem Partido ao defender uma espécie de “lei da Mordaça” tentou implementar um tipo de ensino neutro que, porém, do ponto de vista do Agronegócio, seria parcial ao mesmo. A “mordaça”, portanto, só caberia nas “bocas” daqueles que expõem a realidade concreta da produção do Agronegócio, tratados por aqueles como difamações e não abordagens científicas sustentadas por dados sistemáticos.</w:t>
      </w:r>
    </w:p>
    <w:p w14:paraId="56818156" w14:textId="77777777" w:rsidR="00685D7F" w:rsidRPr="00430BC1" w:rsidRDefault="00685D7F" w:rsidP="00685D7F">
      <w:pPr>
        <w:pStyle w:val="Textodecomentrio"/>
        <w:spacing w:line="360" w:lineRule="auto"/>
        <w:jc w:val="both"/>
        <w:rPr>
          <w:rFonts w:eastAsia="Times New Roman"/>
          <w:sz w:val="24"/>
          <w:szCs w:val="24"/>
        </w:rPr>
      </w:pPr>
      <w:r w:rsidRPr="00430BC1">
        <w:rPr>
          <w:rFonts w:eastAsia="Times New Roman"/>
          <w:sz w:val="24"/>
          <w:szCs w:val="24"/>
        </w:rPr>
        <w:lastRenderedPageBreak/>
        <w:tab/>
        <w:t>Em artigo “Nas escolas, produtor rural é explorador do trabalhador que produz para exportar e deixa povo passar fome”, publicado em 2013, Kátia Abreu declarou que o marxismo e suas variações constituem as principais ferramentas conceituais que os alunos brasileiros aprendem nas escolas de todo o país. Desta assertiva, Abreu depreende que o referencial marxista possuiria domínio cultural nas escolas e seria culpado em difundir uma suposta visão dicotômica de explorador e explorado, o patrão e o trabalhador, o rico e o pobre, o agronegócio e a agricultura familiar. Kátia Abreu defendia, indo ao encontro de referenciais pós-estruturalistas, que não existiria luta de classes e, portanto, seria equivocado ou até mesmo anacrônico, estabelecer relações entre polos opostos. Não há, na visão de Kátia Abreu, conflitos, porque não haveria polos antagônicos na questão da agricultura (de mercado), já que o Agronegócio seria a grande fonte de riqueza que alimenta todos e enriqueceria o país de uma forma geral e democratizante. Deveria, portanto, sob sua ótica, ser ovacionado e não criticado.</w:t>
      </w:r>
    </w:p>
    <w:p w14:paraId="414B94C3" w14:textId="77777777" w:rsidR="00685D7F" w:rsidRPr="00430BC1" w:rsidRDefault="00685D7F" w:rsidP="00685D7F">
      <w:pPr>
        <w:pStyle w:val="Textodecomentrio"/>
        <w:spacing w:line="360" w:lineRule="auto"/>
        <w:jc w:val="both"/>
        <w:rPr>
          <w:rFonts w:eastAsia="Times New Roman"/>
          <w:color w:val="000000" w:themeColor="text1"/>
          <w:sz w:val="24"/>
          <w:szCs w:val="24"/>
        </w:rPr>
      </w:pPr>
      <w:r w:rsidRPr="00430BC1">
        <w:rPr>
          <w:rFonts w:eastAsia="Times New Roman"/>
          <w:color w:val="FF0000"/>
          <w:sz w:val="24"/>
          <w:szCs w:val="24"/>
        </w:rPr>
        <w:tab/>
      </w:r>
      <w:r w:rsidRPr="00430BC1">
        <w:rPr>
          <w:rFonts w:eastAsia="Times New Roman"/>
          <w:color w:val="000000" w:themeColor="text1"/>
          <w:sz w:val="24"/>
          <w:szCs w:val="24"/>
        </w:rPr>
        <w:t xml:space="preserve">A educação, nesse viés, teria como horizonte tornar o trabalhador rural um membro da classe média. a ascensão social, portanto, é o mote dos argumentos acerca das políticas. </w:t>
      </w:r>
      <w:r w:rsidRPr="00430BC1">
        <w:rPr>
          <w:rFonts w:eastAsia="Times New Roman"/>
          <w:sz w:val="24"/>
          <w:szCs w:val="24"/>
        </w:rPr>
        <w:t xml:space="preserve">a tese defendida é a de que a política da reforma Agrária proporia a favelização, enquanto a proposta da CNA buscaria o enriquecimento dos indivíduos que trabalhassem arduamente nas cadeias produtivas do agronegócio. A pesquisa </w:t>
      </w:r>
      <w:r w:rsidRPr="00430BC1">
        <w:rPr>
          <w:rFonts w:eastAsia="Times New Roman"/>
          <w:color w:val="000000" w:themeColor="text1"/>
          <w:sz w:val="24"/>
          <w:szCs w:val="24"/>
        </w:rPr>
        <w:t>“Perfil dos Assentamentos Rurais” (2009), encomendada pela CNA ao IBOPE, foi utilizada para negar a política de Reforma Agrária e afirmar as propostas de regularização fundiária e produção de mercado. Além disso, lançava-se contra o projeto de luta pela terra do MST, ao dizer que este teria interesse em “eternizar e manter a pobreza e dependência dos assentados”</w:t>
      </w:r>
      <w:r w:rsidRPr="00430BC1">
        <w:rPr>
          <w:rStyle w:val="Refdenotaderodap"/>
          <w:rFonts w:eastAsia="Times New Roman"/>
          <w:color w:val="000000" w:themeColor="text1"/>
        </w:rPr>
        <w:footnoteReference w:id="11"/>
      </w:r>
      <w:r w:rsidRPr="00430BC1">
        <w:rPr>
          <w:rFonts w:eastAsia="Times New Roman"/>
          <w:color w:val="000000" w:themeColor="text1"/>
          <w:sz w:val="24"/>
          <w:szCs w:val="24"/>
        </w:rPr>
        <w:t xml:space="preserve">. Dessa forma, reedita-se a ideia de “Novo Jeca Tatu” como o sujeito empobrecido, não pelas situações estruturais de desigualdade, mas supostamente por falta de visão e atitude para o trabalho, adjetivando-o, assim, como “preguiçoso” e “acomodado”, como características de </w:t>
      </w:r>
      <w:r w:rsidRPr="00430BC1">
        <w:rPr>
          <w:rFonts w:eastAsia="Times New Roman"/>
          <w:color w:val="000000" w:themeColor="text1"/>
          <w:sz w:val="24"/>
          <w:szCs w:val="24"/>
        </w:rPr>
        <w:lastRenderedPageBreak/>
        <w:t xml:space="preserve">quem se vincula às organizações campesinas. Esta imagem é atribuída aos sujeitos do campo que se organizariam em movimentos sociais, como o MST. </w:t>
      </w:r>
    </w:p>
    <w:p w14:paraId="0B96D27D" w14:textId="77777777" w:rsidR="00685D7F" w:rsidRPr="00430BC1" w:rsidRDefault="00685D7F" w:rsidP="00685D7F">
      <w:pPr>
        <w:pStyle w:val="Textodecomentrio"/>
        <w:spacing w:line="360" w:lineRule="auto"/>
        <w:jc w:val="both"/>
        <w:rPr>
          <w:rFonts w:eastAsia="Times New Roman"/>
          <w:color w:val="000000" w:themeColor="text1"/>
          <w:sz w:val="24"/>
          <w:szCs w:val="24"/>
        </w:rPr>
      </w:pPr>
    </w:p>
    <w:p w14:paraId="3415AA20" w14:textId="77777777" w:rsidR="00685D7F" w:rsidRPr="00430BC1" w:rsidRDefault="00685D7F" w:rsidP="00685D7F">
      <w:pPr>
        <w:pStyle w:val="Textodecomentrio"/>
        <w:spacing w:line="360" w:lineRule="auto"/>
        <w:jc w:val="both"/>
        <w:rPr>
          <w:rFonts w:eastAsia="Times New Roman"/>
          <w:b/>
          <w:bCs/>
          <w:color w:val="000000" w:themeColor="text1"/>
          <w:sz w:val="24"/>
          <w:szCs w:val="24"/>
        </w:rPr>
      </w:pPr>
      <w:r w:rsidRPr="00430BC1">
        <w:rPr>
          <w:rFonts w:eastAsia="Times New Roman"/>
          <w:b/>
          <w:bCs/>
          <w:color w:val="000000" w:themeColor="text1"/>
          <w:sz w:val="24"/>
          <w:szCs w:val="24"/>
        </w:rPr>
        <w:t>Projetos de Educação para o Agronegócio no SENAR entre as décadas de 1990 e 2000</w:t>
      </w:r>
    </w:p>
    <w:p w14:paraId="3E2C679D" w14:textId="77777777" w:rsidR="00685D7F" w:rsidRPr="00430BC1" w:rsidRDefault="00685D7F" w:rsidP="00685D7F">
      <w:pPr>
        <w:pStyle w:val="Textodecomentrio"/>
        <w:spacing w:line="360" w:lineRule="auto"/>
        <w:jc w:val="both"/>
        <w:rPr>
          <w:rFonts w:eastAsia="Times New Roman"/>
          <w:color w:val="000000" w:themeColor="text1"/>
          <w:sz w:val="24"/>
          <w:szCs w:val="24"/>
        </w:rPr>
      </w:pPr>
    </w:p>
    <w:p w14:paraId="488FD1A5" w14:textId="77777777" w:rsidR="00685D7F" w:rsidRPr="00430BC1" w:rsidRDefault="00685D7F" w:rsidP="00685D7F">
      <w:pPr>
        <w:pStyle w:val="Textodecomentrio"/>
        <w:spacing w:line="360" w:lineRule="auto"/>
        <w:ind w:firstLine="708"/>
        <w:jc w:val="both"/>
      </w:pPr>
      <w:r w:rsidRPr="00430BC1">
        <w:rPr>
          <w:rFonts w:eastAsia="Times New Roman"/>
          <w:sz w:val="24"/>
          <w:szCs w:val="24"/>
        </w:rPr>
        <w:t xml:space="preserve">Movidos pelo discurso da agenda pela responsabilidade social autoproclamam-se como sujeitos do processo de educação escolar pública rural, ao elaborarem projetos que tem a Pedagogia do Agronegócio como referencial político de uma “Pedagogia da Hegemonia”. Este último termo tem sentido na afirmação de Gramsci de que toda hegemonia é pedagógica (Gramsci, C 10, Nota 44, p. 125). Desta forma, os </w:t>
      </w:r>
      <w:proofErr w:type="spellStart"/>
      <w:r w:rsidRPr="00430BC1">
        <w:rPr>
          <w:rFonts w:eastAsia="Times New Roman"/>
          <w:sz w:val="24"/>
          <w:szCs w:val="24"/>
        </w:rPr>
        <w:t>APH’s</w:t>
      </w:r>
      <w:proofErr w:type="spellEnd"/>
      <w:r w:rsidRPr="00430BC1">
        <w:rPr>
          <w:rFonts w:eastAsia="Times New Roman"/>
          <w:sz w:val="24"/>
          <w:szCs w:val="24"/>
        </w:rPr>
        <w:t xml:space="preserve"> da burguesia agroindustrial, através de espaços como SENAR e ABAG, expressam-se como</w:t>
      </w:r>
      <w:r w:rsidRPr="00430BC1">
        <w:rPr>
          <w:sz w:val="24"/>
          <w:szCs w:val="24"/>
        </w:rPr>
        <w:t xml:space="preserve"> “sociedade civil ativa”, espaço de harmonização de interesses, de concertação social.</w:t>
      </w:r>
      <w:r w:rsidRPr="00430BC1">
        <w:t xml:space="preserve"> </w:t>
      </w:r>
    </w:p>
    <w:p w14:paraId="506A7817" w14:textId="77777777" w:rsidR="00685D7F" w:rsidRPr="00430BC1" w:rsidRDefault="00685D7F" w:rsidP="00685D7F">
      <w:pPr>
        <w:spacing w:line="360" w:lineRule="auto"/>
        <w:ind w:firstLine="709"/>
        <w:jc w:val="both"/>
        <w:rPr>
          <w:color w:val="7030A0"/>
        </w:rPr>
      </w:pPr>
      <w:r w:rsidRPr="00430BC1">
        <w:t xml:space="preserve">A educação rural, assim, a partir dos anos 2000, torna-se um elemento estratégico para a CNA que, estruturando sua posição a partir do delineamento de uma disputa </w:t>
      </w:r>
      <w:r w:rsidRPr="00430BC1">
        <w:rPr>
          <w:b/>
          <w:bCs/>
        </w:rPr>
        <w:t>supostamente</w:t>
      </w:r>
      <w:r w:rsidRPr="00430BC1">
        <w:t xml:space="preserve"> técnica e objetiva dos dados, ajuda a construir um campo de legitimidade no consenso sobre sua proposta de educação para os subalternos do campo. O SENAR assume uma posição fundamental nesse projeto, uma vez que reúne as ações de formação para crianças, jovens, adultos e idosos do campo, nas dimensões de instrução profissional e comunitária, abrangendo projetos que atingem do ensino fundamental à pós-graduação, com a Faculdade CNA. </w:t>
      </w:r>
    </w:p>
    <w:p w14:paraId="1F8DD955" w14:textId="77777777" w:rsidR="00685D7F" w:rsidRPr="00430BC1" w:rsidRDefault="00685D7F" w:rsidP="00685D7F">
      <w:pPr>
        <w:pStyle w:val="Textodecomentrio"/>
        <w:spacing w:line="360" w:lineRule="auto"/>
        <w:ind w:firstLine="709"/>
        <w:jc w:val="both"/>
        <w:rPr>
          <w:rFonts w:eastAsia="Times New Roman"/>
          <w:sz w:val="24"/>
          <w:szCs w:val="24"/>
        </w:rPr>
      </w:pPr>
      <w:r w:rsidRPr="00430BC1">
        <w:rPr>
          <w:rFonts w:eastAsia="Times New Roman"/>
          <w:sz w:val="24"/>
          <w:szCs w:val="24"/>
        </w:rPr>
        <w:t xml:space="preserve">A formatação de educação a serviço do agronegócio pode ser caracterizada, assim, como “educação política” que constitui o projeto do SENAR sobretudo na primeira década dos anos 2000. Importante destacar que o Sistema CNA/SENAR, desde a década de 1990, não possui um programa único de Educação para o Agronegócio expandido a todas as regiões do Brasil. Porém, o SENAR, desde a década de 1990, por meio de suas federações (majoritariamente das regiões Sudeste, Sul e Centro-Oeste), - onde o agronegócio e as frações agrárias/agroindustriais demonstram poder e inserção política mais destacada nas últimas décadas, - registrou </w:t>
      </w:r>
      <w:r w:rsidRPr="00430BC1">
        <w:rPr>
          <w:rFonts w:eastAsia="Times New Roman"/>
          <w:sz w:val="24"/>
          <w:szCs w:val="24"/>
        </w:rPr>
        <w:lastRenderedPageBreak/>
        <w:t xml:space="preserve">experiências nesses segmentos. logo, tem-se consciência da diversidade de ações implementadas pelas federações sindicais patronais nas variadas regiões, porém considera-se determinadas ações locais, para efeito de análise, como experiências que projetam interesses e demandas ajustadas às frações agrárias dominantes no Brasil enquanto coletivo de poder. </w:t>
      </w:r>
    </w:p>
    <w:p w14:paraId="1FD75697" w14:textId="77777777" w:rsidR="00685D7F" w:rsidRPr="00430BC1" w:rsidRDefault="00685D7F" w:rsidP="00685D7F">
      <w:pPr>
        <w:pStyle w:val="Textodecomentrio"/>
        <w:spacing w:line="360" w:lineRule="auto"/>
        <w:ind w:firstLine="708"/>
        <w:jc w:val="both"/>
        <w:rPr>
          <w:rFonts w:eastAsia="Times New Roman"/>
          <w:sz w:val="24"/>
          <w:szCs w:val="24"/>
        </w:rPr>
      </w:pPr>
      <w:r w:rsidRPr="00430BC1">
        <w:rPr>
          <w:rFonts w:eastAsia="Times New Roman"/>
          <w:sz w:val="24"/>
          <w:szCs w:val="24"/>
        </w:rPr>
        <w:t xml:space="preserve">O SENAR, em determinadas unidades federativas, desenvolve projetos voltados para o ensino fundamental na rede pública no campo e na cidade. Destacam-se como alguns programas promovidos por federações sindicais, através do SENAR, o “Programa </w:t>
      </w:r>
      <w:proofErr w:type="spellStart"/>
      <w:r w:rsidRPr="00430BC1">
        <w:rPr>
          <w:rFonts w:eastAsia="Times New Roman"/>
          <w:sz w:val="24"/>
          <w:szCs w:val="24"/>
        </w:rPr>
        <w:t>Agrinho</w:t>
      </w:r>
      <w:proofErr w:type="spellEnd"/>
      <w:r w:rsidRPr="00430BC1">
        <w:rPr>
          <w:rFonts w:eastAsia="Times New Roman"/>
          <w:sz w:val="24"/>
          <w:szCs w:val="24"/>
        </w:rPr>
        <w:t xml:space="preserve"> na escola” (PR, CE, ES, MS, GO, RO, RS), “Programa Semeando” (MG), “Programa Despertar” (BA), “Projeto Escola Viva” (TO). </w:t>
      </w:r>
    </w:p>
    <w:p w14:paraId="2321A7FD" w14:textId="77777777" w:rsidR="00685D7F" w:rsidRPr="00430BC1" w:rsidRDefault="00685D7F" w:rsidP="00685D7F">
      <w:pPr>
        <w:pStyle w:val="Textodecomentrio"/>
        <w:spacing w:line="360" w:lineRule="auto"/>
        <w:ind w:firstLine="708"/>
        <w:jc w:val="both"/>
        <w:rPr>
          <w:sz w:val="24"/>
          <w:szCs w:val="24"/>
        </w:rPr>
      </w:pPr>
      <w:r w:rsidRPr="00430BC1">
        <w:rPr>
          <w:rFonts w:eastAsia="Times New Roman"/>
          <w:sz w:val="24"/>
          <w:szCs w:val="24"/>
        </w:rPr>
        <w:t xml:space="preserve">O </w:t>
      </w:r>
      <w:r w:rsidRPr="00430BC1">
        <w:rPr>
          <w:rFonts w:eastAsia="Times New Roman"/>
          <w:i/>
          <w:sz w:val="24"/>
          <w:szCs w:val="24"/>
        </w:rPr>
        <w:t xml:space="preserve">Programa </w:t>
      </w:r>
      <w:proofErr w:type="spellStart"/>
      <w:r w:rsidRPr="00430BC1">
        <w:rPr>
          <w:rFonts w:eastAsia="Times New Roman"/>
          <w:i/>
          <w:sz w:val="24"/>
          <w:szCs w:val="24"/>
        </w:rPr>
        <w:t>Agrinho</w:t>
      </w:r>
      <w:proofErr w:type="spellEnd"/>
      <w:r w:rsidRPr="00430BC1">
        <w:rPr>
          <w:rFonts w:eastAsia="Times New Roman"/>
          <w:sz w:val="24"/>
          <w:szCs w:val="24"/>
        </w:rPr>
        <w:t xml:space="preserve">, desenvolvido em sua origem pelo SENAR do Paraná, em 1995, fora expandido até a atualidade para mais oito estados e o Distrito Federal. No Paraná, já existe há 26 anos. Este é considerado o maior programa de “responsabilidade </w:t>
      </w:r>
      <w:r w:rsidRPr="00430BC1">
        <w:rPr>
          <w:sz w:val="24"/>
          <w:szCs w:val="24"/>
        </w:rPr>
        <w:t xml:space="preserve">social” do Sistema da Federação de Agricultores do Estado do Paraná (FAEP), resultado da parceria entre o SENAR-PR, FAEP, o governo do Estado do Paraná, mediante as </w:t>
      </w:r>
      <w:r w:rsidRPr="00430BC1">
        <w:rPr>
          <w:i/>
          <w:iCs/>
          <w:sz w:val="24"/>
          <w:szCs w:val="24"/>
        </w:rPr>
        <w:t>Secretarias de Estado da Educação, da Justiça e da Cidadania, do Meio Ambiente e Recursos Hídricos, da Agricultura e do Abastecimento</w:t>
      </w:r>
      <w:r w:rsidRPr="00430BC1">
        <w:rPr>
          <w:sz w:val="24"/>
          <w:szCs w:val="24"/>
        </w:rPr>
        <w:t xml:space="preserve">, de municípios paranaenses e diversas empresas e instituições públicas e privadas. Desde sua criação, o </w:t>
      </w:r>
      <w:proofErr w:type="spellStart"/>
      <w:r w:rsidRPr="00430BC1">
        <w:rPr>
          <w:i/>
          <w:iCs/>
          <w:sz w:val="24"/>
          <w:szCs w:val="24"/>
        </w:rPr>
        <w:t>Agrinho</w:t>
      </w:r>
      <w:proofErr w:type="spellEnd"/>
      <w:r w:rsidRPr="00430BC1">
        <w:rPr>
          <w:sz w:val="24"/>
          <w:szCs w:val="24"/>
        </w:rPr>
        <w:t xml:space="preserve">, no Paraná, anualmente atinge a participação de mais de 1,5 milhão de crianças e aproximadamente 80 mil professores da educação infantil, do ensino fundamental e da educação especial, estando presente em todos os municípios do Estado (Lamosa, 2017). Objetiva educar as crianças em assuntos sobre saúde, segurança pessoal e ambiental, distribuindo materiais didáticos, além de formar docentes em suas diretrizes. </w:t>
      </w:r>
    </w:p>
    <w:p w14:paraId="5D36532D" w14:textId="77777777" w:rsidR="00685D7F" w:rsidRPr="00430BC1" w:rsidRDefault="00685D7F" w:rsidP="00685D7F">
      <w:pPr>
        <w:pStyle w:val="Textodecomentrio"/>
        <w:spacing w:line="360" w:lineRule="auto"/>
        <w:ind w:firstLine="708"/>
        <w:jc w:val="both"/>
        <w:rPr>
          <w:sz w:val="24"/>
          <w:szCs w:val="24"/>
        </w:rPr>
      </w:pPr>
      <w:r w:rsidRPr="00430BC1">
        <w:rPr>
          <w:sz w:val="24"/>
          <w:szCs w:val="24"/>
        </w:rPr>
        <w:t xml:space="preserve">Importante registrar que o </w:t>
      </w:r>
      <w:proofErr w:type="spellStart"/>
      <w:r w:rsidRPr="00430BC1">
        <w:rPr>
          <w:sz w:val="24"/>
          <w:szCs w:val="24"/>
        </w:rPr>
        <w:t>Agrinho</w:t>
      </w:r>
      <w:proofErr w:type="spellEnd"/>
      <w:r w:rsidRPr="00430BC1">
        <w:rPr>
          <w:sz w:val="24"/>
          <w:szCs w:val="24"/>
        </w:rPr>
        <w:t xml:space="preserve"> também foi alvo da resistência ensejada por movimentos sociais do campo no Paraná, que pressionaram pela não inserção deste Programa nas escolas públicas, bem como pela proibição da veiculação de seus materiais impressos. Em 2008, o Ministério Público do Estado do Paraná, através do Procedimento nº 1122/08 lançou e não recomendou a adoção deste Programa nas </w:t>
      </w:r>
      <w:r w:rsidRPr="00430BC1">
        <w:rPr>
          <w:sz w:val="24"/>
          <w:szCs w:val="24"/>
        </w:rPr>
        <w:lastRenderedPageBreak/>
        <w:t xml:space="preserve">escolas públicas, por não atender às necessidades das comunidades campesinas. Em 2013, a Articulação Paranaense por uma Educação do Campo (ARPEC) reafirmou a exigência pelo fim do programa </w:t>
      </w:r>
      <w:proofErr w:type="spellStart"/>
      <w:r w:rsidRPr="00430BC1">
        <w:rPr>
          <w:sz w:val="24"/>
          <w:szCs w:val="24"/>
        </w:rPr>
        <w:t>Agrinho</w:t>
      </w:r>
      <w:proofErr w:type="spellEnd"/>
      <w:r w:rsidRPr="00430BC1">
        <w:rPr>
          <w:sz w:val="24"/>
          <w:szCs w:val="24"/>
        </w:rPr>
        <w:t xml:space="preserve"> nas escolas do campo, por não se relacionar com os sujeitos que vivem nas comunidades camponesas</w:t>
      </w:r>
      <w:r w:rsidRPr="00430BC1">
        <w:rPr>
          <w:rStyle w:val="Refdenotaderodap"/>
        </w:rPr>
        <w:footnoteReference w:id="12"/>
      </w:r>
    </w:p>
    <w:p w14:paraId="0821BD04" w14:textId="77777777" w:rsidR="00685D7F" w:rsidRPr="00430BC1" w:rsidRDefault="00685D7F" w:rsidP="00685D7F">
      <w:pPr>
        <w:pStyle w:val="Textodecomentrio"/>
        <w:spacing w:line="360" w:lineRule="auto"/>
        <w:ind w:firstLine="708"/>
        <w:jc w:val="both"/>
        <w:rPr>
          <w:sz w:val="24"/>
          <w:szCs w:val="24"/>
        </w:rPr>
      </w:pPr>
      <w:r w:rsidRPr="00430BC1">
        <w:rPr>
          <w:sz w:val="24"/>
          <w:szCs w:val="24"/>
        </w:rPr>
        <w:t xml:space="preserve">O Ministério Público do Paraná lançou, em 2014, a recomendação ao Conselho Estadual da Educação, por meio do Procedimento nº 1122/08, a adoção de medidas imediatas que impedissem a participação das escolas, professores e alunos das redes públicas ou privadas de ensino, municipais e estaduais, no Programa </w:t>
      </w:r>
      <w:proofErr w:type="spellStart"/>
      <w:r w:rsidRPr="00430BC1">
        <w:rPr>
          <w:sz w:val="24"/>
          <w:szCs w:val="24"/>
        </w:rPr>
        <w:t>Agrinho</w:t>
      </w:r>
      <w:proofErr w:type="spellEnd"/>
      <w:r w:rsidRPr="00430BC1">
        <w:rPr>
          <w:sz w:val="24"/>
          <w:szCs w:val="24"/>
        </w:rPr>
        <w:t xml:space="preserve">, desenvolvido pela FAEP. Além disso, no mesmo ano, recomendou a retirada da logomarca do Ministério Público do Estado do Paraná, do </w:t>
      </w:r>
      <w:r w:rsidRPr="00430BC1">
        <w:rPr>
          <w:i/>
          <w:iCs/>
          <w:sz w:val="24"/>
          <w:szCs w:val="24"/>
        </w:rPr>
        <w:t>site</w:t>
      </w:r>
      <w:r w:rsidRPr="00430BC1">
        <w:rPr>
          <w:sz w:val="24"/>
          <w:szCs w:val="24"/>
        </w:rPr>
        <w:t xml:space="preserve"> oficial do Programa </w:t>
      </w:r>
      <w:proofErr w:type="spellStart"/>
      <w:r w:rsidRPr="00430BC1">
        <w:rPr>
          <w:sz w:val="24"/>
          <w:szCs w:val="24"/>
        </w:rPr>
        <w:t>Agrinho</w:t>
      </w:r>
      <w:proofErr w:type="spellEnd"/>
      <w:r w:rsidRPr="00430BC1">
        <w:rPr>
          <w:sz w:val="24"/>
          <w:szCs w:val="24"/>
        </w:rPr>
        <w:t>, onde a instituição aparecia como parceira e apoiadora do referido Programa. Acredita-se que o MP do Paraná deva ter sofrido pressão de organizações da classe trabalhadora para ter assumido essa posição de enfrentamento, não muito comum de se encontrar entre as instituições jurídicas e políticas no contexto atual.</w:t>
      </w:r>
    </w:p>
    <w:p w14:paraId="115D09DD" w14:textId="77777777" w:rsidR="00685D7F" w:rsidRPr="00430BC1" w:rsidRDefault="00685D7F" w:rsidP="00685D7F">
      <w:pPr>
        <w:pStyle w:val="xmsonormal"/>
        <w:shd w:val="clear" w:color="auto" w:fill="FFFFFF"/>
        <w:spacing w:before="0" w:beforeAutospacing="0" w:after="0" w:afterAutospacing="0" w:line="360" w:lineRule="auto"/>
        <w:jc w:val="both"/>
        <w:textAlignment w:val="baseline"/>
        <w:rPr>
          <w:rFonts w:ascii="Arial" w:hAnsi="Arial" w:cs="Arial"/>
          <w:color w:val="000000"/>
          <w:bdr w:val="none" w:sz="0" w:space="0" w:color="auto" w:frame="1"/>
        </w:rPr>
      </w:pPr>
      <w:r w:rsidRPr="00430BC1">
        <w:rPr>
          <w:rFonts w:ascii="Arial" w:hAnsi="Arial" w:cs="Arial"/>
          <w:color w:val="000000"/>
          <w:bdr w:val="none" w:sz="0" w:space="0" w:color="auto" w:frame="1"/>
        </w:rPr>
        <w:tab/>
        <w:t>Identifica-se que organizações sindicais e campesinas se articularam em torno dessa contraposição</w:t>
      </w:r>
      <w:r w:rsidRPr="00430BC1">
        <w:rPr>
          <w:rStyle w:val="Refdenotaderodap"/>
          <w:rFonts w:ascii="Arial" w:eastAsiaTheme="majorEastAsia" w:hAnsi="Arial" w:cs="Arial"/>
          <w:color w:val="000000"/>
          <w:bdr w:val="none" w:sz="0" w:space="0" w:color="auto" w:frame="1"/>
        </w:rPr>
        <w:footnoteReference w:id="13"/>
      </w:r>
      <w:r w:rsidRPr="00430BC1">
        <w:rPr>
          <w:rFonts w:ascii="Arial" w:hAnsi="Arial" w:cs="Arial"/>
          <w:color w:val="000000"/>
          <w:bdr w:val="none" w:sz="0" w:space="0" w:color="auto" w:frame="1"/>
        </w:rPr>
        <w:t>, obtendo algumas vitórias</w:t>
      </w:r>
      <w:r w:rsidRPr="00430BC1">
        <w:rPr>
          <w:rStyle w:val="Refdenotaderodap"/>
          <w:rFonts w:ascii="Arial" w:eastAsiaTheme="majorEastAsia" w:hAnsi="Arial" w:cs="Arial"/>
          <w:color w:val="000000"/>
          <w:bdr w:val="none" w:sz="0" w:space="0" w:color="auto" w:frame="1"/>
        </w:rPr>
        <w:footnoteReference w:id="14"/>
      </w:r>
      <w:r w:rsidRPr="00430BC1">
        <w:rPr>
          <w:rFonts w:ascii="Arial" w:hAnsi="Arial" w:cs="Arial"/>
          <w:color w:val="000000"/>
          <w:bdr w:val="none" w:sz="0" w:space="0" w:color="auto" w:frame="1"/>
        </w:rPr>
        <w:t xml:space="preserve"> em Cascavel-PR, apesar de que intelectuais orgânicos da classe subalterna sofreram perseguições por conta dessa empreitada</w:t>
      </w:r>
      <w:r w:rsidRPr="00430BC1">
        <w:rPr>
          <w:rStyle w:val="Refdenotaderodap"/>
          <w:rFonts w:ascii="Arial" w:eastAsiaTheme="majorEastAsia" w:hAnsi="Arial" w:cs="Arial"/>
          <w:color w:val="000000"/>
          <w:bdr w:val="none" w:sz="0" w:space="0" w:color="auto" w:frame="1"/>
        </w:rPr>
        <w:footnoteReference w:id="15"/>
      </w:r>
      <w:r w:rsidRPr="00430BC1">
        <w:rPr>
          <w:rFonts w:ascii="Arial" w:hAnsi="Arial" w:cs="Arial"/>
          <w:color w:val="000000"/>
          <w:bdr w:val="none" w:sz="0" w:space="0" w:color="auto" w:frame="1"/>
        </w:rPr>
        <w:t xml:space="preserve">. Em 2015, educadores, educadoras e estudantes das Escolas do Campo durante o </w:t>
      </w:r>
      <w:r w:rsidRPr="00430BC1">
        <w:rPr>
          <w:rFonts w:ascii="Arial" w:hAnsi="Arial" w:cs="Arial"/>
          <w:b/>
          <w:bCs/>
          <w:i/>
          <w:iCs/>
          <w:color w:val="000000"/>
          <w:bdr w:val="none" w:sz="0" w:space="0" w:color="auto" w:frame="1"/>
        </w:rPr>
        <w:t xml:space="preserve">Encontro Estadual das Educadoras e Educadores das Áreas de </w:t>
      </w:r>
      <w:r w:rsidRPr="00430BC1">
        <w:rPr>
          <w:rFonts w:ascii="Arial" w:hAnsi="Arial" w:cs="Arial"/>
          <w:b/>
          <w:bCs/>
          <w:i/>
          <w:iCs/>
          <w:color w:val="000000"/>
          <w:bdr w:val="none" w:sz="0" w:space="0" w:color="auto" w:frame="1"/>
        </w:rPr>
        <w:lastRenderedPageBreak/>
        <w:t xml:space="preserve">Reforma Agrária </w:t>
      </w:r>
      <w:r w:rsidRPr="00430BC1">
        <w:rPr>
          <w:rFonts w:ascii="Arial" w:hAnsi="Arial" w:cs="Arial"/>
          <w:color w:val="000000"/>
          <w:bdr w:val="none" w:sz="0" w:space="0" w:color="auto" w:frame="1"/>
        </w:rPr>
        <w:t>realizaram marcha e ato político de denúncia</w:t>
      </w:r>
      <w:r w:rsidRPr="00430BC1">
        <w:rPr>
          <w:rStyle w:val="Refdenotaderodap"/>
          <w:rFonts w:ascii="Arial" w:eastAsiaTheme="majorEastAsia" w:hAnsi="Arial" w:cs="Arial"/>
          <w:color w:val="000000"/>
          <w:bdr w:val="none" w:sz="0" w:space="0" w:color="auto" w:frame="1"/>
        </w:rPr>
        <w:footnoteReference w:id="16"/>
      </w:r>
      <w:r w:rsidRPr="00430BC1">
        <w:rPr>
          <w:rFonts w:ascii="Arial" w:hAnsi="Arial" w:cs="Arial"/>
          <w:color w:val="000000"/>
          <w:bdr w:val="none" w:sz="0" w:space="0" w:color="auto" w:frame="1"/>
        </w:rPr>
        <w:t xml:space="preserve"> com queima simbólica de mais de 2 mil exemplares do </w:t>
      </w:r>
      <w:proofErr w:type="spellStart"/>
      <w:r w:rsidRPr="00430BC1">
        <w:rPr>
          <w:rFonts w:ascii="Arial" w:hAnsi="Arial" w:cs="Arial"/>
          <w:color w:val="000000"/>
          <w:bdr w:val="none" w:sz="0" w:space="0" w:color="auto" w:frame="1"/>
        </w:rPr>
        <w:t>Agrinho</w:t>
      </w:r>
      <w:proofErr w:type="spellEnd"/>
      <w:r w:rsidRPr="00430BC1">
        <w:rPr>
          <w:rFonts w:ascii="Arial" w:hAnsi="Arial" w:cs="Arial"/>
          <w:color w:val="000000"/>
          <w:bdr w:val="none" w:sz="0" w:space="0" w:color="auto" w:frame="1"/>
        </w:rPr>
        <w:t xml:space="preserve"> em frente ao Núcleo Regional de Educação de Cascavel, em repúdio à submissão das escolas aos interesses dos empresários do agronegócio e pelo fim da manipulação desencadeada pelo Programa </w:t>
      </w:r>
      <w:proofErr w:type="spellStart"/>
      <w:r w:rsidRPr="00430BC1">
        <w:rPr>
          <w:rFonts w:ascii="Arial" w:hAnsi="Arial" w:cs="Arial"/>
          <w:color w:val="000000"/>
          <w:bdr w:val="none" w:sz="0" w:space="0" w:color="auto" w:frame="1"/>
        </w:rPr>
        <w:t>Agrinho</w:t>
      </w:r>
      <w:proofErr w:type="spellEnd"/>
      <w:r w:rsidRPr="00430BC1">
        <w:rPr>
          <w:rFonts w:ascii="Arial" w:hAnsi="Arial" w:cs="Arial"/>
          <w:color w:val="000000"/>
          <w:bdr w:val="none" w:sz="0" w:space="0" w:color="auto" w:frame="1"/>
        </w:rPr>
        <w:t xml:space="preserve">.  </w:t>
      </w:r>
    </w:p>
    <w:p w14:paraId="39501ABC" w14:textId="77777777" w:rsidR="00685D7F" w:rsidRPr="00430BC1" w:rsidRDefault="00685D7F" w:rsidP="00685D7F">
      <w:pPr>
        <w:pStyle w:val="Textodecomentrio"/>
        <w:spacing w:line="360" w:lineRule="auto"/>
        <w:ind w:firstLine="708"/>
        <w:jc w:val="both"/>
        <w:rPr>
          <w:sz w:val="24"/>
          <w:szCs w:val="24"/>
        </w:rPr>
      </w:pPr>
      <w:r w:rsidRPr="00430BC1">
        <w:rPr>
          <w:sz w:val="24"/>
          <w:szCs w:val="24"/>
        </w:rPr>
        <w:t xml:space="preserve">O </w:t>
      </w:r>
      <w:proofErr w:type="spellStart"/>
      <w:r w:rsidRPr="00430BC1">
        <w:rPr>
          <w:sz w:val="24"/>
          <w:szCs w:val="24"/>
        </w:rPr>
        <w:t>agroecologista</w:t>
      </w:r>
      <w:proofErr w:type="spellEnd"/>
      <w:r w:rsidRPr="00430BC1">
        <w:rPr>
          <w:sz w:val="24"/>
          <w:szCs w:val="24"/>
        </w:rPr>
        <w:t xml:space="preserve"> </w:t>
      </w:r>
      <w:proofErr w:type="spellStart"/>
      <w:r w:rsidRPr="00430BC1">
        <w:rPr>
          <w:sz w:val="24"/>
          <w:szCs w:val="24"/>
        </w:rPr>
        <w:t>Valdermar</w:t>
      </w:r>
      <w:proofErr w:type="spellEnd"/>
      <w:r w:rsidRPr="00430BC1">
        <w:rPr>
          <w:sz w:val="24"/>
          <w:szCs w:val="24"/>
        </w:rPr>
        <w:t xml:space="preserve"> </w:t>
      </w:r>
      <w:proofErr w:type="spellStart"/>
      <w:r w:rsidRPr="00430BC1">
        <w:rPr>
          <w:sz w:val="24"/>
          <w:szCs w:val="24"/>
        </w:rPr>
        <w:t>Arl</w:t>
      </w:r>
      <w:proofErr w:type="spellEnd"/>
      <w:r w:rsidRPr="00430BC1">
        <w:rPr>
          <w:sz w:val="24"/>
          <w:szCs w:val="24"/>
        </w:rPr>
        <w:t>, em artigo “É necessário colocar o “</w:t>
      </w:r>
      <w:proofErr w:type="spellStart"/>
      <w:r w:rsidRPr="00430BC1">
        <w:rPr>
          <w:sz w:val="24"/>
          <w:szCs w:val="24"/>
        </w:rPr>
        <w:t>Agrinho</w:t>
      </w:r>
      <w:proofErr w:type="spellEnd"/>
      <w:r w:rsidRPr="00430BC1">
        <w:rPr>
          <w:sz w:val="24"/>
          <w:szCs w:val="24"/>
        </w:rPr>
        <w:t>” na Balança” (2011), que ajudou a subsidiar os argumentos do Ministério Público, destacou que o programa configura-se como espaço de treinamento para o modelo predatório, poluidor e insustentável que é o Agronegócio, a partir da aceitação dos agrotóxicos e transgênicos, por exemplo. A Agroecologia como modelo contra- hegemônico é silenciado e ensinado como forma inviável de produzir, e isto ocorre com auxílio de recursos públicos. Sobre isso, afirmou que:</w:t>
      </w:r>
    </w:p>
    <w:p w14:paraId="511E61A8" w14:textId="77777777" w:rsidR="00685D7F" w:rsidRPr="00430BC1" w:rsidRDefault="00685D7F" w:rsidP="00685D7F">
      <w:pPr>
        <w:pStyle w:val="Textodecomentrio"/>
        <w:spacing w:line="360" w:lineRule="auto"/>
        <w:ind w:firstLine="708"/>
        <w:jc w:val="both"/>
        <w:rPr>
          <w:sz w:val="24"/>
          <w:szCs w:val="24"/>
        </w:rPr>
      </w:pPr>
    </w:p>
    <w:p w14:paraId="15954F30" w14:textId="3A35F9F2" w:rsidR="00685D7F" w:rsidRPr="00430BC1" w:rsidRDefault="00685D7F" w:rsidP="00685D7F">
      <w:pPr>
        <w:pStyle w:val="Textodecomentrio"/>
        <w:ind w:left="2268"/>
        <w:jc w:val="both"/>
        <w:rPr>
          <w:sz w:val="24"/>
          <w:szCs w:val="24"/>
        </w:rPr>
      </w:pPr>
      <w:r w:rsidRPr="00430BC1">
        <w:rPr>
          <w:sz w:val="24"/>
          <w:szCs w:val="24"/>
        </w:rPr>
        <w:t xml:space="preserve"> </w:t>
      </w:r>
      <w:r w:rsidRPr="00430BC1">
        <w:rPr>
          <w:sz w:val="22"/>
          <w:szCs w:val="22"/>
        </w:rPr>
        <w:t xml:space="preserve">“Dizer que as empresas apenas contribuem financeiramente e que seus interesses imediatos alheios não é verdade. Como afirma o Engenheiro Agrônomo Sebastião Pinheiro, referindo-se ao </w:t>
      </w:r>
      <w:proofErr w:type="spellStart"/>
      <w:r w:rsidRPr="00430BC1">
        <w:rPr>
          <w:sz w:val="22"/>
          <w:szCs w:val="22"/>
        </w:rPr>
        <w:t>Agrinho</w:t>
      </w:r>
      <w:proofErr w:type="spellEnd"/>
      <w:r w:rsidRPr="00430BC1">
        <w:rPr>
          <w:sz w:val="22"/>
          <w:szCs w:val="22"/>
        </w:rPr>
        <w:t xml:space="preserve"> como sendo uma mentira: “A indústria está preparando seu mercado futuro, treinando as crianças para aceitarem os agrotóxicos. É treinamento disfarçado em política pública de proteção”. O </w:t>
      </w:r>
      <w:proofErr w:type="spellStart"/>
      <w:r w:rsidRPr="00430BC1">
        <w:rPr>
          <w:sz w:val="22"/>
          <w:szCs w:val="22"/>
        </w:rPr>
        <w:t>Agrinho</w:t>
      </w:r>
      <w:proofErr w:type="spellEnd"/>
      <w:r w:rsidRPr="00430BC1">
        <w:rPr>
          <w:sz w:val="22"/>
          <w:szCs w:val="22"/>
        </w:rPr>
        <w:t xml:space="preserve"> atinge mais de um milhão de crianças, e envolve mais de 18.000 professores(as), a um custo de mais  de  2 milhões  de  reais,  metade  vem  das multinacionais dos venenos e a outra metade são  recursos públicos”</w:t>
      </w:r>
      <w:r w:rsidRPr="00430BC1">
        <w:rPr>
          <w:rStyle w:val="Refdenotaderodap"/>
          <w:sz w:val="22"/>
          <w:szCs w:val="22"/>
        </w:rPr>
        <w:footnoteReference w:id="17"/>
      </w:r>
    </w:p>
    <w:p w14:paraId="1C0BA028" w14:textId="77777777" w:rsidR="00685D7F" w:rsidRPr="00430BC1" w:rsidRDefault="00685D7F" w:rsidP="00685D7F">
      <w:pPr>
        <w:pStyle w:val="Textodecomentrio"/>
        <w:jc w:val="both"/>
        <w:rPr>
          <w:sz w:val="24"/>
          <w:szCs w:val="24"/>
        </w:rPr>
      </w:pPr>
    </w:p>
    <w:p w14:paraId="050BEF75" w14:textId="77777777" w:rsidR="00685D7F" w:rsidRPr="00430BC1" w:rsidRDefault="00685D7F" w:rsidP="00685D7F">
      <w:pPr>
        <w:pStyle w:val="xmsonormal"/>
        <w:shd w:val="clear" w:color="auto" w:fill="FFFFFF"/>
        <w:spacing w:before="0" w:beforeAutospacing="0" w:after="0" w:afterAutospacing="0"/>
        <w:ind w:firstLine="708"/>
        <w:textAlignment w:val="baseline"/>
        <w:rPr>
          <w:rFonts w:ascii="Arial" w:hAnsi="Arial" w:cs="Arial"/>
          <w:color w:val="000000"/>
          <w:bdr w:val="none" w:sz="0" w:space="0" w:color="auto" w:frame="1"/>
        </w:rPr>
      </w:pPr>
    </w:p>
    <w:p w14:paraId="35EE1593" w14:textId="77777777" w:rsidR="00685D7F" w:rsidRPr="00430BC1" w:rsidRDefault="00685D7F" w:rsidP="00685D7F">
      <w:pPr>
        <w:pStyle w:val="Textodecomentrio"/>
        <w:spacing w:line="360" w:lineRule="auto"/>
        <w:ind w:firstLine="709"/>
        <w:jc w:val="both"/>
        <w:rPr>
          <w:rFonts w:eastAsia="Times New Roman"/>
          <w:sz w:val="24"/>
          <w:szCs w:val="24"/>
        </w:rPr>
      </w:pPr>
      <w:r w:rsidRPr="00430BC1">
        <w:rPr>
          <w:rFonts w:eastAsia="Times New Roman"/>
          <w:sz w:val="24"/>
          <w:szCs w:val="24"/>
        </w:rPr>
        <w:t xml:space="preserve">Além deste, o </w:t>
      </w:r>
      <w:r w:rsidRPr="00430BC1">
        <w:rPr>
          <w:rFonts w:eastAsia="Times New Roman"/>
          <w:i/>
          <w:sz w:val="24"/>
          <w:szCs w:val="24"/>
        </w:rPr>
        <w:t>Programa Semeando</w:t>
      </w:r>
      <w:r w:rsidRPr="00430BC1">
        <w:rPr>
          <w:rFonts w:eastAsia="Times New Roman"/>
          <w:sz w:val="24"/>
          <w:szCs w:val="24"/>
        </w:rPr>
        <w:t xml:space="preserve">, através do SENAR de Minas Gerais desde 2001, atua junto a escolas públicas. O programa aglutina Secretarias de Estado, municípios e diversas empresas e instituições públicas e privadas, alcançando um público significativo de crianças e jovens. Considerado o maior programa de Educação </w:t>
      </w:r>
      <w:r w:rsidRPr="00430BC1">
        <w:rPr>
          <w:rFonts w:eastAsia="Times New Roman"/>
          <w:sz w:val="24"/>
          <w:szCs w:val="24"/>
        </w:rPr>
        <w:lastRenderedPageBreak/>
        <w:t>Ambiental neste Estado, voltado para crianças e adolescentes, completou uma década em 2010. Contudo sofreu uma interrupção, provavelmente, em 2011.</w:t>
      </w:r>
    </w:p>
    <w:p w14:paraId="09BE797A" w14:textId="77777777" w:rsidR="00685D7F" w:rsidRPr="00430BC1" w:rsidRDefault="00685D7F" w:rsidP="00685D7F">
      <w:pPr>
        <w:pStyle w:val="Textodecomentrio"/>
        <w:spacing w:line="360" w:lineRule="auto"/>
        <w:ind w:firstLine="709"/>
        <w:jc w:val="both"/>
        <w:rPr>
          <w:sz w:val="24"/>
          <w:szCs w:val="24"/>
        </w:rPr>
      </w:pPr>
      <w:r w:rsidRPr="00430BC1">
        <w:rPr>
          <w:rFonts w:eastAsia="Times New Roman"/>
          <w:sz w:val="24"/>
          <w:szCs w:val="24"/>
        </w:rPr>
        <w:t xml:space="preserve">O </w:t>
      </w:r>
      <w:r w:rsidRPr="00430BC1">
        <w:rPr>
          <w:rFonts w:eastAsia="Times New Roman"/>
          <w:i/>
          <w:iCs/>
          <w:sz w:val="24"/>
          <w:szCs w:val="24"/>
        </w:rPr>
        <w:t xml:space="preserve">Programa Despertar, </w:t>
      </w:r>
      <w:r w:rsidRPr="00430BC1">
        <w:rPr>
          <w:rFonts w:eastAsia="Times New Roman"/>
          <w:sz w:val="24"/>
          <w:szCs w:val="24"/>
        </w:rPr>
        <w:t xml:space="preserve">por sua vez¸ foi criado em 2005 pelo SENAR da Bahia, sobretudo na região Sul, também trabalhando a partir de eixos fundamentais a Educação Ambiental, bem como os demais temas transversais tais como </w:t>
      </w:r>
      <w:r w:rsidRPr="00430BC1">
        <w:rPr>
          <w:sz w:val="24"/>
          <w:szCs w:val="24"/>
        </w:rPr>
        <w:t xml:space="preserve">Ética e Cidadania, Saúde e Trabalho e Consumo, contido nos Parâmetros Curriculares Nacionais (PCN). Atuando nas escolas municipais, o programa, segundo Lamosa (2016), </w:t>
      </w:r>
      <w:r w:rsidRPr="00430BC1">
        <w:rPr>
          <w:rFonts w:eastAsia="Times New Roman"/>
          <w:sz w:val="24"/>
          <w:szCs w:val="24"/>
        </w:rPr>
        <w:t xml:space="preserve">vem </w:t>
      </w:r>
      <w:r w:rsidRPr="00430BC1">
        <w:rPr>
          <w:sz w:val="24"/>
          <w:szCs w:val="24"/>
        </w:rPr>
        <w:t>sendo desenvolvido junto aos alunos da Educação do Campo, da educação Infantil ao 9º ano do ensino fundamental.</w:t>
      </w:r>
    </w:p>
    <w:p w14:paraId="6B470553" w14:textId="77777777" w:rsidR="00685D7F" w:rsidRPr="00430BC1" w:rsidRDefault="00685D7F" w:rsidP="00685D7F">
      <w:pPr>
        <w:pStyle w:val="Textodecomentrio"/>
        <w:spacing w:line="360" w:lineRule="auto"/>
        <w:ind w:firstLine="709"/>
        <w:jc w:val="both"/>
        <w:rPr>
          <w:rFonts w:eastAsia="Times New Roman"/>
          <w:sz w:val="24"/>
          <w:szCs w:val="24"/>
        </w:rPr>
      </w:pPr>
      <w:r w:rsidRPr="00430BC1">
        <w:rPr>
          <w:sz w:val="24"/>
          <w:szCs w:val="24"/>
        </w:rPr>
        <w:t xml:space="preserve">Cita-se, também, um projeto-piloto chamado </w:t>
      </w:r>
      <w:r w:rsidRPr="00430BC1">
        <w:rPr>
          <w:rFonts w:eastAsia="Times New Roman"/>
          <w:i/>
          <w:iCs/>
          <w:sz w:val="24"/>
          <w:szCs w:val="24"/>
        </w:rPr>
        <w:t>Projeto Escola Viva</w:t>
      </w:r>
      <w:r w:rsidRPr="00430BC1">
        <w:rPr>
          <w:rStyle w:val="Refdenotaderodap"/>
          <w:rFonts w:eastAsia="Times New Roman"/>
          <w:i/>
          <w:iCs/>
        </w:rPr>
        <w:footnoteReference w:id="18"/>
      </w:r>
      <w:r w:rsidRPr="00430BC1">
        <w:rPr>
          <w:rFonts w:eastAsia="Times New Roman"/>
          <w:i/>
          <w:iCs/>
          <w:sz w:val="24"/>
          <w:szCs w:val="24"/>
        </w:rPr>
        <w:t xml:space="preserve">, </w:t>
      </w:r>
      <w:r w:rsidRPr="00430BC1">
        <w:rPr>
          <w:rFonts w:eastAsia="Times New Roman"/>
          <w:sz w:val="24"/>
          <w:szCs w:val="24"/>
        </w:rPr>
        <w:t>encabeçado pelo SENAR do Tocantins, através do Instituto CNA. Lançado em 2010, deu-se com a adoção de uma escola do campo chamada Escola Estadual Brigadas Che Guevara, no município de Monte do Carmo, que foi acompanhada durante todo o ano de 2009, permanecendo no projeto do Instituto em 2010. Além dos docentes, pais e alunos, o projeto envolvia, ainda, os chamados “Agentes Locais de Educação”, que iam às casas dos alunos para acompanhar atividades extraclasse e apoiar cada um nos estudos relacionados à escola. Era colocado, segundo o projeto, que “A questão da educação com um alicerce fundamental para o combate à pobreza rural se concretizou como estratégia mobilizadora de toda equipe do Instituto CNA”</w:t>
      </w:r>
      <w:r w:rsidRPr="00430BC1">
        <w:rPr>
          <w:rFonts w:eastAsia="Times New Roman"/>
        </w:rPr>
        <w:t>.</w:t>
      </w:r>
    </w:p>
    <w:p w14:paraId="1EA43059" w14:textId="77777777" w:rsidR="00685D7F" w:rsidRPr="00430BC1" w:rsidRDefault="00685D7F" w:rsidP="00685D7F">
      <w:pPr>
        <w:pStyle w:val="Textodecomentrio"/>
        <w:spacing w:line="360" w:lineRule="auto"/>
        <w:jc w:val="both"/>
        <w:rPr>
          <w:rFonts w:eastAsia="Times New Roman"/>
          <w:color w:val="000000" w:themeColor="text1"/>
          <w:sz w:val="24"/>
          <w:szCs w:val="24"/>
        </w:rPr>
      </w:pPr>
    </w:p>
    <w:p w14:paraId="1BDF8F17" w14:textId="77777777" w:rsidR="00685D7F" w:rsidRPr="00430BC1" w:rsidRDefault="00685D7F" w:rsidP="00685D7F">
      <w:pPr>
        <w:pStyle w:val="Textodecomentrio"/>
        <w:spacing w:line="360" w:lineRule="auto"/>
        <w:jc w:val="both"/>
        <w:rPr>
          <w:rFonts w:eastAsia="Times New Roman"/>
          <w:b/>
          <w:bCs/>
          <w:color w:val="000000" w:themeColor="text1"/>
          <w:sz w:val="24"/>
          <w:szCs w:val="24"/>
        </w:rPr>
      </w:pPr>
      <w:r w:rsidRPr="00430BC1">
        <w:rPr>
          <w:rFonts w:eastAsia="Times New Roman"/>
          <w:b/>
          <w:bCs/>
          <w:color w:val="000000" w:themeColor="text1"/>
          <w:sz w:val="24"/>
          <w:szCs w:val="24"/>
        </w:rPr>
        <w:t>Conclusão</w:t>
      </w:r>
    </w:p>
    <w:p w14:paraId="6A812724" w14:textId="77777777" w:rsidR="00685D7F" w:rsidRPr="00430BC1" w:rsidRDefault="00685D7F" w:rsidP="00685D7F">
      <w:pPr>
        <w:pStyle w:val="Textodecomentrio"/>
        <w:spacing w:line="360" w:lineRule="auto"/>
        <w:jc w:val="both"/>
        <w:rPr>
          <w:rFonts w:eastAsia="Times New Roman"/>
          <w:b/>
          <w:bCs/>
          <w:color w:val="000000" w:themeColor="text1"/>
          <w:sz w:val="24"/>
          <w:szCs w:val="24"/>
        </w:rPr>
      </w:pPr>
    </w:p>
    <w:p w14:paraId="77C77C59" w14:textId="77777777" w:rsidR="00685D7F" w:rsidRPr="00430BC1" w:rsidRDefault="00685D7F" w:rsidP="00685D7F">
      <w:pPr>
        <w:pStyle w:val="Standard"/>
        <w:spacing w:line="360" w:lineRule="auto"/>
        <w:ind w:firstLine="708"/>
        <w:jc w:val="both"/>
        <w:rPr>
          <w:rFonts w:ascii="Arial" w:eastAsia="Times New Roman" w:hAnsi="Arial" w:cs="Arial"/>
          <w:color w:val="auto"/>
        </w:rPr>
      </w:pPr>
      <w:r w:rsidRPr="00430BC1">
        <w:rPr>
          <w:rFonts w:ascii="Arial" w:eastAsia="Times New Roman" w:hAnsi="Arial" w:cs="Arial"/>
          <w:color w:val="auto"/>
        </w:rPr>
        <w:t xml:space="preserve">Em Gramsci, Hegemonia é muito mais que dominação de uma classe sobre a outra, é o resultado articulatório entre força e consenso. Nesse sentido, a burguesia agrária opera a hegemonia na medida em que dirige a classe trabalhadora através do consenso em torno da noção de agronegócio e do trabalho a serviço deste. Tenta, dessa forma, construir uma espécie de aliança orgânica através de um sistema </w:t>
      </w:r>
      <w:r w:rsidRPr="00430BC1">
        <w:rPr>
          <w:rFonts w:ascii="Arial" w:eastAsia="Times New Roman" w:hAnsi="Arial" w:cs="Arial"/>
          <w:color w:val="auto"/>
        </w:rPr>
        <w:lastRenderedPageBreak/>
        <w:t>ideológico (SILVA, 2020).</w:t>
      </w:r>
    </w:p>
    <w:p w14:paraId="3AFA4E3B" w14:textId="77777777" w:rsidR="00685D7F" w:rsidRPr="00430BC1" w:rsidRDefault="00685D7F" w:rsidP="00685D7F">
      <w:pPr>
        <w:pStyle w:val="Textodecomentrio"/>
        <w:spacing w:line="360" w:lineRule="auto"/>
        <w:ind w:firstLine="708"/>
        <w:jc w:val="both"/>
        <w:rPr>
          <w:rFonts w:eastAsia="Times New Roman"/>
          <w:sz w:val="24"/>
          <w:szCs w:val="24"/>
        </w:rPr>
      </w:pPr>
      <w:r w:rsidRPr="00430BC1">
        <w:rPr>
          <w:rFonts w:eastAsia="Times New Roman"/>
          <w:sz w:val="24"/>
          <w:szCs w:val="24"/>
        </w:rPr>
        <w:t>A Pedagogia do Agronegócio insere-se, assim, como espécie de referencial educativo que, tomando como pano de fundo a difusão do agronegócio, alinhando-se aos princípios da Pedagogia Burguesa. Desta forma, tendo o capital como modelo produtivo legítimo, observa-se a ênfase no individualismo, meritocracia, empregabilidade e empreendedorismo, na criminalização dos movimentos sociais, na visão positiva sobre a burguesa agrária, silenciamento sobre a questão agrária, sobre conflitos e lutas de classe no campo. Toma-se como norteamento a criação/ fomento de uma classe média no campo. Desta forma, considera-se que as formas que não se vinculam às matrizes produtivas que circundam o Agronegócio, divergem das diretrizes de promoção de um campo e produtores (grandes e pequenos) de sucesso. Tenta-se encaixar o trabalhador rural como um potencial pequeno produtor, que, caso trabalhe e se adeque às orientações ofertadas pelo SENAR, poderá vir a ser um grande produtor. Claramente, um discurso pedagógico de forte viés ideológico na defesa da classe dominante.</w:t>
      </w:r>
    </w:p>
    <w:p w14:paraId="2F97F67D" w14:textId="77777777" w:rsidR="00685D7F" w:rsidRPr="00430BC1" w:rsidRDefault="00685D7F" w:rsidP="00685D7F">
      <w:pPr>
        <w:pStyle w:val="Standard"/>
        <w:spacing w:line="360" w:lineRule="auto"/>
        <w:ind w:firstLine="708"/>
        <w:jc w:val="both"/>
        <w:rPr>
          <w:rFonts w:ascii="Arial" w:eastAsia="Times New Roman" w:hAnsi="Arial" w:cs="Arial"/>
          <w:color w:val="auto"/>
        </w:rPr>
      </w:pPr>
      <w:r w:rsidRPr="00430BC1">
        <w:rPr>
          <w:rFonts w:ascii="Arial" w:eastAsia="Times New Roman" w:hAnsi="Arial" w:cs="Arial"/>
          <w:color w:val="auto"/>
        </w:rPr>
        <w:t>Deste cenário entende-se que o SENAR, nas escolas públicas, compõe uma totalidade no processo de reprodução do capital, bem como representa a inserção do ideário da agricultura de mercado, em formar sujeitos a partir da ideologia dos “de cima”, visando minar possibilidades formativas/e ou organizativas dos subalternos do campo, bem como lucrar com a possibilidade de obter mão de obra precária e flexível a partir de seus interesses e demandas de mercado. É uma contraproposta ao projeto de educação dos movimentos sociais do campo, através de uma defesa do agronegócio e das frações agrárias como agentes de desenvolvimento do país. A escola carrega uma função política estratégica e isso não é ignorado pelas camadas dominantes da burguesia, uma vez que as classes que dominam pretendem igualmente dirigir, o processo educativo das crianças e jovens em favor de suas diretrizes.</w:t>
      </w:r>
    </w:p>
    <w:p w14:paraId="73D7F711" w14:textId="77777777" w:rsidR="00685D7F" w:rsidRPr="00430BC1" w:rsidRDefault="00685D7F" w:rsidP="00685D7F">
      <w:pPr>
        <w:pStyle w:val="Standard"/>
        <w:spacing w:line="360" w:lineRule="auto"/>
        <w:jc w:val="both"/>
        <w:rPr>
          <w:rFonts w:ascii="Arial" w:eastAsia="Times New Roman" w:hAnsi="Arial" w:cs="Arial"/>
          <w:color w:val="auto"/>
        </w:rPr>
      </w:pPr>
    </w:p>
    <w:p w14:paraId="3F2E4954" w14:textId="77777777" w:rsidR="00685D7F" w:rsidRPr="00430BC1" w:rsidRDefault="00685D7F" w:rsidP="00685D7F">
      <w:pPr>
        <w:pStyle w:val="Standard"/>
        <w:spacing w:line="360" w:lineRule="auto"/>
        <w:jc w:val="both"/>
        <w:rPr>
          <w:rFonts w:ascii="Arial" w:eastAsia="Times New Roman" w:hAnsi="Arial" w:cs="Arial"/>
          <w:b/>
          <w:bCs/>
          <w:color w:val="auto"/>
        </w:rPr>
      </w:pPr>
      <w:r w:rsidRPr="00430BC1">
        <w:rPr>
          <w:rFonts w:ascii="Arial" w:eastAsia="Times New Roman" w:hAnsi="Arial" w:cs="Arial"/>
          <w:b/>
          <w:bCs/>
          <w:color w:val="auto"/>
        </w:rPr>
        <w:t>Referências</w:t>
      </w:r>
    </w:p>
    <w:p w14:paraId="6DBFE29F" w14:textId="77777777" w:rsidR="00685D7F" w:rsidRPr="00430BC1" w:rsidRDefault="00685D7F" w:rsidP="00685D7F">
      <w:pPr>
        <w:pStyle w:val="Standard"/>
        <w:jc w:val="both"/>
        <w:rPr>
          <w:rFonts w:ascii="Arial" w:eastAsia="Times New Roman" w:hAnsi="Arial" w:cs="Arial"/>
          <w:color w:val="auto"/>
        </w:rPr>
      </w:pPr>
      <w:r w:rsidRPr="00430BC1">
        <w:rPr>
          <w:rFonts w:ascii="Arial" w:eastAsia="Times New Roman" w:hAnsi="Arial" w:cs="Arial"/>
          <w:color w:val="auto"/>
        </w:rPr>
        <w:lastRenderedPageBreak/>
        <w:t xml:space="preserve">BARATTA, Giorgio. Formação do Homem. In: LIGUORI, Guido &amp; VOZA, Pasquale (org.). </w:t>
      </w:r>
      <w:r w:rsidRPr="00430BC1">
        <w:rPr>
          <w:rFonts w:ascii="Arial" w:eastAsia="Times New Roman" w:hAnsi="Arial" w:cs="Arial"/>
          <w:b/>
          <w:bCs/>
          <w:color w:val="auto"/>
        </w:rPr>
        <w:t>Dicionário Gramsciano</w:t>
      </w:r>
      <w:r w:rsidRPr="00430BC1">
        <w:rPr>
          <w:rFonts w:ascii="Arial" w:eastAsia="Times New Roman" w:hAnsi="Arial" w:cs="Arial"/>
          <w:color w:val="auto"/>
        </w:rPr>
        <w:t xml:space="preserve"> (1926-1937). São Paulo: Boitempo, 2017.</w:t>
      </w:r>
    </w:p>
    <w:p w14:paraId="7565D60F" w14:textId="77777777" w:rsidR="00685D7F" w:rsidRPr="00430BC1" w:rsidRDefault="00685D7F" w:rsidP="00685D7F">
      <w:pPr>
        <w:spacing w:line="240" w:lineRule="auto"/>
        <w:jc w:val="both"/>
      </w:pPr>
      <w:r w:rsidRPr="00430BC1">
        <w:t xml:space="preserve">DELGADO, Guilherme. Economia do Agronegócio (Anos 2000) como Pacto do Poder com os Donos da Terra. Reforma Agrária, Campinas, </w:t>
      </w:r>
      <w:proofErr w:type="spellStart"/>
      <w:r w:rsidRPr="00430BC1">
        <w:t>jul</w:t>
      </w:r>
      <w:proofErr w:type="spellEnd"/>
      <w:r w:rsidRPr="00430BC1">
        <w:t xml:space="preserve">, 2013. </w:t>
      </w:r>
    </w:p>
    <w:p w14:paraId="5ED1F7A8" w14:textId="77777777" w:rsidR="00685D7F" w:rsidRPr="00430BC1" w:rsidRDefault="00685D7F" w:rsidP="00685D7F">
      <w:pPr>
        <w:pStyle w:val="Standard"/>
        <w:jc w:val="both"/>
        <w:rPr>
          <w:rFonts w:ascii="Arial" w:eastAsia="Times New Roman" w:hAnsi="Arial" w:cs="Arial"/>
          <w:color w:val="auto"/>
        </w:rPr>
      </w:pPr>
      <w:r w:rsidRPr="00430BC1">
        <w:rPr>
          <w:rFonts w:ascii="Arial" w:eastAsia="Times New Roman" w:hAnsi="Arial" w:cs="Arial"/>
          <w:color w:val="auto"/>
        </w:rPr>
        <w:t>GRAMSCI, Antônio. Cadernos do cárcere. Rio de Janeiro: Civilização Brasileira, 2001. vol. 3 (tradução Carlos Nelson Coutinho).</w:t>
      </w:r>
    </w:p>
    <w:p w14:paraId="3816CBC3" w14:textId="77777777" w:rsidR="00685D7F" w:rsidRPr="00430BC1" w:rsidRDefault="00685D7F" w:rsidP="00685D7F">
      <w:pPr>
        <w:pStyle w:val="Standard"/>
        <w:jc w:val="both"/>
        <w:rPr>
          <w:rFonts w:ascii="Arial" w:eastAsia="Times New Roman" w:hAnsi="Arial" w:cs="Arial"/>
          <w:color w:val="auto"/>
        </w:rPr>
      </w:pPr>
    </w:p>
    <w:p w14:paraId="5D93C89C" w14:textId="77777777" w:rsidR="00685D7F" w:rsidRPr="00430BC1" w:rsidRDefault="00685D7F" w:rsidP="00685D7F">
      <w:pPr>
        <w:pStyle w:val="Standard"/>
        <w:jc w:val="both"/>
        <w:rPr>
          <w:rFonts w:ascii="Arial" w:eastAsia="Times New Roman" w:hAnsi="Arial" w:cs="Arial"/>
          <w:color w:val="auto"/>
        </w:rPr>
      </w:pPr>
      <w:r w:rsidRPr="00430BC1">
        <w:rPr>
          <w:rFonts w:ascii="Arial" w:eastAsia="Times New Roman" w:hAnsi="Arial" w:cs="Arial"/>
          <w:color w:val="auto"/>
        </w:rPr>
        <w:t>GRAMSCI, Antônio. Cadernos do cárcere. Rio de Janeiro: Civilização Brasileira, 2001. vol. 1 (tradução Carlos Nelson Coutinho).</w:t>
      </w:r>
    </w:p>
    <w:p w14:paraId="09840189" w14:textId="77777777" w:rsidR="00685D7F" w:rsidRPr="00430BC1" w:rsidRDefault="00685D7F" w:rsidP="00685D7F">
      <w:pPr>
        <w:pStyle w:val="Standard"/>
        <w:jc w:val="both"/>
        <w:rPr>
          <w:rFonts w:ascii="Arial" w:eastAsia="Times New Roman" w:hAnsi="Arial" w:cs="Arial"/>
          <w:color w:val="auto"/>
        </w:rPr>
      </w:pPr>
    </w:p>
    <w:p w14:paraId="283B97B9" w14:textId="77777777" w:rsidR="00685D7F" w:rsidRPr="00430BC1" w:rsidRDefault="00685D7F" w:rsidP="00685D7F">
      <w:pPr>
        <w:pStyle w:val="Standard"/>
        <w:jc w:val="both"/>
        <w:rPr>
          <w:rFonts w:ascii="Arial" w:eastAsia="Times New Roman" w:hAnsi="Arial" w:cs="Arial"/>
          <w:color w:val="auto"/>
        </w:rPr>
      </w:pPr>
      <w:r w:rsidRPr="00430BC1">
        <w:rPr>
          <w:rFonts w:ascii="Arial" w:eastAsia="Times New Roman" w:hAnsi="Arial" w:cs="Arial"/>
          <w:color w:val="auto"/>
        </w:rPr>
        <w:t xml:space="preserve">GRAMSCI, Antônio, 1891-1937. Cadernos do cárcere [livro eletrônico]: Caderno 10 (XXIII): 1930: miscelânea/ tradução Ana Maria Said; Gianni </w:t>
      </w:r>
      <w:proofErr w:type="spellStart"/>
      <w:r w:rsidRPr="00430BC1">
        <w:rPr>
          <w:rFonts w:ascii="Arial" w:eastAsia="Times New Roman" w:hAnsi="Arial" w:cs="Arial"/>
          <w:color w:val="auto"/>
        </w:rPr>
        <w:t>Fresu</w:t>
      </w:r>
      <w:proofErr w:type="spellEnd"/>
      <w:r w:rsidRPr="00430BC1">
        <w:rPr>
          <w:rFonts w:ascii="Arial" w:eastAsia="Times New Roman" w:hAnsi="Arial" w:cs="Arial"/>
          <w:color w:val="auto"/>
        </w:rPr>
        <w:t>. Rio de Janeiro: IGS-Brasil, 2024. Consultado em: 53a16517242a41e8ba6397ea26efb12e</w:t>
      </w:r>
    </w:p>
    <w:p w14:paraId="11385B78" w14:textId="77777777" w:rsidR="00685D7F" w:rsidRPr="00430BC1" w:rsidRDefault="00685D7F" w:rsidP="00685D7F">
      <w:pPr>
        <w:spacing w:line="240" w:lineRule="auto"/>
        <w:jc w:val="both"/>
      </w:pPr>
    </w:p>
    <w:p w14:paraId="3A19B41B" w14:textId="77777777" w:rsidR="00685D7F" w:rsidRPr="00430BC1" w:rsidRDefault="00685D7F" w:rsidP="00685D7F">
      <w:pPr>
        <w:spacing w:line="240" w:lineRule="auto"/>
        <w:jc w:val="both"/>
        <w:rPr>
          <w:rStyle w:val="Hyperlink"/>
          <w:rFonts w:eastAsiaTheme="majorEastAsia"/>
        </w:rPr>
      </w:pPr>
      <w:r w:rsidRPr="00430BC1">
        <w:t xml:space="preserve">JUNQUEIRA, Victor Hugo &amp; BEZERRA, Maria Cristina dos Santos. </w:t>
      </w:r>
      <w:r w:rsidRPr="00430BC1">
        <w:rPr>
          <w:b/>
          <w:bCs/>
        </w:rPr>
        <w:t>A QUEM INTERESSA A EDUCAÇÃO DOS TRABALHADORES DO CAMPO?</w:t>
      </w:r>
      <w:r w:rsidRPr="00430BC1">
        <w:t xml:space="preserve"> uma análise do PRONACAMPO. In: Revista </w:t>
      </w:r>
      <w:proofErr w:type="spellStart"/>
      <w:r w:rsidRPr="00430BC1">
        <w:t>Exitus</w:t>
      </w:r>
      <w:proofErr w:type="spellEnd"/>
      <w:r w:rsidRPr="00430BC1">
        <w:t xml:space="preserve">, Santarém, PA Vol. 5 N° 2 p. 83-100 Jul./Dez.2015. Consultado em </w:t>
      </w:r>
      <w:hyperlink r:id="rId8" w:history="1">
        <w:r w:rsidRPr="00430BC1">
          <w:rPr>
            <w:rStyle w:val="Hyperlink"/>
            <w:rFonts w:eastAsiaTheme="majorEastAsia"/>
          </w:rPr>
          <w:t>Vista do A quem interessa a educação dos trabalhadores do campo? Uma análise do PRONACAMPO (ufopa.edu.br)</w:t>
        </w:r>
      </w:hyperlink>
    </w:p>
    <w:p w14:paraId="071F3B6A" w14:textId="77777777" w:rsidR="00685D7F" w:rsidRPr="00430BC1" w:rsidRDefault="00685D7F" w:rsidP="00685D7F">
      <w:pPr>
        <w:pStyle w:val="Standard"/>
        <w:jc w:val="both"/>
        <w:rPr>
          <w:rFonts w:ascii="Arial" w:hAnsi="Arial" w:cs="Arial"/>
          <w:color w:val="auto"/>
        </w:rPr>
      </w:pPr>
      <w:r w:rsidRPr="00430BC1">
        <w:rPr>
          <w:rFonts w:ascii="Arial" w:hAnsi="Arial" w:cs="Arial"/>
          <w:color w:val="auto"/>
        </w:rPr>
        <w:t xml:space="preserve">LAMOSA, Rodrigo. </w:t>
      </w:r>
      <w:r w:rsidRPr="00430BC1">
        <w:rPr>
          <w:rFonts w:ascii="Arial" w:hAnsi="Arial" w:cs="Arial"/>
          <w:b/>
          <w:bCs/>
          <w:color w:val="auto"/>
        </w:rPr>
        <w:t>Educação e Agronegócio</w:t>
      </w:r>
      <w:r w:rsidRPr="00430BC1">
        <w:rPr>
          <w:rFonts w:ascii="Arial" w:hAnsi="Arial" w:cs="Arial"/>
          <w:color w:val="auto"/>
        </w:rPr>
        <w:t xml:space="preserve">: a nova ofensiva do capital nas escolas públicas. Curitiba: </w:t>
      </w:r>
      <w:proofErr w:type="spellStart"/>
      <w:r w:rsidRPr="00430BC1">
        <w:rPr>
          <w:rFonts w:ascii="Arial" w:hAnsi="Arial" w:cs="Arial"/>
          <w:color w:val="auto"/>
        </w:rPr>
        <w:t>Apris</w:t>
      </w:r>
      <w:proofErr w:type="spellEnd"/>
      <w:r w:rsidRPr="00430BC1">
        <w:rPr>
          <w:rFonts w:ascii="Arial" w:hAnsi="Arial" w:cs="Arial"/>
          <w:color w:val="auto"/>
        </w:rPr>
        <w:t>, 2016.</w:t>
      </w:r>
    </w:p>
    <w:p w14:paraId="54370F8C" w14:textId="77777777" w:rsidR="00685D7F" w:rsidRPr="00430BC1" w:rsidRDefault="00685D7F" w:rsidP="00685D7F">
      <w:pPr>
        <w:pStyle w:val="Standard"/>
        <w:jc w:val="both"/>
        <w:rPr>
          <w:rFonts w:ascii="Arial" w:hAnsi="Arial" w:cs="Arial"/>
          <w:color w:val="auto"/>
        </w:rPr>
      </w:pPr>
    </w:p>
    <w:p w14:paraId="5F5C56FB" w14:textId="77777777" w:rsidR="00685D7F" w:rsidRPr="00430BC1" w:rsidRDefault="00685D7F" w:rsidP="00685D7F">
      <w:pPr>
        <w:pStyle w:val="Standard"/>
        <w:jc w:val="both"/>
        <w:rPr>
          <w:rFonts w:ascii="Arial" w:hAnsi="Arial" w:cs="Arial"/>
        </w:rPr>
      </w:pPr>
      <w:bookmarkStart w:id="2" w:name="_Hlk69820692"/>
      <w:r w:rsidRPr="00430BC1">
        <w:rPr>
          <w:rFonts w:ascii="Arial" w:hAnsi="Arial" w:cs="Arial"/>
        </w:rPr>
        <w:t xml:space="preserve">LAMOSA, Rodrigo. A educação ambiental e a nova pedagogia política do Agronegócio. In: IX EPEA -Encontro Pesquisa em Educação Ambiental. Juiz de Fora - MG 13 a 16 de agosto de 2017 Universidade Federal de Juiz de Fora. Consultado em </w:t>
      </w:r>
      <w:hyperlink r:id="rId9" w:history="1">
        <w:r w:rsidRPr="00430BC1">
          <w:rPr>
            <w:rFonts w:ascii="Arial" w:hAnsi="Arial" w:cs="Arial"/>
          </w:rPr>
          <w:t>0249.pdf (epea.tmp.br)</w:t>
        </w:r>
      </w:hyperlink>
      <w:bookmarkEnd w:id="2"/>
    </w:p>
    <w:p w14:paraId="7481D550" w14:textId="77777777" w:rsidR="00685D7F" w:rsidRPr="00430BC1" w:rsidRDefault="00685D7F" w:rsidP="00685D7F">
      <w:pPr>
        <w:pStyle w:val="Standard"/>
        <w:jc w:val="both"/>
        <w:rPr>
          <w:rFonts w:ascii="Arial" w:hAnsi="Arial" w:cs="Arial"/>
        </w:rPr>
      </w:pPr>
    </w:p>
    <w:p w14:paraId="33E1611D" w14:textId="77777777" w:rsidR="00685D7F" w:rsidRPr="00430BC1" w:rsidRDefault="00685D7F" w:rsidP="00685D7F">
      <w:pPr>
        <w:spacing w:line="240" w:lineRule="auto"/>
        <w:jc w:val="both"/>
      </w:pPr>
      <w:r w:rsidRPr="00430BC1">
        <w:t xml:space="preserve">LEAL, Giuliana Franco. </w:t>
      </w:r>
      <w:r w:rsidRPr="00430BC1">
        <w:rPr>
          <w:i/>
          <w:iCs/>
        </w:rPr>
        <w:t>Guardiões da propriedade: organizações da burguesia agrária – um estudo sobre a Confederação da Agricultura e Pecuária do Brasil – CNA</w:t>
      </w:r>
      <w:r w:rsidRPr="00430BC1">
        <w:t xml:space="preserve"> (1995-2001). Dissertação (mestrado) – Universidade Estadual de Campinas. Campinas, SP, 2002.</w:t>
      </w:r>
    </w:p>
    <w:p w14:paraId="68576389" w14:textId="77777777" w:rsidR="00685D7F" w:rsidRPr="00430BC1" w:rsidRDefault="00685D7F" w:rsidP="00685D7F">
      <w:pPr>
        <w:pStyle w:val="Standard"/>
        <w:jc w:val="both"/>
        <w:rPr>
          <w:rFonts w:ascii="Arial" w:hAnsi="Arial" w:cs="Arial"/>
        </w:rPr>
      </w:pPr>
      <w:r w:rsidRPr="00430BC1">
        <w:rPr>
          <w:rStyle w:val="Forte"/>
          <w:rFonts w:ascii="Arial" w:hAnsi="Arial" w:cs="Arial"/>
        </w:rPr>
        <w:t>NEVES, Lúcia Maria Wanderley.</w:t>
      </w:r>
      <w:r w:rsidRPr="00430BC1">
        <w:rPr>
          <w:rFonts w:ascii="Arial" w:hAnsi="Arial" w:cs="Arial"/>
        </w:rPr>
        <w:t xml:space="preserve"> </w:t>
      </w:r>
      <w:r w:rsidRPr="00430BC1">
        <w:rPr>
          <w:rStyle w:val="nfase"/>
          <w:rFonts w:ascii="Arial" w:hAnsi="Arial" w:cs="Arial"/>
        </w:rPr>
        <w:t>A nova pedagogia da hegemonia: estratégias do capital para educar o consenso</w:t>
      </w:r>
      <w:r w:rsidRPr="00430BC1">
        <w:rPr>
          <w:rFonts w:ascii="Arial" w:hAnsi="Arial" w:cs="Arial"/>
        </w:rPr>
        <w:t>. São Paulo: Xamã, 2010. 311 p. ISBN: 8575870475.</w:t>
      </w:r>
    </w:p>
    <w:p w14:paraId="7B925BFA" w14:textId="77777777" w:rsidR="00685D7F" w:rsidRPr="00430BC1" w:rsidRDefault="00685D7F" w:rsidP="00685D7F">
      <w:pPr>
        <w:pStyle w:val="Standard"/>
        <w:rPr>
          <w:rFonts w:ascii="Arial" w:hAnsi="Arial" w:cs="Arial"/>
          <w:color w:val="auto"/>
        </w:rPr>
      </w:pPr>
    </w:p>
    <w:p w14:paraId="38DF8486" w14:textId="77777777" w:rsidR="00685D7F" w:rsidRPr="00430BC1" w:rsidRDefault="00685D7F" w:rsidP="00685D7F">
      <w:pPr>
        <w:pStyle w:val="Standard"/>
        <w:rPr>
          <w:rFonts w:ascii="Arial" w:hAnsi="Arial" w:cs="Arial"/>
          <w:color w:val="auto"/>
        </w:rPr>
      </w:pPr>
      <w:r w:rsidRPr="00430BC1">
        <w:rPr>
          <w:rFonts w:ascii="Arial" w:hAnsi="Arial" w:cs="Arial"/>
          <w:color w:val="auto"/>
        </w:rPr>
        <w:t xml:space="preserve">POULANTZAS, </w:t>
      </w:r>
      <w:proofErr w:type="spellStart"/>
      <w:r w:rsidRPr="00430BC1">
        <w:rPr>
          <w:rFonts w:ascii="Arial" w:hAnsi="Arial" w:cs="Arial"/>
          <w:color w:val="auto"/>
        </w:rPr>
        <w:t>Nicos</w:t>
      </w:r>
      <w:proofErr w:type="spellEnd"/>
      <w:r w:rsidRPr="00430BC1">
        <w:rPr>
          <w:rFonts w:ascii="Arial" w:hAnsi="Arial" w:cs="Arial"/>
          <w:color w:val="auto"/>
        </w:rPr>
        <w:t xml:space="preserve">. </w:t>
      </w:r>
      <w:r w:rsidRPr="00430BC1">
        <w:rPr>
          <w:rFonts w:ascii="Arial" w:hAnsi="Arial" w:cs="Arial"/>
          <w:b/>
          <w:color w:val="auto"/>
        </w:rPr>
        <w:t>O Estado, o Poder, o Socialismo</w:t>
      </w:r>
      <w:r w:rsidRPr="00430BC1">
        <w:rPr>
          <w:rFonts w:ascii="Arial" w:hAnsi="Arial" w:cs="Arial"/>
          <w:color w:val="auto"/>
        </w:rPr>
        <w:t>. Rio de Janeiro: Edições Graal, 1985.</w:t>
      </w:r>
    </w:p>
    <w:p w14:paraId="71EBE883" w14:textId="77777777" w:rsidR="00685D7F" w:rsidRPr="00430BC1" w:rsidRDefault="00685D7F" w:rsidP="00685D7F">
      <w:pPr>
        <w:pStyle w:val="Standard"/>
        <w:jc w:val="both"/>
        <w:rPr>
          <w:rFonts w:ascii="Arial" w:hAnsi="Arial" w:cs="Arial"/>
        </w:rPr>
      </w:pPr>
    </w:p>
    <w:p w14:paraId="0243CFA5" w14:textId="77777777" w:rsidR="00685D7F" w:rsidRPr="00430BC1" w:rsidRDefault="00685D7F" w:rsidP="00685D7F">
      <w:pPr>
        <w:spacing w:line="240" w:lineRule="auto"/>
        <w:jc w:val="both"/>
        <w:rPr>
          <w:bCs/>
        </w:rPr>
      </w:pPr>
      <w:r w:rsidRPr="00430BC1">
        <w:rPr>
          <w:bCs/>
        </w:rPr>
        <w:t xml:space="preserve">SILVA, Deise </w:t>
      </w:r>
      <w:proofErr w:type="spellStart"/>
      <w:r w:rsidRPr="00430BC1">
        <w:rPr>
          <w:bCs/>
        </w:rPr>
        <w:t>Rosalio</w:t>
      </w:r>
      <w:proofErr w:type="spellEnd"/>
      <w:r w:rsidRPr="00430BC1">
        <w:rPr>
          <w:bCs/>
        </w:rPr>
        <w:t xml:space="preserve">. </w:t>
      </w:r>
      <w:r w:rsidRPr="00430BC1">
        <w:rPr>
          <w:b/>
        </w:rPr>
        <w:t>O lugar da educação em Gramsci</w:t>
      </w:r>
      <w:r w:rsidRPr="00430BC1">
        <w:rPr>
          <w:bCs/>
        </w:rPr>
        <w:t xml:space="preserve">. Curitiba: </w:t>
      </w:r>
      <w:proofErr w:type="spellStart"/>
      <w:r w:rsidRPr="00430BC1">
        <w:rPr>
          <w:bCs/>
        </w:rPr>
        <w:t>Appris</w:t>
      </w:r>
      <w:proofErr w:type="spellEnd"/>
      <w:r w:rsidRPr="00430BC1">
        <w:rPr>
          <w:bCs/>
        </w:rPr>
        <w:t>, 2020.</w:t>
      </w:r>
    </w:p>
    <w:p w14:paraId="7E81AFB3" w14:textId="77777777" w:rsidR="00685D7F" w:rsidRPr="00430BC1" w:rsidRDefault="00685D7F" w:rsidP="00685D7F">
      <w:pPr>
        <w:pStyle w:val="Standard"/>
        <w:jc w:val="both"/>
        <w:rPr>
          <w:rFonts w:ascii="Arial" w:hAnsi="Arial" w:cs="Arial"/>
          <w:color w:val="auto"/>
        </w:rPr>
      </w:pPr>
    </w:p>
    <w:p w14:paraId="503E602A" w14:textId="77777777" w:rsidR="00685D7F" w:rsidRPr="00430BC1" w:rsidRDefault="00685D7F" w:rsidP="00685D7F">
      <w:pPr>
        <w:pStyle w:val="Standard"/>
        <w:jc w:val="both"/>
        <w:rPr>
          <w:rFonts w:ascii="Arial" w:hAnsi="Arial" w:cs="Arial"/>
          <w:color w:val="auto"/>
        </w:rPr>
      </w:pPr>
      <w:r w:rsidRPr="00430BC1">
        <w:rPr>
          <w:rFonts w:ascii="Arial" w:hAnsi="Arial" w:cs="Arial"/>
          <w:color w:val="auto"/>
        </w:rPr>
        <w:t>TOMMASELLI, Guilherme Costa Garcia. Escola Sem Partido: indícios de uma educação autoritária. Tese (Doutorado). Universidade Estadual Paulista (UNESP), Presidente Prudente, 2018. Pesquisado em: Escola Sem Partido: Síndrome de uma Educação Autoritária (unesp.br)</w:t>
      </w:r>
    </w:p>
    <w:sectPr w:rsidR="00685D7F" w:rsidRPr="00430BC1" w:rsidSect="004F776F">
      <w:headerReference w:type="default" r:id="rId10"/>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F8B00" w14:textId="77777777" w:rsidR="008E0EAA" w:rsidRDefault="008E0EAA">
      <w:pPr>
        <w:spacing w:line="240" w:lineRule="auto"/>
      </w:pPr>
      <w:r>
        <w:separator/>
      </w:r>
    </w:p>
  </w:endnote>
  <w:endnote w:type="continuationSeparator" w:id="0">
    <w:p w14:paraId="3CBB77F3" w14:textId="77777777" w:rsidR="008E0EAA" w:rsidRDefault="008E0E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inter">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28B2A" w14:textId="77777777" w:rsidR="008E0EAA" w:rsidRDefault="008E0EAA">
      <w:pPr>
        <w:spacing w:line="240" w:lineRule="auto"/>
      </w:pPr>
      <w:r>
        <w:separator/>
      </w:r>
    </w:p>
  </w:footnote>
  <w:footnote w:type="continuationSeparator" w:id="0">
    <w:p w14:paraId="133C42D1" w14:textId="77777777" w:rsidR="008E0EAA" w:rsidRDefault="008E0EAA">
      <w:pPr>
        <w:spacing w:line="240" w:lineRule="auto"/>
      </w:pPr>
      <w:r>
        <w:continuationSeparator/>
      </w:r>
    </w:p>
  </w:footnote>
  <w:footnote w:id="1">
    <w:p w14:paraId="5A4D38DA" w14:textId="77777777" w:rsidR="001B340A" w:rsidRPr="008505A3" w:rsidRDefault="001B340A" w:rsidP="001B340A">
      <w:pPr>
        <w:spacing w:line="240" w:lineRule="auto"/>
        <w:jc w:val="both"/>
        <w:rPr>
          <w:sz w:val="20"/>
          <w:szCs w:val="20"/>
        </w:rPr>
      </w:pPr>
      <w:r w:rsidRPr="009166BF">
        <w:rPr>
          <w:rStyle w:val="Refdenotaderodap"/>
          <w:sz w:val="20"/>
          <w:szCs w:val="20"/>
        </w:rPr>
        <w:footnoteRef/>
      </w:r>
      <w:r w:rsidRPr="009166BF">
        <w:rPr>
          <w:sz w:val="20"/>
          <w:szCs w:val="20"/>
        </w:rPr>
        <w:t xml:space="preserve"> </w:t>
      </w:r>
      <w:r w:rsidRPr="008505A3">
        <w:rPr>
          <w:rStyle w:val="fontstyle01"/>
          <w:sz w:val="20"/>
          <w:szCs w:val="20"/>
        </w:rPr>
        <w:t xml:space="preserve">Doutora em Educação em Ciências e Matemática da Rede Amazônica de Educação em Ciências e Matemática (REAMEC). Professora do Curso de Licenciatura em Educação do Campo - </w:t>
      </w:r>
      <w:proofErr w:type="spellStart"/>
      <w:r w:rsidRPr="008505A3">
        <w:rPr>
          <w:rStyle w:val="fontstyle01"/>
          <w:sz w:val="20"/>
          <w:szCs w:val="20"/>
        </w:rPr>
        <w:t>CCBa</w:t>
      </w:r>
      <w:proofErr w:type="spellEnd"/>
      <w:r w:rsidRPr="008505A3">
        <w:rPr>
          <w:rStyle w:val="fontstyle01"/>
          <w:sz w:val="20"/>
          <w:szCs w:val="20"/>
        </w:rPr>
        <w:t xml:space="preserve">/UFMA. Integra o Grupo de Estudos e Pesquisas sobre Políticas Públicas de Educação- PPGPP/UFMA. </w:t>
      </w:r>
      <w:r>
        <w:rPr>
          <w:rStyle w:val="fontstyle01"/>
          <w:sz w:val="20"/>
          <w:szCs w:val="20"/>
        </w:rPr>
        <w:t xml:space="preserve">Coordenadora da Mesa Temática Coordenada. </w:t>
      </w:r>
      <w:r w:rsidRPr="008505A3">
        <w:rPr>
          <w:rStyle w:val="fontstyle01"/>
          <w:sz w:val="20"/>
          <w:szCs w:val="20"/>
        </w:rPr>
        <w:t>E-mail: dc.diniz@ufma.br.</w:t>
      </w:r>
    </w:p>
    <w:p w14:paraId="5F8AE533" w14:textId="77777777" w:rsidR="001B340A" w:rsidRPr="008505A3" w:rsidRDefault="001B340A" w:rsidP="001B340A">
      <w:pPr>
        <w:pStyle w:val="Textodenotaderodap"/>
        <w:spacing w:line="240" w:lineRule="auto"/>
        <w:jc w:val="both"/>
      </w:pPr>
    </w:p>
  </w:footnote>
  <w:footnote w:id="2">
    <w:p w14:paraId="6E87C5D8" w14:textId="77777777" w:rsidR="001B340A" w:rsidRPr="008505A3" w:rsidRDefault="001B340A" w:rsidP="001B340A">
      <w:pPr>
        <w:spacing w:line="240" w:lineRule="auto"/>
        <w:jc w:val="both"/>
        <w:rPr>
          <w:bCs/>
          <w:sz w:val="20"/>
          <w:szCs w:val="20"/>
        </w:rPr>
      </w:pPr>
      <w:r w:rsidRPr="008505A3">
        <w:rPr>
          <w:rStyle w:val="Refdenotaderodap"/>
          <w:sz w:val="20"/>
          <w:szCs w:val="20"/>
        </w:rPr>
        <w:footnoteRef/>
      </w:r>
      <w:r w:rsidRPr="008505A3">
        <w:rPr>
          <w:sz w:val="20"/>
          <w:szCs w:val="20"/>
        </w:rPr>
        <w:t xml:space="preserve"> Doutora em Políticas Públicas pelo Programa de Pós Graduação em Políticas Públicas (UFMA). </w:t>
      </w:r>
      <w:r w:rsidRPr="008505A3">
        <w:rPr>
          <w:bCs/>
          <w:sz w:val="20"/>
          <w:szCs w:val="20"/>
        </w:rPr>
        <w:t>Professora do Instituto Federal de Educação (IFMA)/ Campus Monte Castelo. Membro do grupo de Trabalho, Estudos e Pesquisas em Educação - GT Educação. E-mail: mmacedope@gmail.com.</w:t>
      </w:r>
    </w:p>
    <w:p w14:paraId="69BDD405" w14:textId="77777777" w:rsidR="001B340A" w:rsidRPr="008505A3" w:rsidRDefault="001B340A" w:rsidP="001B340A">
      <w:pPr>
        <w:pStyle w:val="Textodenotaderodap"/>
      </w:pPr>
    </w:p>
  </w:footnote>
  <w:footnote w:id="3">
    <w:p w14:paraId="327BBB07" w14:textId="77777777" w:rsidR="001B340A" w:rsidRPr="008505A3" w:rsidRDefault="001B340A" w:rsidP="001B340A">
      <w:pPr>
        <w:pStyle w:val="Textodenotaderodap"/>
      </w:pPr>
      <w:r w:rsidRPr="008505A3">
        <w:rPr>
          <w:rStyle w:val="Refdenotaderodap"/>
        </w:rPr>
        <w:footnoteRef/>
      </w:r>
      <w:r w:rsidRPr="008505A3">
        <w:t xml:space="preserve"> Doutor em Educação pela Universidade de Brasília, graduado em Licenciatura em Educação do Campo e Pedagogia. Professor do </w:t>
      </w:r>
      <w:r>
        <w:t>C</w:t>
      </w:r>
      <w:r w:rsidRPr="008505A3">
        <w:t xml:space="preserve">urso de Licenciatura em Educação do Campo- </w:t>
      </w:r>
      <w:proofErr w:type="spellStart"/>
      <w:r w:rsidRPr="008505A3">
        <w:t>CCBa</w:t>
      </w:r>
      <w:proofErr w:type="spellEnd"/>
      <w:r w:rsidRPr="008505A3">
        <w:t xml:space="preserve">/UFMA. E-mail: </w:t>
      </w:r>
      <w:hyperlink r:id="rId1" w:history="1">
        <w:r w:rsidRPr="008505A3">
          <w:rPr>
            <w:rStyle w:val="Hyperlink"/>
          </w:rPr>
          <w:t>pedro.xavier@ufma.br</w:t>
        </w:r>
      </w:hyperlink>
    </w:p>
    <w:p w14:paraId="4FC2D502" w14:textId="77777777" w:rsidR="001B340A" w:rsidRPr="008505A3" w:rsidRDefault="001B340A" w:rsidP="001B340A">
      <w:pPr>
        <w:pStyle w:val="Textodenotaderodap"/>
      </w:pPr>
    </w:p>
  </w:footnote>
  <w:footnote w:id="4">
    <w:p w14:paraId="007282ED" w14:textId="77777777" w:rsidR="001B340A" w:rsidRPr="008505A3" w:rsidRDefault="001B340A" w:rsidP="001B340A">
      <w:pPr>
        <w:pStyle w:val="Textodenotaderodap"/>
        <w:jc w:val="both"/>
      </w:pPr>
      <w:r w:rsidRPr="008505A3">
        <w:rPr>
          <w:rStyle w:val="Refdenotaderodap"/>
        </w:rPr>
        <w:footnoteRef/>
      </w:r>
      <w:r w:rsidRPr="008505A3">
        <w:t xml:space="preserve"> Doutora em História Social pelo Programa de Pós-Graduação em História da Universidade Federal Fluminense (UFF). Professora de Educação no IFMA/ Campus São Luís Maracanã. Integra o Núcleo de Estudos e Pesquisas em Educação, Diversidade e Prática Docente - </w:t>
      </w:r>
      <w:proofErr w:type="spellStart"/>
      <w:r w:rsidRPr="008505A3">
        <w:t>NEdu</w:t>
      </w:r>
      <w:proofErr w:type="spellEnd"/>
      <w:r w:rsidRPr="008505A3">
        <w:t>/IFMA Campus São Luís Maracanã. E-mail: rita.nascimento@ifma.edu.br.</w:t>
      </w:r>
    </w:p>
    <w:p w14:paraId="44155F5E" w14:textId="77777777" w:rsidR="001B340A" w:rsidRDefault="001B340A" w:rsidP="001B340A">
      <w:pPr>
        <w:pStyle w:val="Textodenotaderodap"/>
      </w:pPr>
    </w:p>
  </w:footnote>
  <w:footnote w:id="5">
    <w:p w14:paraId="73BDFD6F" w14:textId="77777777" w:rsidR="0073467F" w:rsidRPr="008505A3" w:rsidRDefault="0073467F" w:rsidP="0073467F">
      <w:pPr>
        <w:spacing w:line="240" w:lineRule="auto"/>
        <w:jc w:val="both"/>
        <w:rPr>
          <w:bCs/>
          <w:sz w:val="20"/>
          <w:szCs w:val="20"/>
        </w:rPr>
      </w:pPr>
      <w:r w:rsidRPr="008505A3">
        <w:rPr>
          <w:rStyle w:val="Refdenotaderodap"/>
          <w:sz w:val="20"/>
          <w:szCs w:val="20"/>
        </w:rPr>
        <w:footnoteRef/>
      </w:r>
      <w:r w:rsidRPr="008505A3">
        <w:rPr>
          <w:sz w:val="20"/>
          <w:szCs w:val="20"/>
        </w:rPr>
        <w:t xml:space="preserve"> Doutora em Políticas Públicas pelo Programa de Pós Graduação em Políticas Públicas (UFMA). </w:t>
      </w:r>
      <w:r w:rsidRPr="008505A3">
        <w:rPr>
          <w:bCs/>
          <w:sz w:val="20"/>
          <w:szCs w:val="20"/>
        </w:rPr>
        <w:t>Professora do Instituto Federal de Educação (IFMA)/ Campus Monte Castelo. Membro do grupo de Trabalho, Estudos e Pesquisas em Educação - GT Educação. E-mail: mmacedope@gmail.com.</w:t>
      </w:r>
    </w:p>
    <w:p w14:paraId="5AB0842F" w14:textId="77777777" w:rsidR="0073467F" w:rsidRPr="008505A3" w:rsidRDefault="0073467F" w:rsidP="0073467F">
      <w:pPr>
        <w:pStyle w:val="Textodenotaderodap"/>
      </w:pPr>
    </w:p>
  </w:footnote>
  <w:footnote w:id="6">
    <w:p w14:paraId="0049768F" w14:textId="77777777" w:rsidR="00A73C52" w:rsidRPr="008505A3" w:rsidRDefault="00A73C52" w:rsidP="00A73C52">
      <w:pPr>
        <w:spacing w:line="240" w:lineRule="auto"/>
        <w:jc w:val="both"/>
        <w:rPr>
          <w:sz w:val="20"/>
          <w:szCs w:val="20"/>
        </w:rPr>
      </w:pPr>
      <w:r w:rsidRPr="009166BF">
        <w:rPr>
          <w:rStyle w:val="Refdenotaderodap"/>
          <w:sz w:val="20"/>
          <w:szCs w:val="20"/>
        </w:rPr>
        <w:footnoteRef/>
      </w:r>
      <w:r w:rsidRPr="009166BF">
        <w:rPr>
          <w:sz w:val="20"/>
          <w:szCs w:val="20"/>
        </w:rPr>
        <w:t xml:space="preserve"> </w:t>
      </w:r>
      <w:r w:rsidRPr="008505A3">
        <w:rPr>
          <w:rStyle w:val="fontstyle01"/>
          <w:sz w:val="20"/>
          <w:szCs w:val="20"/>
        </w:rPr>
        <w:t xml:space="preserve">Doutora em Educação em Ciências e Matemática da Rede Amazônica de Educação em Ciências e Matemática (REAMEC). Professora do Curso de Licenciatura em Educação do Campo - </w:t>
      </w:r>
      <w:proofErr w:type="spellStart"/>
      <w:r w:rsidRPr="008505A3">
        <w:rPr>
          <w:rStyle w:val="fontstyle01"/>
          <w:sz w:val="20"/>
          <w:szCs w:val="20"/>
        </w:rPr>
        <w:t>CCBa</w:t>
      </w:r>
      <w:proofErr w:type="spellEnd"/>
      <w:r w:rsidRPr="008505A3">
        <w:rPr>
          <w:rStyle w:val="fontstyle01"/>
          <w:sz w:val="20"/>
          <w:szCs w:val="20"/>
        </w:rPr>
        <w:t xml:space="preserve">/UFMA. Integra o Grupo de Estudos e Pesquisas sobre Políticas Públicas de Educação- PPGPP/UFMA. </w:t>
      </w:r>
      <w:r>
        <w:rPr>
          <w:rStyle w:val="fontstyle01"/>
          <w:sz w:val="20"/>
          <w:szCs w:val="20"/>
        </w:rPr>
        <w:t xml:space="preserve">Coordenadora da Mesa Temática Coordenada. </w:t>
      </w:r>
      <w:r w:rsidRPr="008505A3">
        <w:rPr>
          <w:rStyle w:val="fontstyle01"/>
          <w:sz w:val="20"/>
          <w:szCs w:val="20"/>
        </w:rPr>
        <w:t>E-mail: dc.diniz@ufma.br.</w:t>
      </w:r>
    </w:p>
    <w:p w14:paraId="1D560187" w14:textId="77777777" w:rsidR="00A73C52" w:rsidRPr="008505A3" w:rsidRDefault="00A73C52" w:rsidP="00A73C52">
      <w:pPr>
        <w:pStyle w:val="Textodenotaderodap"/>
        <w:spacing w:line="240" w:lineRule="auto"/>
        <w:jc w:val="both"/>
      </w:pPr>
    </w:p>
  </w:footnote>
  <w:footnote w:id="7">
    <w:p w14:paraId="078546A7" w14:textId="77777777" w:rsidR="00A73C52" w:rsidRPr="008505A3" w:rsidRDefault="00A73C52" w:rsidP="00A73C52">
      <w:pPr>
        <w:pStyle w:val="Textodenotaderodap"/>
      </w:pPr>
      <w:r w:rsidRPr="008505A3">
        <w:rPr>
          <w:rStyle w:val="Refdenotaderodap"/>
        </w:rPr>
        <w:footnoteRef/>
      </w:r>
      <w:r w:rsidRPr="008505A3">
        <w:t xml:space="preserve"> Doutor em Educação pela Universidade de Brasília, graduado em Licenciatura em Educação do Campo e Pedagogia. Professor do </w:t>
      </w:r>
      <w:r>
        <w:t>C</w:t>
      </w:r>
      <w:r w:rsidRPr="008505A3">
        <w:t xml:space="preserve">urso de Licenciatura em Educação do Campo- </w:t>
      </w:r>
      <w:proofErr w:type="spellStart"/>
      <w:r w:rsidRPr="008505A3">
        <w:t>CCBa</w:t>
      </w:r>
      <w:proofErr w:type="spellEnd"/>
      <w:r w:rsidRPr="008505A3">
        <w:t xml:space="preserve">/UFMA. E-mail: </w:t>
      </w:r>
      <w:hyperlink r:id="rId2" w:history="1">
        <w:r w:rsidRPr="008505A3">
          <w:rPr>
            <w:rStyle w:val="Hyperlink"/>
          </w:rPr>
          <w:t>pedro.xavier@ufma.br</w:t>
        </w:r>
      </w:hyperlink>
    </w:p>
    <w:p w14:paraId="1EF435C8" w14:textId="77777777" w:rsidR="00A73C52" w:rsidRPr="008505A3" w:rsidRDefault="00A73C52" w:rsidP="00A73C52">
      <w:pPr>
        <w:pStyle w:val="Textodenotaderodap"/>
      </w:pPr>
    </w:p>
  </w:footnote>
  <w:footnote w:id="8">
    <w:p w14:paraId="1D493CF8" w14:textId="77777777" w:rsidR="0073467F" w:rsidRDefault="0073467F" w:rsidP="0073467F">
      <w:pPr>
        <w:pStyle w:val="Textodenotaderodap"/>
        <w:jc w:val="both"/>
        <w:rPr>
          <w:rFonts w:ascii="Times New Roman" w:eastAsia="Times New Roman" w:hAnsi="Times New Roman"/>
        </w:rPr>
      </w:pPr>
      <w:r>
        <w:rPr>
          <w:rStyle w:val="Refdenotaderodap"/>
        </w:rPr>
        <w:footnoteRef/>
      </w:r>
      <w:r>
        <w:t xml:space="preserve"> Professora de Educação/ IFMA. Doutora em História pela PPGH/UFF (2022). Mestre em Educação (PPGE/ UFMA). Graduada em Pedagogia/UFMA (2007). Graduada em História (2006). Integra o Núcleo de Estudos e Pesquisas em Educação, Diversidade e Prática Docente - </w:t>
      </w:r>
      <w:proofErr w:type="spellStart"/>
      <w:r>
        <w:t>NEdu</w:t>
      </w:r>
      <w:proofErr w:type="spellEnd"/>
      <w:r>
        <w:t xml:space="preserve">/IFMA. </w:t>
      </w:r>
      <w:hyperlink r:id="rId3" w:history="1">
        <w:r>
          <w:rPr>
            <w:rStyle w:val="Hyperlink"/>
          </w:rPr>
          <w:t>rita.nascimento@ifma.edu.br/</w:t>
        </w:r>
      </w:hyperlink>
      <w:r>
        <w:t xml:space="preserve"> </w:t>
      </w:r>
      <w:proofErr w:type="spellStart"/>
      <w:r>
        <w:t>Orcid</w:t>
      </w:r>
      <w:proofErr w:type="spellEnd"/>
      <w:r>
        <w:t xml:space="preserve">: </w:t>
      </w:r>
      <w:hyperlink r:id="rId4" w:history="1">
        <w:r>
          <w:rPr>
            <w:rStyle w:val="Hyperlink"/>
          </w:rPr>
          <w:t>https://orcid.org/0009-0006-1354-4842</w:t>
        </w:r>
      </w:hyperlink>
    </w:p>
    <w:p w14:paraId="1DB4B99B" w14:textId="77777777" w:rsidR="0073467F" w:rsidRDefault="0073467F" w:rsidP="0073467F">
      <w:pPr>
        <w:pStyle w:val="Textodenotaderodap"/>
        <w:jc w:val="both"/>
      </w:pPr>
    </w:p>
  </w:footnote>
  <w:footnote w:id="9">
    <w:p w14:paraId="6026A9C8" w14:textId="77777777" w:rsidR="00685D7F" w:rsidRPr="005C60D9" w:rsidRDefault="00685D7F" w:rsidP="00685D7F">
      <w:pPr>
        <w:pStyle w:val="Textodenotaderodap"/>
        <w:jc w:val="both"/>
      </w:pPr>
      <w:r w:rsidRPr="005C60D9">
        <w:rPr>
          <w:rStyle w:val="Refdenotaderodap"/>
          <w:rFonts w:eastAsiaTheme="majorEastAsia"/>
        </w:rPr>
        <w:footnoteRef/>
      </w:r>
      <w:r w:rsidRPr="005C60D9">
        <w:t xml:space="preserve"> JUNQUEIRA, Victor Hugo &amp; BEZERRA, Maria Cristina dos Santos. “Projetos Educacionais do Agronegócio: campo e cidade em questão”. In: ANAIS do Seminário do Grupo de Estudos e Pesquisas sobre Educação no Campo, UFSCAR, 2013. Pesquisado em: </w:t>
      </w:r>
      <w:hyperlink r:id="rId5" w:history="1">
        <w:r w:rsidRPr="005C60D9">
          <w:rPr>
            <w:rStyle w:val="Hyperlink"/>
          </w:rPr>
          <w:t>a32-projetos-educacionais-do-agronegocio-campo-e.pdf (ufscar.br)</w:t>
        </w:r>
      </w:hyperlink>
    </w:p>
  </w:footnote>
  <w:footnote w:id="10">
    <w:p w14:paraId="464C3971" w14:textId="77777777" w:rsidR="00685D7F" w:rsidRPr="005C60D9" w:rsidRDefault="00685D7F" w:rsidP="00685D7F">
      <w:pPr>
        <w:pStyle w:val="Textodenotaderodap"/>
        <w:jc w:val="both"/>
      </w:pPr>
      <w:r w:rsidRPr="005C60D9">
        <w:rPr>
          <w:rStyle w:val="Refdenotaderodap"/>
          <w:rFonts w:eastAsiaTheme="majorEastAsia"/>
        </w:rPr>
        <w:footnoteRef/>
      </w:r>
      <w:r w:rsidRPr="005C60D9">
        <w:t xml:space="preserve"> </w:t>
      </w:r>
      <w:hyperlink r:id="rId6" w:history="1">
        <w:r w:rsidRPr="005C60D9">
          <w:rPr>
            <w:rStyle w:val="Hyperlink"/>
          </w:rPr>
          <w:t>Professora do Mato Grosso do Sul é coagida por "menosprezar agronegócio" em sala de aula (ojoioeotrigo.com.br)</w:t>
        </w:r>
      </w:hyperlink>
    </w:p>
  </w:footnote>
  <w:footnote w:id="11">
    <w:p w14:paraId="75449171" w14:textId="77777777" w:rsidR="00685D7F" w:rsidRPr="005C60D9" w:rsidRDefault="00685D7F" w:rsidP="00685D7F">
      <w:pPr>
        <w:pStyle w:val="Textodenotaderodap"/>
      </w:pPr>
      <w:r w:rsidRPr="005C60D9">
        <w:rPr>
          <w:rStyle w:val="Refdenotaderodap"/>
          <w:rFonts w:eastAsiaTheme="majorEastAsia"/>
        </w:rPr>
        <w:footnoteRef/>
      </w:r>
      <w:r w:rsidRPr="005C60D9">
        <w:t xml:space="preserve"> Boletim informativo , sistema FAEP, ano XXIV.</w:t>
      </w:r>
    </w:p>
  </w:footnote>
  <w:footnote w:id="12">
    <w:p w14:paraId="628CA3BE" w14:textId="77777777" w:rsidR="00685D7F" w:rsidRPr="005C60D9" w:rsidRDefault="00685D7F" w:rsidP="00685D7F">
      <w:pPr>
        <w:pStyle w:val="xmsonormal"/>
        <w:shd w:val="clear" w:color="auto" w:fill="FFFFFF"/>
        <w:spacing w:before="0" w:beforeAutospacing="0" w:after="0" w:afterAutospacing="0"/>
        <w:textAlignment w:val="baseline"/>
        <w:rPr>
          <w:color w:val="201F1E"/>
          <w:sz w:val="20"/>
          <w:szCs w:val="20"/>
        </w:rPr>
      </w:pPr>
      <w:r w:rsidRPr="005C60D9">
        <w:rPr>
          <w:rStyle w:val="Refdenotaderodap"/>
          <w:rFonts w:eastAsiaTheme="majorEastAsia"/>
        </w:rPr>
        <w:footnoteRef/>
      </w:r>
      <w:r w:rsidRPr="005C60D9">
        <w:t xml:space="preserve"> </w:t>
      </w:r>
      <w:r w:rsidRPr="005C60D9">
        <w:rPr>
          <w:color w:val="000000"/>
          <w:sz w:val="20"/>
          <w:szCs w:val="20"/>
          <w:bdr w:val="none" w:sz="0" w:space="0" w:color="auto" w:frame="1"/>
        </w:rPr>
        <w:t>Fonte</w:t>
      </w:r>
      <w:r w:rsidRPr="005C60D9">
        <w:rPr>
          <w:color w:val="000000"/>
          <w:bdr w:val="none" w:sz="0" w:space="0" w:color="auto" w:frame="1"/>
        </w:rPr>
        <w:t xml:space="preserve">: </w:t>
      </w:r>
      <w:hyperlink r:id="rId7" w:history="1">
        <w:r w:rsidRPr="005C60D9">
          <w:rPr>
            <w:rStyle w:val="Hyperlink"/>
            <w:sz w:val="20"/>
            <w:szCs w:val="20"/>
            <w:bdr w:val="none" w:sz="0" w:space="0" w:color="auto" w:frame="1"/>
          </w:rPr>
          <w:t>http://assesoar.org.br/wp-content/uploads/2013/08/Carta-de-Candoi2.pdf</w:t>
        </w:r>
      </w:hyperlink>
      <w:r w:rsidRPr="005C60D9">
        <w:rPr>
          <w:color w:val="000000"/>
          <w:sz w:val="20"/>
          <w:szCs w:val="20"/>
          <w:bdr w:val="none" w:sz="0" w:space="0" w:color="auto" w:frame="1"/>
        </w:rPr>
        <w:t> </w:t>
      </w:r>
    </w:p>
  </w:footnote>
  <w:footnote w:id="13">
    <w:p w14:paraId="4872AE6D" w14:textId="77777777" w:rsidR="00685D7F" w:rsidRPr="005C60D9" w:rsidRDefault="00685D7F" w:rsidP="00685D7F">
      <w:pPr>
        <w:pStyle w:val="Textodenotaderodap"/>
        <w:jc w:val="both"/>
      </w:pPr>
      <w:r w:rsidRPr="005C60D9">
        <w:rPr>
          <w:rStyle w:val="Refdenotaderodap"/>
          <w:rFonts w:eastAsiaTheme="majorEastAsia"/>
        </w:rPr>
        <w:footnoteRef/>
      </w:r>
      <w:r w:rsidRPr="005C60D9">
        <w:t xml:space="preserve"> Em 19 de abril de 2016, o CME recebeu em plenária o superintendente do Senar, o diretor do Sindicato Rural de Cascavel, assessores técnicos das instituições e assessora pedagógica, que explanaram sobre o </w:t>
      </w:r>
      <w:proofErr w:type="spellStart"/>
      <w:r w:rsidRPr="005C60D9">
        <w:t>Agrinho</w:t>
      </w:r>
      <w:proofErr w:type="spellEnd"/>
      <w:r w:rsidRPr="005C60D9">
        <w:t xml:space="preserve">. Após apresentação do grupo, a Câmara de Legislação e Normas apresentou ao Conselho Pleno um parecer que indicava a proibição da utilização do material do </w:t>
      </w:r>
      <w:proofErr w:type="spellStart"/>
      <w:r w:rsidRPr="005C60D9">
        <w:t>Agrinho</w:t>
      </w:r>
      <w:proofErr w:type="spellEnd"/>
      <w:r w:rsidRPr="005C60D9">
        <w:t xml:space="preserve"> nas escolas.</w:t>
      </w:r>
    </w:p>
  </w:footnote>
  <w:footnote w:id="14">
    <w:p w14:paraId="729A75D8" w14:textId="77777777" w:rsidR="00685D7F" w:rsidRPr="005C60D9" w:rsidRDefault="00685D7F" w:rsidP="00685D7F">
      <w:pPr>
        <w:pStyle w:val="Textodenotaderodap"/>
      </w:pPr>
      <w:r w:rsidRPr="005C60D9">
        <w:rPr>
          <w:rStyle w:val="Refdenotaderodap"/>
          <w:rFonts w:eastAsiaTheme="majorEastAsia"/>
        </w:rPr>
        <w:footnoteRef/>
      </w:r>
      <w:r w:rsidRPr="005C60D9">
        <w:t xml:space="preserve"> Em 2017 , foi provado por unanimidade o Parecer CME 01/2017, sobre utilização do Programa </w:t>
      </w:r>
      <w:proofErr w:type="spellStart"/>
      <w:r w:rsidRPr="005C60D9">
        <w:t>Agrinho</w:t>
      </w:r>
      <w:proofErr w:type="spellEnd"/>
      <w:r w:rsidRPr="005C60D9">
        <w:t xml:space="preserve"> pelas Escolas da Rede Pública Municipal de Ensino de Cascavel. Em 12 de abril de 2019, é publicado o Parecer  CME 12/2019 e a Deliberação CME 01/2019 regulamentando o banimento do uso do programa </w:t>
      </w:r>
      <w:proofErr w:type="spellStart"/>
      <w:r w:rsidRPr="005C60D9">
        <w:t>Agrinho</w:t>
      </w:r>
      <w:proofErr w:type="spellEnd"/>
      <w:r w:rsidRPr="005C60D9">
        <w:t xml:space="preserve"> na rede municipal de educação de Cascavel</w:t>
      </w:r>
    </w:p>
  </w:footnote>
  <w:footnote w:id="15">
    <w:p w14:paraId="2AA7CF0A" w14:textId="77777777" w:rsidR="00685D7F" w:rsidRPr="005C60D9" w:rsidRDefault="00685D7F" w:rsidP="00685D7F">
      <w:pPr>
        <w:pStyle w:val="xmsonormal"/>
        <w:shd w:val="clear" w:color="auto" w:fill="FFFFFF"/>
        <w:spacing w:before="0" w:beforeAutospacing="0" w:after="0" w:afterAutospacing="0"/>
        <w:textAlignment w:val="baseline"/>
        <w:rPr>
          <w:color w:val="201F1E"/>
          <w:sz w:val="20"/>
          <w:szCs w:val="20"/>
        </w:rPr>
      </w:pPr>
      <w:r w:rsidRPr="005C60D9">
        <w:rPr>
          <w:rStyle w:val="Refdenotaderodap"/>
          <w:rFonts w:eastAsiaTheme="majorEastAsia"/>
          <w:sz w:val="20"/>
          <w:szCs w:val="20"/>
        </w:rPr>
        <w:footnoteRef/>
      </w:r>
      <w:r w:rsidRPr="005C60D9">
        <w:rPr>
          <w:sz w:val="20"/>
          <w:szCs w:val="20"/>
        </w:rPr>
        <w:t xml:space="preserve"> </w:t>
      </w:r>
      <w:r w:rsidRPr="005C60D9">
        <w:rPr>
          <w:color w:val="201F1E"/>
          <w:sz w:val="20"/>
          <w:szCs w:val="20"/>
        </w:rPr>
        <w:t xml:space="preserve">No mês de abril de 2018 o mandato do vereador Paulo Porto é acusado judicialmente pela FAEP por difamar o Programa </w:t>
      </w:r>
      <w:proofErr w:type="spellStart"/>
      <w:r w:rsidRPr="005C60D9">
        <w:rPr>
          <w:color w:val="201F1E"/>
          <w:sz w:val="20"/>
          <w:szCs w:val="20"/>
        </w:rPr>
        <w:t>Agrinho</w:t>
      </w:r>
      <w:proofErr w:type="spellEnd"/>
      <w:r w:rsidRPr="005C60D9">
        <w:rPr>
          <w:color w:val="201F1E"/>
          <w:sz w:val="20"/>
          <w:szCs w:val="20"/>
        </w:rPr>
        <w:t>. Ver sobre em </w:t>
      </w:r>
      <w:hyperlink r:id="rId8" w:tgtFrame="_blank" w:history="1">
        <w:r w:rsidRPr="005C60D9">
          <w:rPr>
            <w:rStyle w:val="Hyperlink"/>
            <w:sz w:val="20"/>
            <w:szCs w:val="20"/>
            <w:bdr w:val="none" w:sz="0" w:space="0" w:color="auto" w:frame="1"/>
          </w:rPr>
          <w:t>https://pauloporto.com.br/noticias/porto-denuncia-agrinho/</w:t>
        </w:r>
      </w:hyperlink>
      <w:r w:rsidRPr="005C60D9">
        <w:rPr>
          <w:color w:val="201F1E"/>
          <w:sz w:val="20"/>
          <w:szCs w:val="20"/>
        </w:rPr>
        <w:t>;</w:t>
      </w:r>
    </w:p>
  </w:footnote>
  <w:footnote w:id="16">
    <w:p w14:paraId="02BE77F2" w14:textId="77777777" w:rsidR="00685D7F" w:rsidRPr="005C60D9" w:rsidRDefault="00685D7F" w:rsidP="00685D7F">
      <w:pPr>
        <w:pStyle w:val="Textodenotaderodap"/>
      </w:pPr>
      <w:r w:rsidRPr="005C60D9">
        <w:rPr>
          <w:rStyle w:val="Refdenotaderodap"/>
          <w:rFonts w:eastAsiaTheme="majorEastAsia"/>
        </w:rPr>
        <w:footnoteRef/>
      </w:r>
      <w:r w:rsidRPr="005C60D9">
        <w:t xml:space="preserve"> “Ato contra o Agronegócio e  o Programa </w:t>
      </w:r>
      <w:proofErr w:type="spellStart"/>
      <w:r w:rsidRPr="005C60D9">
        <w:t>Agrinho</w:t>
      </w:r>
      <w:proofErr w:type="spellEnd"/>
      <w:r w:rsidRPr="005C60D9">
        <w:t xml:space="preserve">”. Fonte: </w:t>
      </w:r>
      <w:hyperlink r:id="rId9" w:history="1">
        <w:r w:rsidRPr="005C60D9">
          <w:rPr>
            <w:rStyle w:val="Hyperlink"/>
            <w:bdr w:val="none" w:sz="0" w:space="0" w:color="auto" w:frame="1"/>
          </w:rPr>
          <w:t>https://www.youtube.com/watch?v=WwTcacw0ih8</w:t>
        </w:r>
      </w:hyperlink>
      <w:r w:rsidRPr="005C60D9">
        <w:t xml:space="preserve"> </w:t>
      </w:r>
    </w:p>
  </w:footnote>
  <w:footnote w:id="17">
    <w:p w14:paraId="600C3310" w14:textId="77777777" w:rsidR="00685D7F" w:rsidRPr="005C60D9" w:rsidRDefault="00685D7F" w:rsidP="00685D7F">
      <w:pPr>
        <w:pStyle w:val="Textodenotaderodap"/>
      </w:pPr>
      <w:r w:rsidRPr="005C60D9">
        <w:rPr>
          <w:rStyle w:val="Refdenotaderodap"/>
          <w:rFonts w:eastAsiaTheme="majorEastAsia"/>
        </w:rPr>
        <w:footnoteRef/>
      </w:r>
      <w:r w:rsidRPr="005C60D9">
        <w:t xml:space="preserve"> Fonte: </w:t>
      </w:r>
      <w:hyperlink r:id="rId10" w:history="1">
        <w:r w:rsidRPr="005C60D9">
          <w:rPr>
            <w:rStyle w:val="Hyperlink"/>
          </w:rPr>
          <w:t xml:space="preserve">Ações Agroecológicas: Reenviado por </w:t>
        </w:r>
        <w:proofErr w:type="spellStart"/>
        <w:r w:rsidRPr="005C60D9">
          <w:rPr>
            <w:rStyle w:val="Hyperlink"/>
          </w:rPr>
          <w:t>Jhonatan</w:t>
        </w:r>
        <w:proofErr w:type="spellEnd"/>
        <w:r w:rsidRPr="005C60D9">
          <w:rPr>
            <w:rStyle w:val="Hyperlink"/>
          </w:rPr>
          <w:t xml:space="preserve"> : AGRINHO (acoesagroecologicas.blogspot.com)</w:t>
        </w:r>
      </w:hyperlink>
    </w:p>
  </w:footnote>
  <w:footnote w:id="18">
    <w:p w14:paraId="4F0FD6D6" w14:textId="77777777" w:rsidR="00685D7F" w:rsidRPr="005C60D9" w:rsidRDefault="00685D7F" w:rsidP="00685D7F">
      <w:pPr>
        <w:pStyle w:val="Textodenotaderodap"/>
        <w:jc w:val="both"/>
      </w:pPr>
      <w:r w:rsidRPr="005C60D9">
        <w:rPr>
          <w:rStyle w:val="Refdenotaderodap"/>
          <w:rFonts w:eastAsiaTheme="majorEastAsia"/>
        </w:rPr>
        <w:footnoteRef/>
      </w:r>
      <w:r w:rsidRPr="005C60D9">
        <w:t xml:space="preserve"> Vídeo Institucional: </w:t>
      </w:r>
      <w:hyperlink r:id="rId11" w:history="1">
        <w:r w:rsidRPr="005C60D9">
          <w:t>(173) Projeto Escola Viva - YouTube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5B85" w14:textId="21FF1646" w:rsidR="00FF4348" w:rsidRDefault="00F04435">
    <w:r>
      <w:rPr>
        <w:noProof/>
      </w:rPr>
      <w:drawing>
        <wp:anchor distT="114300" distB="114300" distL="114300" distR="114300" simplePos="0" relativeHeight="251657728" behindDoc="1" locked="0" layoutInCell="1" allowOverlap="1" wp14:anchorId="08D3F558" wp14:editId="6CEED8C6">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7D0335"/>
    <w:multiLevelType w:val="hybridMultilevel"/>
    <w:tmpl w:val="884418F6"/>
    <w:lvl w:ilvl="0" w:tplc="4280B2B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F2093"/>
    <w:rsid w:val="001561D6"/>
    <w:rsid w:val="001B340A"/>
    <w:rsid w:val="00292980"/>
    <w:rsid w:val="002B22E3"/>
    <w:rsid w:val="0047313C"/>
    <w:rsid w:val="004B52C6"/>
    <w:rsid w:val="004D7EF9"/>
    <w:rsid w:val="004F776F"/>
    <w:rsid w:val="005416AA"/>
    <w:rsid w:val="00572A02"/>
    <w:rsid w:val="005C4655"/>
    <w:rsid w:val="005E17E2"/>
    <w:rsid w:val="00612841"/>
    <w:rsid w:val="00685D7F"/>
    <w:rsid w:val="00711AAD"/>
    <w:rsid w:val="00716A90"/>
    <w:rsid w:val="00721D14"/>
    <w:rsid w:val="0073467F"/>
    <w:rsid w:val="008E0EAA"/>
    <w:rsid w:val="00904790"/>
    <w:rsid w:val="009E4B1C"/>
    <w:rsid w:val="00A669C2"/>
    <w:rsid w:val="00A73C52"/>
    <w:rsid w:val="00B13DCB"/>
    <w:rsid w:val="00B73CC1"/>
    <w:rsid w:val="00BB06AC"/>
    <w:rsid w:val="00BC7C70"/>
    <w:rsid w:val="00C834D8"/>
    <w:rsid w:val="00D424E2"/>
    <w:rsid w:val="00D81951"/>
    <w:rsid w:val="00E64E46"/>
    <w:rsid w:val="00F04435"/>
    <w:rsid w:val="00F2735F"/>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E8846"/>
  <w15:docId w15:val="{2E4BD9E2-ED73-440E-ABF5-2D37D340A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customStyle="1" w:styleId="fontstyle01">
    <w:name w:val="fontstyle01"/>
    <w:rsid w:val="001561D6"/>
    <w:rPr>
      <w:rFonts w:ascii="Arial" w:hAnsi="Arial" w:cs="Arial" w:hint="default"/>
      <w:b w:val="0"/>
      <w:bCs w:val="0"/>
      <w:i w:val="0"/>
      <w:iCs w:val="0"/>
      <w:color w:val="000000"/>
      <w:sz w:val="22"/>
      <w:szCs w:val="22"/>
    </w:rPr>
  </w:style>
  <w:style w:type="paragraph" w:styleId="SemEspaamento">
    <w:name w:val="No Spacing"/>
    <w:uiPriority w:val="1"/>
    <w:qFormat/>
    <w:rsid w:val="001561D6"/>
    <w:pPr>
      <w:spacing w:before="160" w:after="160"/>
      <w:ind w:left="2268"/>
      <w:jc w:val="both"/>
    </w:pPr>
    <w:rPr>
      <w:rFonts w:ascii="Times New Roman" w:eastAsia="Calibri" w:hAnsi="Times New Roman" w:cs="Times New Roman"/>
      <w:szCs w:val="22"/>
      <w:lang w:val="pt-PT" w:eastAsia="en-US"/>
    </w:rPr>
  </w:style>
  <w:style w:type="character" w:styleId="Refdecomentrio">
    <w:name w:val="annotation reference"/>
    <w:uiPriority w:val="99"/>
    <w:semiHidden/>
    <w:unhideWhenUsed/>
    <w:rsid w:val="001561D6"/>
    <w:rPr>
      <w:sz w:val="16"/>
      <w:szCs w:val="16"/>
    </w:rPr>
  </w:style>
  <w:style w:type="paragraph" w:styleId="Textodecomentrio">
    <w:name w:val="annotation text"/>
    <w:basedOn w:val="Normal"/>
    <w:link w:val="TextodecomentrioChar"/>
    <w:uiPriority w:val="99"/>
    <w:unhideWhenUsed/>
    <w:rsid w:val="001561D6"/>
    <w:rPr>
      <w:sz w:val="20"/>
      <w:szCs w:val="20"/>
    </w:rPr>
  </w:style>
  <w:style w:type="character" w:customStyle="1" w:styleId="TextodecomentrioChar">
    <w:name w:val="Texto de comentário Char"/>
    <w:basedOn w:val="Fontepargpadro"/>
    <w:link w:val="Textodecomentrio"/>
    <w:uiPriority w:val="99"/>
    <w:rsid w:val="001561D6"/>
  </w:style>
  <w:style w:type="paragraph" w:styleId="Assuntodocomentrio">
    <w:name w:val="annotation subject"/>
    <w:basedOn w:val="Textodecomentrio"/>
    <w:next w:val="Textodecomentrio"/>
    <w:link w:val="AssuntodocomentrioChar"/>
    <w:uiPriority w:val="99"/>
    <w:semiHidden/>
    <w:unhideWhenUsed/>
    <w:rsid w:val="001561D6"/>
    <w:rPr>
      <w:b/>
      <w:bCs/>
    </w:rPr>
  </w:style>
  <w:style w:type="character" w:customStyle="1" w:styleId="AssuntodocomentrioChar">
    <w:name w:val="Assunto do comentário Char"/>
    <w:link w:val="Assuntodocomentrio"/>
    <w:uiPriority w:val="99"/>
    <w:semiHidden/>
    <w:rsid w:val="001561D6"/>
    <w:rPr>
      <w:b/>
      <w:bCs/>
    </w:rPr>
  </w:style>
  <w:style w:type="paragraph" w:styleId="NormalWeb">
    <w:name w:val="Normal (Web)"/>
    <w:basedOn w:val="Normal"/>
    <w:uiPriority w:val="99"/>
    <w:unhideWhenUsed/>
    <w:rsid w:val="00572A02"/>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unhideWhenUsed/>
    <w:rsid w:val="001B340A"/>
    <w:rPr>
      <w:sz w:val="20"/>
      <w:szCs w:val="20"/>
    </w:rPr>
  </w:style>
  <w:style w:type="character" w:customStyle="1" w:styleId="TextodenotaderodapChar">
    <w:name w:val="Texto de nota de rodapé Char"/>
    <w:basedOn w:val="Fontepargpadro"/>
    <w:link w:val="Textodenotaderodap"/>
    <w:uiPriority w:val="99"/>
    <w:rsid w:val="001B340A"/>
  </w:style>
  <w:style w:type="character" w:styleId="Refdenotaderodap">
    <w:name w:val="footnote reference"/>
    <w:uiPriority w:val="99"/>
    <w:unhideWhenUsed/>
    <w:rsid w:val="001B340A"/>
    <w:rPr>
      <w:vertAlign w:val="superscript"/>
    </w:rPr>
  </w:style>
  <w:style w:type="character" w:styleId="Hyperlink">
    <w:name w:val="Hyperlink"/>
    <w:uiPriority w:val="99"/>
    <w:unhideWhenUsed/>
    <w:rsid w:val="001B340A"/>
    <w:rPr>
      <w:color w:val="0563C1"/>
      <w:u w:val="single"/>
    </w:rPr>
  </w:style>
  <w:style w:type="paragraph" w:customStyle="1" w:styleId="WW-BodyText2">
    <w:name w:val="WW-Body Text 2"/>
    <w:basedOn w:val="Normal"/>
    <w:rsid w:val="00612841"/>
    <w:pPr>
      <w:suppressAutoHyphens/>
      <w:overflowPunct w:val="0"/>
      <w:autoSpaceDE w:val="0"/>
      <w:spacing w:line="240" w:lineRule="auto"/>
      <w:ind w:firstLine="2381"/>
      <w:jc w:val="both"/>
      <w:textAlignment w:val="baseline"/>
    </w:pPr>
    <w:rPr>
      <w:rFonts w:eastAsia="Times New Roman" w:cs="Times New Roman"/>
      <w:sz w:val="20"/>
      <w:szCs w:val="20"/>
      <w:lang w:eastAsia="ar-SA"/>
    </w:rPr>
  </w:style>
  <w:style w:type="paragraph" w:styleId="PargrafodaLista">
    <w:name w:val="List Paragraph"/>
    <w:basedOn w:val="Normal"/>
    <w:uiPriority w:val="34"/>
    <w:qFormat/>
    <w:rsid w:val="00612841"/>
    <w:pPr>
      <w:spacing w:after="200"/>
      <w:ind w:left="720"/>
      <w:contextualSpacing/>
    </w:pPr>
    <w:rPr>
      <w:rFonts w:asciiTheme="minorHAnsi" w:eastAsiaTheme="minorHAnsi" w:hAnsiTheme="minorHAnsi" w:cstheme="minorBidi"/>
      <w:lang w:eastAsia="en-US"/>
    </w:rPr>
  </w:style>
  <w:style w:type="character" w:styleId="MenoPendente">
    <w:name w:val="Unresolved Mention"/>
    <w:basedOn w:val="Fontepargpadro"/>
    <w:uiPriority w:val="99"/>
    <w:semiHidden/>
    <w:unhideWhenUsed/>
    <w:rsid w:val="00C834D8"/>
    <w:rPr>
      <w:color w:val="605E5C"/>
      <w:shd w:val="clear" w:color="auto" w:fill="E1DFDD"/>
    </w:rPr>
  </w:style>
  <w:style w:type="character" w:customStyle="1" w:styleId="apple-converted-space">
    <w:name w:val="apple-converted-space"/>
    <w:basedOn w:val="Fontepargpadro"/>
    <w:rsid w:val="00685D7F"/>
  </w:style>
  <w:style w:type="paragraph" w:customStyle="1" w:styleId="Standard">
    <w:name w:val="Standard"/>
    <w:rsid w:val="00685D7F"/>
    <w:pPr>
      <w:widowControl w:val="0"/>
      <w:suppressAutoHyphens/>
      <w:autoSpaceDN w:val="0"/>
      <w:textAlignment w:val="baseline"/>
    </w:pPr>
    <w:rPr>
      <w:rFonts w:ascii="Calibri" w:eastAsia="Segoe UI" w:hAnsi="Calibri" w:cs="Tahoma"/>
      <w:color w:val="000000"/>
      <w:kern w:val="3"/>
      <w:sz w:val="24"/>
      <w:szCs w:val="24"/>
    </w:rPr>
  </w:style>
  <w:style w:type="paragraph" w:customStyle="1" w:styleId="xmsonormal">
    <w:name w:val="x_msonormal"/>
    <w:basedOn w:val="Normal"/>
    <w:rsid w:val="00685D7F"/>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styleId="Forte">
    <w:name w:val="Strong"/>
    <w:basedOn w:val="Fontepargpadro"/>
    <w:uiPriority w:val="22"/>
    <w:qFormat/>
    <w:rsid w:val="00685D7F"/>
    <w:rPr>
      <w:b/>
      <w:bCs/>
    </w:rPr>
  </w:style>
  <w:style w:type="character" w:styleId="nfase">
    <w:name w:val="Emphasis"/>
    <w:basedOn w:val="Fontepargpadro"/>
    <w:uiPriority w:val="20"/>
    <w:qFormat/>
    <w:rsid w:val="00685D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13277">
      <w:bodyDiv w:val="1"/>
      <w:marLeft w:val="0"/>
      <w:marRight w:val="0"/>
      <w:marTop w:val="0"/>
      <w:marBottom w:val="0"/>
      <w:divBdr>
        <w:top w:val="none" w:sz="0" w:space="0" w:color="auto"/>
        <w:left w:val="none" w:sz="0" w:space="0" w:color="auto"/>
        <w:bottom w:val="none" w:sz="0" w:space="0" w:color="auto"/>
        <w:right w:val="none" w:sz="0" w:space="0" w:color="auto"/>
      </w:divBdr>
    </w:div>
    <w:div w:id="2060082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fopa.edu.br/portaldeperiodicos/index.php/revistaexitus/article/view/61/61" TargetMode="External"/><Relationship Id="rId3" Type="http://schemas.openxmlformats.org/officeDocument/2006/relationships/settings" Target="settings.xml"/><Relationship Id="rId7" Type="http://schemas.openxmlformats.org/officeDocument/2006/relationships/hyperlink" Target="https://www.univali.br/pos/mestrado/mestrado-em-gestao-de-politicas-publicas/processo-seletivo/SiteAssets/Paginas/default/RUA.pdf.Acess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auloporto.com.br/noticias/porto-denuncia-agrinho/" TargetMode="External"/><Relationship Id="rId3" Type="http://schemas.openxmlformats.org/officeDocument/2006/relationships/hyperlink" Target="mailto:rita.nascimento@ifma.edu.br/" TargetMode="External"/><Relationship Id="rId7" Type="http://schemas.openxmlformats.org/officeDocument/2006/relationships/hyperlink" Target="http://assesoar.org.br/wp-content/uploads/2013/08/Carta-de-Candoi2.pdf" TargetMode="External"/><Relationship Id="rId2" Type="http://schemas.openxmlformats.org/officeDocument/2006/relationships/hyperlink" Target="mailto:pedro.xavier@ufma.br" TargetMode="External"/><Relationship Id="rId1" Type="http://schemas.openxmlformats.org/officeDocument/2006/relationships/hyperlink" Target="mailto:pedro.xavier@ufma.br" TargetMode="External"/><Relationship Id="rId6" Type="http://schemas.openxmlformats.org/officeDocument/2006/relationships/hyperlink" Target="https://ojoioeotrigo.com.br/2021/12/professora-do-mato-grosso-do-sul-e-coagida-por-menosprezar-agronegocio-em-sala-de-aula/" TargetMode="External"/><Relationship Id="rId11" Type="http://schemas.openxmlformats.org/officeDocument/2006/relationships/hyperlink" Target="about:blank" TargetMode="External"/><Relationship Id="rId5" Type="http://schemas.openxmlformats.org/officeDocument/2006/relationships/hyperlink" Target="https://www.gepec.ufscar.br/publicacoes/publicacoes-seminarios-do-gepec/seminarios-de-2013/1-educacao-do-campo-movimentos-sociais-e-politicas-publicas/a32-projetos-educacionais-do-agronegocio-campo-e.pdf" TargetMode="External"/><Relationship Id="rId10" Type="http://schemas.openxmlformats.org/officeDocument/2006/relationships/hyperlink" Target="http://acoesagroecologicas.blogspot.com/2011/05/reenviado-por-jhonatan-agrinho.html" TargetMode="External"/><Relationship Id="rId4" Type="http://schemas.openxmlformats.org/officeDocument/2006/relationships/hyperlink" Target="https://orcid.org/0009-0006-1354-4842" TargetMode="External"/><Relationship Id="rId9" Type="http://schemas.openxmlformats.org/officeDocument/2006/relationships/hyperlink" Target="https://www.youtube.com/watch?v=WwTcacw0ih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11735</Words>
  <Characters>63374</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74960</CharactersWithSpaces>
  <SharedDoc>false</SharedDoc>
  <HLinks>
    <vt:vector size="6" baseType="variant">
      <vt:variant>
        <vt:i4>5701695</vt:i4>
      </vt:variant>
      <vt:variant>
        <vt:i4>0</vt:i4>
      </vt:variant>
      <vt:variant>
        <vt:i4>0</vt:i4>
      </vt:variant>
      <vt:variant>
        <vt:i4>5</vt:i4>
      </vt:variant>
      <vt:variant>
        <vt:lpwstr>mailto:pedro.xavier@ufma.br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Revista de Políticas Públicas RPP</cp:lastModifiedBy>
  <cp:revision>2</cp:revision>
  <dcterms:created xsi:type="dcterms:W3CDTF">2025-12-15T16:25:00Z</dcterms:created>
  <dcterms:modified xsi:type="dcterms:W3CDTF">2025-12-15T16:25:00Z</dcterms:modified>
</cp:coreProperties>
</file>