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360"/>
        <w:jc w:val="left"/>
        <w:rPr>
          <w:position w:val="0"/>
          <w:sz w:val="24"/>
          <w:sz w:val="24"/>
          <w:szCs w:val="24"/>
          <w:vertAlign w:val="baseline"/>
        </w:rPr>
      </w:pPr>
      <w:r>
        <w:rPr>
          <w:b/>
          <w:sz w:val="24"/>
          <w:szCs w:val="24"/>
        </w:rPr>
        <w:t>DA CARIDADE AO DIREITO: OS AVANÇOS E RETROCESSOS DA POLÍTICA DE ASSISTÊNCIA SOCIAL NO BRASIL</w:t>
      </w:r>
    </w:p>
    <w:p>
      <w:pPr>
        <w:pStyle w:val="Normal1"/>
        <w:spacing w:lineRule="auto" w:line="360"/>
        <w:jc w:val="center"/>
        <w:rPr>
          <w:position w:val="0"/>
          <w:sz w:val="24"/>
          <w:sz w:val="24"/>
          <w:szCs w:val="24"/>
          <w:vertAlign w:val="baseline"/>
        </w:rPr>
      </w:pPr>
      <w:r>
        <w:rPr>
          <w:position w:val="0"/>
          <w:sz w:val="24"/>
          <w:sz w:val="24"/>
          <w:szCs w:val="24"/>
          <w:vertAlign w:val="baseline"/>
        </w:rPr>
      </w:r>
    </w:p>
    <w:p>
      <w:pPr>
        <w:pStyle w:val="Normal1"/>
        <w:keepNext w:val="false"/>
        <w:keepLines w:val="false"/>
        <w:pageBreakBefore w:val="false"/>
        <w:widowControl/>
        <w:pBdr/>
        <w:shd w:val="clear" w:fill="auto"/>
        <w:spacing w:lineRule="auto" w:line="240" w:before="0" w:after="0"/>
        <w:ind w:left="0" w:right="0" w:hanging="0"/>
        <w:jc w:val="right"/>
        <w:rPr>
          <w:rFonts w:ascii="Quattrocento Sans" w:hAnsi="Quattrocento Sans" w:eastAsia="Quattrocento Sans" w:cs="Quattrocento Sans"/>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 </w:t>
      </w:r>
      <w:r>
        <w:rPr>
          <w:rFonts w:eastAsia="Arial" w:cs="Arial"/>
          <w:b/>
          <w:i w:val="false"/>
          <w:caps w:val="false"/>
          <w:smallCaps w:val="false"/>
          <w:strike w:val="false"/>
          <w:dstrike w:val="false"/>
          <w:color w:val="000000"/>
          <w:position w:val="0"/>
          <w:sz w:val="22"/>
          <w:sz w:val="22"/>
          <w:szCs w:val="22"/>
          <w:u w:val="none"/>
          <w:shd w:fill="auto" w:val="clear"/>
          <w:vertAlign w:val="baseline"/>
        </w:rPr>
        <w:t>Francisca Lorrana dos Santos</w:t>
      </w:r>
      <w:r>
        <w:rPr>
          <w:rStyle w:val="Ncoradanotaderodap"/>
          <w:rFonts w:eastAsia="Quattrocento Sans" w:cs="Quattrocento Sans" w:ascii="Quattrocento Sans" w:hAnsi="Quattrocento Sans"/>
          <w:b w:val="false"/>
          <w:i w:val="false"/>
          <w:caps w:val="false"/>
          <w:smallCaps w:val="false"/>
          <w:strike w:val="false"/>
          <w:dstrike w:val="false"/>
          <w:color w:val="000000"/>
          <w:sz w:val="18"/>
          <w:szCs w:val="18"/>
          <w:u w:val="none"/>
          <w:shd w:fill="auto" w:val="clear"/>
          <w:vertAlign w:val="superscript"/>
        </w:rPr>
        <w:footnoteReference w:id="2"/>
      </w:r>
    </w:p>
    <w:p>
      <w:pPr>
        <w:pStyle w:val="Normal1"/>
        <w:keepNext w:val="false"/>
        <w:keepLines w:val="false"/>
        <w:pageBreakBefore w:val="false"/>
        <w:widowControl/>
        <w:pBdr/>
        <w:shd w:val="clear" w:fill="auto"/>
        <w:spacing w:lineRule="auto" w:line="240" w:before="0" w:after="0"/>
        <w:ind w:left="2835" w:right="0" w:hanging="0"/>
        <w:jc w:val="right"/>
        <w:rPr>
          <w:rFonts w:ascii="Quattrocento Sans" w:hAnsi="Quattrocento Sans" w:eastAsia="Quattrocento Sans" w:cs="Quattrocento Sans"/>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Joacaz Oliveira Santos</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w:t>
      </w:r>
      <w:r>
        <w:rPr>
          <w:rStyle w:val="Ncoradanotaderodap"/>
          <w:rFonts w:eastAsia="Quattrocento Sans" w:cs="Quattrocento Sans" w:ascii="Quattrocento Sans" w:hAnsi="Quattrocento Sans"/>
          <w:b w:val="false"/>
          <w:i w:val="false"/>
          <w:caps w:val="false"/>
          <w:smallCaps w:val="false"/>
          <w:strike w:val="false"/>
          <w:dstrike w:val="false"/>
          <w:color w:val="000000"/>
          <w:sz w:val="18"/>
          <w:szCs w:val="18"/>
          <w:u w:val="none"/>
          <w:shd w:fill="auto" w:val="clear"/>
          <w:vertAlign w:val="superscript"/>
        </w:rPr>
        <w:footnoteReference w:id="3"/>
      </w:r>
    </w:p>
    <w:p>
      <w:pPr>
        <w:pStyle w:val="Normal1"/>
        <w:keepNext w:val="false"/>
        <w:keepLines w:val="false"/>
        <w:pageBreakBefore w:val="false"/>
        <w:widowControl/>
        <w:pBdr/>
        <w:shd w:val="clear" w:fill="auto"/>
        <w:spacing w:lineRule="auto" w:line="240" w:before="0" w:after="0"/>
        <w:ind w:left="2835" w:right="0" w:hanging="0"/>
        <w:jc w:val="right"/>
        <w:rPr>
          <w:rFonts w:ascii="Quattrocento Sans" w:hAnsi="Quattrocento Sans" w:eastAsia="Quattrocento Sans" w:cs="Quattrocento Sans"/>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Tatyla Gomes de Carvalho</w:t>
      </w:r>
      <w:r>
        <w:rPr>
          <w:rStyle w:val="Ncoradanotaderodap"/>
          <w:rFonts w:eastAsia="Quattrocento Sans" w:cs="Quattrocento Sans" w:ascii="Quattrocento Sans" w:hAnsi="Quattrocento Sans"/>
          <w:b w:val="false"/>
          <w:i w:val="false"/>
          <w:caps w:val="false"/>
          <w:smallCaps w:val="false"/>
          <w:strike w:val="false"/>
          <w:dstrike w:val="false"/>
          <w:color w:val="000000"/>
          <w:sz w:val="18"/>
          <w:szCs w:val="18"/>
          <w:u w:val="none"/>
          <w:shd w:fill="auto" w:val="clear"/>
          <w:vertAlign w:val="superscript"/>
        </w:rPr>
        <w:footnoteReference w:id="4"/>
      </w:r>
    </w:p>
    <w:p>
      <w:pPr>
        <w:pStyle w:val="Normal1"/>
        <w:keepNext w:val="false"/>
        <w:keepLines w:val="false"/>
        <w:pageBreakBefore w:val="false"/>
        <w:widowControl/>
        <w:pBdr/>
        <w:shd w:val="clear" w:fill="auto"/>
        <w:spacing w:lineRule="auto" w:line="240" w:before="0" w:after="0"/>
        <w:ind w:left="2835" w:right="0" w:hanging="0"/>
        <w:jc w:val="right"/>
        <w:rPr>
          <w:rFonts w:ascii="Quattrocento Sans" w:hAnsi="Quattrocento Sans" w:eastAsia="Quattrocento Sans" w:cs="Quattrocento Sans"/>
          <w:b w:val="false"/>
          <w:b w:val="false"/>
          <w:i w:val="false"/>
          <w:i w:val="false"/>
          <w:caps w:val="false"/>
          <w:smallCaps w:val="false"/>
          <w:strike w:val="false"/>
          <w:dstrike w:val="false"/>
          <w:color w:val="000000"/>
          <w:position w:val="0"/>
          <w:sz w:val="18"/>
          <w:sz w:val="18"/>
          <w:szCs w:val="18"/>
          <w:u w:val="none"/>
          <w:shd w:fill="auto" w:val="clear"/>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 </w:t>
      </w:r>
      <w:r>
        <w:rPr>
          <w:rFonts w:eastAsia="Arial" w:cs="Arial"/>
          <w:b/>
          <w:i w:val="false"/>
          <w:caps w:val="false"/>
          <w:smallCaps w:val="false"/>
          <w:strike w:val="false"/>
          <w:dstrike w:val="false"/>
          <w:color w:val="000000"/>
          <w:position w:val="0"/>
          <w:sz w:val="22"/>
          <w:sz w:val="22"/>
          <w:szCs w:val="22"/>
          <w:u w:val="none"/>
          <w:shd w:fill="auto" w:val="clear"/>
          <w:vertAlign w:val="baseline"/>
        </w:rPr>
        <w:t>Iracilda Alves Braga</w:t>
      </w:r>
      <w:r>
        <w:rPr>
          <w:rStyle w:val="Ncoradanotaderodap"/>
          <w:rFonts w:eastAsia="Quattrocento Sans" w:cs="Quattrocento Sans" w:ascii="Quattrocento Sans" w:hAnsi="Quattrocento Sans"/>
          <w:b w:val="false"/>
          <w:i w:val="false"/>
          <w:caps w:val="false"/>
          <w:smallCaps w:val="false"/>
          <w:strike w:val="false"/>
          <w:dstrike w:val="false"/>
          <w:color w:val="000000"/>
          <w:sz w:val="18"/>
          <w:szCs w:val="18"/>
          <w:u w:val="none"/>
          <w:shd w:fill="auto" w:val="clear"/>
          <w:vertAlign w:val="superscript"/>
        </w:rPr>
        <w:footnoteReference w:id="5"/>
      </w:r>
    </w:p>
    <w:p>
      <w:pPr>
        <w:pStyle w:val="Normal1"/>
        <w:spacing w:lineRule="auto" w:line="360"/>
        <w:jc w:val="center"/>
        <w:rPr>
          <w:position w:val="0"/>
          <w:sz w:val="24"/>
          <w:sz w:val="24"/>
          <w:szCs w:val="24"/>
          <w:vertAlign w:val="baseline"/>
        </w:rPr>
      </w:pPr>
      <w:r>
        <w:rPr>
          <w:position w:val="0"/>
          <w:sz w:val="24"/>
          <w:sz w:val="24"/>
          <w:szCs w:val="24"/>
          <w:vertAlign w:val="baseline"/>
        </w:rPr>
      </w:r>
    </w:p>
    <w:p>
      <w:pPr>
        <w:pStyle w:val="Normal1"/>
        <w:spacing w:lineRule="auto" w:line="240"/>
        <w:ind w:left="2834" w:hanging="0"/>
        <w:rPr>
          <w:b w:val="false"/>
          <w:b w:val="false"/>
          <w:position w:val="0"/>
          <w:sz w:val="20"/>
          <w:sz w:val="20"/>
          <w:szCs w:val="20"/>
          <w:vertAlign w:val="baseline"/>
        </w:rPr>
      </w:pPr>
      <w:r>
        <w:rPr>
          <w:b/>
          <w:position w:val="0"/>
          <w:sz w:val="20"/>
          <w:sz w:val="20"/>
          <w:szCs w:val="20"/>
          <w:vertAlign w:val="baseline"/>
        </w:rPr>
        <w:t>Resumo</w:t>
      </w:r>
    </w:p>
    <w:p>
      <w:pPr>
        <w:pStyle w:val="Normal1"/>
        <w:spacing w:lineRule="auto" w:line="240"/>
        <w:ind w:left="2835" w:hanging="0"/>
        <w:jc w:val="both"/>
        <w:rPr>
          <w:position w:val="0"/>
          <w:sz w:val="20"/>
          <w:sz w:val="20"/>
          <w:szCs w:val="20"/>
          <w:vertAlign w:val="baseline"/>
        </w:rPr>
      </w:pPr>
      <w:r>
        <w:rPr>
          <w:sz w:val="20"/>
          <w:szCs w:val="20"/>
        </w:rPr>
        <w:t>O presente estudo tem como objetivo analisar de que forma a benemerência, o primeiro-damismo e o assistencialismo foram, por muitos anos, conceitos centrais na estrutura daquilo que atualmente conhecemos como política de assistência social. Nesse sentido, busca-se traçar um panorama histórico da assistência social, demonstrando como esses princípios moldaram a prática das primeiras assistentes sociais. Em seguida, será discutido como, apesar dos avanços significativos no campo da assistência social, esses ideais ainda permanecem presentes na política assistencial, mesmo à medida que esta se transforma em um direito. Também será abordado como o neoliberalismo contribui para o retrocesso dessa política.</w:t>
      </w:r>
    </w:p>
    <w:p>
      <w:pPr>
        <w:pStyle w:val="Normal1"/>
        <w:spacing w:lineRule="auto" w:line="240"/>
        <w:ind w:left="2835" w:hanging="0"/>
        <w:jc w:val="both"/>
        <w:rPr>
          <w:position w:val="0"/>
          <w:sz w:val="20"/>
          <w:sz w:val="20"/>
          <w:szCs w:val="20"/>
          <w:vertAlign w:val="baseline"/>
        </w:rPr>
      </w:pPr>
      <w:r>
        <w:rPr>
          <w:b/>
          <w:position w:val="0"/>
          <w:sz w:val="20"/>
          <w:sz w:val="20"/>
          <w:szCs w:val="20"/>
          <w:vertAlign w:val="baseline"/>
        </w:rPr>
        <w:t>Palavras-chave</w:t>
      </w:r>
      <w:r>
        <w:rPr>
          <w:position w:val="0"/>
          <w:sz w:val="20"/>
          <w:sz w:val="20"/>
          <w:szCs w:val="20"/>
          <w:vertAlign w:val="baseline"/>
        </w:rPr>
        <w:t xml:space="preserve">: Caridade; Assistência Social; Direito; Institucionalização; Desmonte; Neoliberalismo.  </w:t>
      </w:r>
    </w:p>
    <w:p>
      <w:pPr>
        <w:pStyle w:val="Normal1"/>
        <w:spacing w:lineRule="auto" w:line="240"/>
        <w:ind w:left="2835" w:hanging="0"/>
        <w:jc w:val="both"/>
        <w:rPr>
          <w:position w:val="0"/>
          <w:sz w:val="20"/>
          <w:sz w:val="20"/>
          <w:szCs w:val="20"/>
          <w:vertAlign w:val="baseline"/>
        </w:rPr>
      </w:pPr>
      <w:r>
        <w:rPr>
          <w:position w:val="0"/>
          <w:sz w:val="20"/>
          <w:sz w:val="20"/>
          <w:szCs w:val="20"/>
          <w:vertAlign w:val="baseline"/>
        </w:rPr>
      </w:r>
    </w:p>
    <w:p>
      <w:pPr>
        <w:pStyle w:val="Normal1"/>
        <w:spacing w:lineRule="auto" w:line="240"/>
        <w:ind w:left="2835" w:hanging="0"/>
        <w:jc w:val="both"/>
        <w:rPr>
          <w:b w:val="false"/>
          <w:b w:val="false"/>
          <w:position w:val="0"/>
          <w:sz w:val="20"/>
          <w:sz w:val="20"/>
          <w:szCs w:val="20"/>
          <w:vertAlign w:val="baseline"/>
        </w:rPr>
      </w:pPr>
      <w:r>
        <w:rPr>
          <w:b/>
          <w:position w:val="0"/>
          <w:sz w:val="20"/>
          <w:sz w:val="20"/>
          <w:szCs w:val="20"/>
          <w:vertAlign w:val="baseline"/>
        </w:rPr>
        <w:t>Abstract</w:t>
      </w:r>
    </w:p>
    <w:p>
      <w:pPr>
        <w:pStyle w:val="Normal1"/>
        <w:spacing w:lineRule="auto" w:line="240"/>
        <w:ind w:left="2835" w:hanging="0"/>
        <w:jc w:val="both"/>
        <w:rPr>
          <w:sz w:val="20"/>
          <w:szCs w:val="20"/>
        </w:rPr>
      </w:pPr>
      <w:r>
        <w:rPr>
          <w:sz w:val="20"/>
          <w:szCs w:val="20"/>
        </w:rPr>
        <w:t>The present work aims to analyze how benevolence, first ladyism, and assistentialism have, for many years, been central concepts in the structure of what we currently know as social assistance policy. . In this sense, the work seeks to outline a historical panorama of social assistance, demonstrating how these principles shaped the practice of the first social workers. Next, it will discuss how, despite significant advances in the field of social assistance, these ideals remain present in assistance policy, even as it transforms into a right. It will also address how neoliberalism contributes to the regression of this policy.</w:t>
      </w:r>
    </w:p>
    <w:p>
      <w:pPr>
        <w:pStyle w:val="Normal1"/>
        <w:spacing w:lineRule="auto" w:line="240"/>
        <w:ind w:left="2835" w:hanging="0"/>
        <w:jc w:val="both"/>
        <w:rPr>
          <w:position w:val="0"/>
          <w:sz w:val="24"/>
          <w:sz w:val="24"/>
          <w:szCs w:val="24"/>
          <w:vertAlign w:val="baseline"/>
        </w:rPr>
      </w:pPr>
      <w:r>
        <w:rPr>
          <w:b/>
          <w:sz w:val="20"/>
          <w:szCs w:val="20"/>
        </w:rPr>
        <w:t>Keywords</w:t>
      </w:r>
      <w:r>
        <w:rPr>
          <w:sz w:val="20"/>
          <w:szCs w:val="20"/>
        </w:rPr>
        <w:t>: Charity; Social Assistance; Law; Institutionalization; Dismantling; Neoliberalism.</w:t>
      </w:r>
    </w:p>
    <w:p>
      <w:pPr>
        <w:pStyle w:val="Normal1"/>
        <w:spacing w:lineRule="auto" w:line="360"/>
        <w:ind w:left="0" w:hanging="0"/>
        <w:jc w:val="both"/>
        <w:rPr>
          <w:sz w:val="24"/>
          <w:szCs w:val="24"/>
        </w:rPr>
      </w:pPr>
      <w:r>
        <w:rPr>
          <w:sz w:val="24"/>
          <w:szCs w:val="24"/>
        </w:rPr>
      </w:r>
    </w:p>
    <w:p>
      <w:pPr>
        <w:pStyle w:val="Normal1"/>
        <w:spacing w:lineRule="auto" w:line="360"/>
        <w:rPr>
          <w:sz w:val="24"/>
          <w:szCs w:val="24"/>
        </w:rPr>
      </w:pPr>
      <w:r>
        <w:rPr>
          <w:b/>
          <w:sz w:val="24"/>
          <w:szCs w:val="24"/>
        </w:rPr>
        <w:t>1</w:t>
        <w:tab/>
        <w:t>INTRODUÇÃO</w:t>
      </w:r>
    </w:p>
    <w:p>
      <w:pPr>
        <w:pStyle w:val="Normal1"/>
        <w:spacing w:lineRule="auto" w:line="360"/>
        <w:ind w:firstLine="709"/>
        <w:jc w:val="both"/>
        <w:rPr>
          <w:sz w:val="24"/>
          <w:szCs w:val="24"/>
        </w:rPr>
      </w:pPr>
      <w:r>
        <w:rPr>
          <w:sz w:val="24"/>
          <w:szCs w:val="24"/>
        </w:rPr>
      </w:r>
    </w:p>
    <w:p>
      <w:pPr>
        <w:pStyle w:val="Normal1"/>
        <w:spacing w:lineRule="auto" w:line="360"/>
        <w:ind w:left="0" w:firstLine="708"/>
        <w:jc w:val="both"/>
        <w:rPr>
          <w:position w:val="0"/>
          <w:sz w:val="24"/>
          <w:sz w:val="24"/>
          <w:szCs w:val="24"/>
          <w:vertAlign w:val="baseline"/>
        </w:rPr>
      </w:pPr>
      <w:r>
        <w:rPr>
          <w:sz w:val="24"/>
          <w:szCs w:val="24"/>
        </w:rPr>
        <w:t xml:space="preserve">  </w:t>
      </w:r>
      <w:r>
        <w:rPr>
          <w:position w:val="0"/>
          <w:sz w:val="24"/>
          <w:sz w:val="24"/>
          <w:szCs w:val="24"/>
          <w:vertAlign w:val="baseline"/>
        </w:rPr>
        <w:t xml:space="preserve">A​ política de Assistência Social, durante muitos anos, esteve condicionada à benemerência e ao assistencialismo. Desde o período colonial e imperial, essa política esteve voltada para práticas que ofereciam aos indivíduos respostas pontuais e focalizadas, fundamentadas em preceitos morais e religiosos, baseados em ensinamentos divinos, não sendo reconhecida como um direito do cidadão.    </w:t>
      </w:r>
    </w:p>
    <w:p>
      <w:pPr>
        <w:pStyle w:val="Normal1"/>
        <w:spacing w:lineRule="auto" w:line="360"/>
        <w:ind w:left="0" w:firstLine="708"/>
        <w:jc w:val="both"/>
        <w:rPr>
          <w:position w:val="0"/>
          <w:sz w:val="24"/>
          <w:sz w:val="24"/>
          <w:szCs w:val="24"/>
          <w:vertAlign w:val="baseline"/>
        </w:rPr>
      </w:pPr>
      <w:r>
        <w:rPr>
          <w:sz w:val="24"/>
          <w:szCs w:val="24"/>
        </w:rPr>
        <w:t xml:space="preserve"> </w:t>
      </w:r>
      <w:r>
        <w:rPr>
          <w:position w:val="0"/>
          <w:sz w:val="24"/>
          <w:sz w:val="24"/>
          <w:szCs w:val="24"/>
          <w:vertAlign w:val="baseline"/>
        </w:rPr>
        <w:t xml:space="preserve"> </w:t>
      </w:r>
      <w:r>
        <w:rPr>
          <w:position w:val="0"/>
          <w:sz w:val="24"/>
          <w:sz w:val="24"/>
          <w:szCs w:val="24"/>
          <w:vertAlign w:val="baseline"/>
        </w:rPr>
        <w:t xml:space="preserve">Dessa forma, o assistencialismo se baseia na boa vontade de terceiros, não enfrenta as desigualdades estruturais e, em muitos casos, acaba por culpabilizar os sujeitos pela situação de pauperismo e miserabilidade sob as quais eles vivem. Isso contribui para o conformismo diante de tal realidade, não os empoderando como cidadãos de direitos, e os relegando à espaços subalternos (Potrich, 2021) </w:t>
      </w:r>
    </w:p>
    <w:p>
      <w:pPr>
        <w:pStyle w:val="Normal1"/>
        <w:spacing w:lineRule="auto" w:line="360"/>
        <w:ind w:left="0" w:firstLine="708"/>
        <w:jc w:val="both"/>
        <w:rPr>
          <w:sz w:val="24"/>
          <w:szCs w:val="24"/>
        </w:rPr>
      </w:pPr>
      <w:r>
        <w:rPr>
          <w:sz w:val="24"/>
          <w:szCs w:val="24"/>
        </w:rPr>
        <w:t xml:space="preserve"> </w:t>
      </w:r>
      <w:r>
        <w:rPr>
          <w:sz w:val="24"/>
          <w:szCs w:val="24"/>
        </w:rPr>
        <w:t xml:space="preserve">Este estudo bibliográfico, de abordagem qualitativa e com base em pesquisa documental, tem por objetivo provocar uma reflexão crítica sobre a política de assistência social, que por longos anos esteve ligada a valores religiosos e à ausência da atuação direta do Estado. A Constituição de 1988 marca um avanço ao reconhecer o Estado como garantidor dos direitos sociais. </w:t>
      </w:r>
    </w:p>
    <w:p>
      <w:pPr>
        <w:pStyle w:val="Normal1"/>
        <w:spacing w:lineRule="auto" w:line="360"/>
        <w:ind w:left="0" w:firstLine="708"/>
        <w:jc w:val="both"/>
        <w:rPr>
          <w:sz w:val="24"/>
          <w:szCs w:val="24"/>
        </w:rPr>
      </w:pPr>
      <w:r>
        <w:rPr>
          <w:sz w:val="24"/>
          <w:szCs w:val="24"/>
        </w:rPr>
        <w:t xml:space="preserve">  </w:t>
      </w:r>
      <w:r>
        <w:rPr>
          <w:sz w:val="24"/>
          <w:szCs w:val="24"/>
        </w:rPr>
        <w:t>No entanto, mesmo com os avanços, persistem traços do clientelismo, da caridade e da benemerência. Com o avanço do neoliberalismo, há a transferência da responsabilidade para o terceiro setor, que nem sempre garante a universalidade dos serviços. Isso leva as populações vulneráveis a buscarem outras formas de sobrevivência, onde os benefícios podem se tornar moeda de troca em relações clientelistas. Assim, a pesquisa contribui para o debate sobre os retrocessos que atravessam a Política de Assistência Social sob a influência do neoliberalismo.</w:t>
      </w:r>
    </w:p>
    <w:p>
      <w:pPr>
        <w:pStyle w:val="Normal1"/>
        <w:spacing w:lineRule="auto" w:line="360"/>
        <w:ind w:left="0" w:firstLine="708"/>
        <w:jc w:val="both"/>
        <w:rPr>
          <w:sz w:val="24"/>
          <w:szCs w:val="24"/>
        </w:rPr>
      </w:pPr>
      <w:r>
        <w:rPr>
          <w:sz w:val="24"/>
          <w:szCs w:val="24"/>
        </w:rPr>
      </w:r>
    </w:p>
    <w:p>
      <w:pPr>
        <w:pStyle w:val="Normal1"/>
        <w:spacing w:lineRule="auto" w:line="360"/>
        <w:ind w:left="0" w:hanging="0"/>
        <w:jc w:val="both"/>
        <w:rPr>
          <w:position w:val="0"/>
          <w:sz w:val="24"/>
          <w:sz w:val="24"/>
          <w:szCs w:val="24"/>
          <w:vertAlign w:val="baseline"/>
        </w:rPr>
      </w:pPr>
      <w:r>
        <w:rPr>
          <w:b/>
          <w:position w:val="0"/>
          <w:sz w:val="24"/>
          <w:sz w:val="24"/>
          <w:szCs w:val="24"/>
          <w:vertAlign w:val="baseline"/>
        </w:rPr>
        <w:t>2</w:t>
        <w:tab/>
        <w:t xml:space="preserve"> ASSISTÊNCIA SOCIAL NO BRASIL</w:t>
      </w:r>
      <w:r>
        <w:rPr>
          <w:b/>
          <w:sz w:val="24"/>
          <w:szCs w:val="24"/>
        </w:rPr>
        <w:t xml:space="preserve">: </w:t>
      </w:r>
      <w:r>
        <w:rPr>
          <w:b/>
          <w:position w:val="0"/>
          <w:sz w:val="24"/>
          <w:sz w:val="24"/>
          <w:szCs w:val="24"/>
          <w:vertAlign w:val="baseline"/>
        </w:rPr>
        <w:t>DE PRÁTICA MORALIZANTE A DIREITO SOCIAL</w:t>
      </w:r>
    </w:p>
    <w:p>
      <w:pPr>
        <w:pStyle w:val="Normal1"/>
        <w:keepNext w:val="false"/>
        <w:keepLines w:val="false"/>
        <w:pageBreakBefore w:val="false"/>
        <w:widowControl/>
        <w:pBdr/>
        <w:shd w:val="clear" w:fill="auto"/>
        <w:spacing w:lineRule="auto" w:line="360" w:before="0" w:after="0"/>
        <w:ind w:left="0" w:right="0" w:firstLine="708"/>
        <w:jc w:val="both"/>
        <w:rPr>
          <w:sz w:val="24"/>
          <w:szCs w:val="24"/>
        </w:rPr>
      </w:pPr>
      <w:r>
        <w:rPr>
          <w:sz w:val="24"/>
          <w:szCs w:val="24"/>
        </w:rPr>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sz w:val="24"/>
          <w:szCs w:val="24"/>
        </w:rPr>
        <w:t xml:space="preserve">  </w:t>
      </w:r>
      <w:r>
        <w:rPr>
          <w:i w:val="false"/>
          <w:caps w:val="false"/>
          <w:smallCaps w:val="false"/>
          <w:strike w:val="false"/>
          <w:dstrike w:val="false"/>
          <w:color w:val="000000"/>
          <w:position w:val="0"/>
          <w:sz w:val="24"/>
          <w:sz w:val="24"/>
          <w:szCs w:val="24"/>
          <w:u w:val="none"/>
          <w:shd w:fill="auto" w:val="clear"/>
          <w:vertAlign w:val="baseline"/>
        </w:rPr>
        <w:t>Um dos primeiros marcos de trabalho na área de assistência social no Brasil foi a atuação da Igreja Católica, que iniciada nos períodos colonial e imperial, especialmente por meio de ações caritativas voltadas às camadas mais empobrecidas da sociedade, muitas vezes acompanhadas de julgamentos morais sobre suas condutas. O atendimento era realizado de forma pontual e individualizada, tratando os problemas sociais como responsabilidade exclusiva dos próprios sujeitos. Segundo Silva (2006), a Igreja Católica desenvolvia esse trabalho assistencial com a participação de membros da nobreza, que contribuíram com doações e trabalho voluntário, orientados por princípios cristãos de solidariedade e virtude moral. Nesse contexto, foram criados abrigos, asilos e outras formas de ajuda material.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 xml:space="preserve">O Estado brasileiro, por sua vez, passou a exercer responsabilidade direta sobre as questões sociais apenas a partir da década de 1930, com a criação das leis trabalhistas e o trabalho urbano. Esse período foi marcado por um intenso processo de industrialização em massa, </w:t>
      </w:r>
      <w:r>
        <w:rPr>
          <w:i w:val="false"/>
          <w:caps w:val="false"/>
          <w:smallCaps w:val="false"/>
          <w:strike w:val="false"/>
          <w:dstrike w:val="false"/>
          <w:color w:val="000000"/>
          <w:position w:val="0"/>
          <w:sz w:val="24"/>
          <w:sz w:val="24"/>
          <w:szCs w:val="24"/>
          <w:highlight w:val="white"/>
          <w:u w:val="none"/>
          <w:vertAlign w:val="baseline"/>
        </w:rPr>
        <w:t>conforme Silva e</w:t>
      </w:r>
      <w:r>
        <w:rPr>
          <w:sz w:val="24"/>
          <w:szCs w:val="24"/>
          <w:highlight w:val="white"/>
        </w:rPr>
        <w:t xml:space="preserve"> Yzabek </w:t>
      </w:r>
      <w:r>
        <w:rPr>
          <w:i w:val="false"/>
          <w:caps w:val="false"/>
          <w:smallCaps w:val="false"/>
          <w:strike w:val="false"/>
          <w:dstrike w:val="false"/>
          <w:color w:val="000000"/>
          <w:position w:val="0"/>
          <w:sz w:val="24"/>
          <w:sz w:val="24"/>
          <w:szCs w:val="24"/>
          <w:highlight w:val="white"/>
          <w:u w:val="none"/>
          <w:vertAlign w:val="baseline"/>
        </w:rPr>
        <w:t>(2012), no início da década de 1930, o Brasil passou por profundas transformações econômicas e sociais, impulsionadas pelo crescimento industrial. Tal processo promoveu a migração rural-urbana e a emergência de uma nova classe trabalhadora urbana, ao mesmo tempo em que intensificou as lutas por direitos trabalhistas, levando o Estado a adotar uma postura intervencionista e reguladora no mundo do trabalho. </w:t>
      </w:r>
      <w:r>
        <w:rPr>
          <w:i w:val="false"/>
          <w:caps w:val="false"/>
          <w:smallCaps w:val="false"/>
          <w:strike w:val="false"/>
          <w:dstrike w:val="false"/>
          <w:color w:val="000000"/>
          <w:position w:val="0"/>
          <w:sz w:val="24"/>
          <w:sz w:val="24"/>
          <w:szCs w:val="24"/>
          <w:u w:val="none"/>
          <w:shd w:fill="auto" w:val="clear"/>
          <w:vertAlign w:val="baseline"/>
        </w:rPr>
        <w:t xml:space="preserve"> Na vigência do governo de Getúlio Vargas (1930-1945) foi necessário repensar em um modelo de estado interventor em meio às pressões que os trabalhadores impulsionam por respostas por melhores condições nas fábricas.     Por isso, como apontam Behring e Boschetti (2011), a garantia mínima instituída na Era Vargas representou um ponto inicial para a posterior ampliação da cidadania e para o rompimento com a lógica seletiva e contributiva que historicamente marcou as políticas sociais brasileiras. </w:t>
      </w:r>
    </w:p>
    <w:p>
      <w:pPr>
        <w:pStyle w:val="Normal1"/>
        <w:spacing w:lineRule="auto" w:line="240" w:before="240" w:after="240"/>
        <w:ind w:left="2267" w:right="0" w:hanging="0"/>
        <w:jc w:val="both"/>
        <w:rPr>
          <w:sz w:val="20"/>
          <w:szCs w:val="20"/>
        </w:rPr>
      </w:pPr>
      <w:r>
        <w:rPr>
          <w:sz w:val="20"/>
          <w:szCs w:val="20"/>
        </w:rPr>
        <w:t>Após a promulgação da Constituição de 1934, surgiram as primeiras previsões de direitos sociais no texto constitucional, bem como as primeiras leis infraconstitucionais que tratavam diretamente do direito à assistência social, como, por exemplo, a Lei nº 91, de 1935 (BRASIL, 1935), criada pelo então presidente Getúlio Vargas. Essa lei estabelecia “regras pelas quais são a sociedade declaradas de utilidade pública”, havendo previsão da assistência social e, inclusive, menções sobre repasses orçamentários para esse fim (Habib; Guimarães, 2019, p. 8).</w:t>
      </w:r>
    </w:p>
    <w:p>
      <w:pPr>
        <w:pStyle w:val="Normal1"/>
        <w:keepNext w:val="false"/>
        <w:keepLines w:val="false"/>
        <w:pageBreakBefore w:val="false"/>
        <w:widowControl/>
        <w:pBdr/>
        <w:shd w:val="clear" w:fill="auto"/>
        <w:spacing w:lineRule="auto" w:line="240" w:before="0" w:after="0"/>
        <w:ind w:left="2267" w:right="0" w:hanging="0"/>
        <w:jc w:val="right"/>
        <w:rPr>
          <w:sz w:val="20"/>
          <w:szCs w:val="20"/>
        </w:rPr>
      </w:pPr>
      <w:r>
        <w:rPr>
          <w:sz w:val="20"/>
          <w:szCs w:val="20"/>
        </w:rPr>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r>
        <w:rPr>
          <w:i w:val="false"/>
          <w:caps w:val="false"/>
          <w:smallCaps w:val="false"/>
          <w:strike w:val="false"/>
          <w:dstrike w:val="false"/>
          <w:color w:val="000000"/>
          <w:position w:val="0"/>
          <w:sz w:val="24"/>
          <w:sz w:val="24"/>
          <w:szCs w:val="24"/>
          <w:u w:val="none"/>
          <w:shd w:fill="auto" w:val="clear"/>
          <w:vertAlign w:val="baseline"/>
        </w:rPr>
        <w:t>Entretanto, a assistência social, em seus primórdios, era direcionada majoritariamente aos trabalhadores urbanos, deixando desamparada grande parte da população que não estava formalmente inserida no mercado de trabalho e que, portanto, não tinha acesso às garantias previdenciárias. Essa população era tratada sob a lógica da responsabilização individual pela própria pobreza. A Constituição de 1934 representa um marco inicial no processo de institucionalização da assistência social, ao lado da previdência.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r>
        <w:rPr>
          <w:i w:val="false"/>
          <w:caps w:val="false"/>
          <w:smallCaps w:val="false"/>
          <w:strike w:val="false"/>
          <w:dstrike w:val="false"/>
          <w:color w:val="000000"/>
          <w:position w:val="0"/>
          <w:sz w:val="24"/>
          <w:sz w:val="24"/>
          <w:szCs w:val="24"/>
          <w:u w:val="none"/>
          <w:shd w:fill="auto" w:val="clear"/>
          <w:vertAlign w:val="baseline"/>
        </w:rPr>
        <w:t>Durante o período do Estado Novo, ainda que de forma pontual e limitada, a assistência passa a ser pensada como uma política de governo. No entanto, longe de ser compreendida como um direito, a assistência social se estruturava sob um modelo fragmentado e assistencialista, em que o protagonismo das primeiras-damas como no caso da Legião Brasileira de Assistência (LBA) que reproduzia práticas tradicionais de caridade. A Igreja, por sua vez, ainda exercia grande influência sobre o campo assistencial, mantendo o viés moralizante e filantrópico, reforçando a visão da assistência como um favor, e não como uma política pública </w:t>
      </w:r>
    </w:p>
    <w:p>
      <w:pPr>
        <w:pStyle w:val="Normal1"/>
        <w:keepNext w:val="false"/>
        <w:keepLines w:val="false"/>
        <w:pageBreakBefore w:val="false"/>
        <w:widowControl/>
        <w:pBdr/>
        <w:shd w:val="clear" w:fill="auto"/>
        <w:spacing w:lineRule="auto" w:line="360" w:before="0" w:after="0"/>
        <w:ind w:left="0" w:right="0" w:hanging="0"/>
        <w:jc w:val="both"/>
        <w:rPr>
          <w:i w:val="false"/>
          <w:i w:val="false"/>
          <w:caps w:val="false"/>
          <w:smallCaps w:val="false"/>
          <w:strike w:val="false"/>
          <w:dstrike w:val="false"/>
          <w:color w:val="000000"/>
          <w:position w:val="0"/>
          <w:sz w:val="20"/>
          <w:sz w:val="20"/>
          <w:szCs w:val="20"/>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0" w:after="0"/>
        <w:ind w:left="2267" w:right="0" w:hanging="0"/>
        <w:jc w:val="both"/>
        <w:rPr>
          <w:i w:val="false"/>
          <w:i w:val="false"/>
          <w:caps w:val="false"/>
          <w:smallCaps w:val="false"/>
          <w:strike w:val="false"/>
          <w:dstrike w:val="false"/>
          <w:color w:val="000000"/>
          <w:position w:val="0"/>
          <w:sz w:val="20"/>
          <w:sz w:val="20"/>
          <w:szCs w:val="20"/>
          <w:u w:val="none"/>
          <w:shd w:fill="auto" w:val="clear"/>
          <w:vertAlign w:val="baseline"/>
        </w:rPr>
      </w:pPr>
      <w:r>
        <w:rPr>
          <w:i w:val="false"/>
          <w:caps w:val="false"/>
          <w:smallCaps w:val="false"/>
          <w:strike w:val="false"/>
          <w:dstrike w:val="false"/>
          <w:color w:val="000000"/>
          <w:position w:val="0"/>
          <w:sz w:val="20"/>
          <w:sz w:val="20"/>
          <w:szCs w:val="20"/>
          <w:u w:val="none"/>
          <w:shd w:fill="auto" w:val="clear"/>
          <w:vertAlign w:val="baseline"/>
        </w:rPr>
        <w:t>De modo geral, a LBA contava com um corpo assistencial formado majoritariamente por mulheres e era administrada, em cada cidade, pela primeira-dama municipal. As ações empreendidas pela Legião estavam relacionadas principalmente à defesa passiva, obedecendo também aos pressupostos de feminilidade: as legionárias eram socorristas, enfermeiras, arrecadadoras de provisões, faziam o atendimento às crianças pobres, trabalhos de costura, entre outros. (O</w:t>
      </w:r>
      <w:r>
        <w:rPr>
          <w:sz w:val="20"/>
          <w:szCs w:val="20"/>
        </w:rPr>
        <w:t>liveira</w:t>
      </w:r>
      <w:r>
        <w:rPr>
          <w:i w:val="false"/>
          <w:caps w:val="false"/>
          <w:smallCaps w:val="false"/>
          <w:strike w:val="false"/>
          <w:dstrike w:val="false"/>
          <w:color w:val="000000"/>
          <w:position w:val="0"/>
          <w:sz w:val="20"/>
          <w:sz w:val="20"/>
          <w:szCs w:val="20"/>
          <w:u w:val="none"/>
          <w:shd w:fill="auto" w:val="clear"/>
          <w:vertAlign w:val="baseline"/>
        </w:rPr>
        <w:t>; A</w:t>
      </w:r>
      <w:r>
        <w:rPr>
          <w:sz w:val="20"/>
          <w:szCs w:val="20"/>
        </w:rPr>
        <w:t>lves</w:t>
      </w:r>
      <w:r>
        <w:rPr>
          <w:i w:val="false"/>
          <w:caps w:val="false"/>
          <w:smallCaps w:val="false"/>
          <w:strike w:val="false"/>
          <w:dstrike w:val="false"/>
          <w:color w:val="000000"/>
          <w:position w:val="0"/>
          <w:sz w:val="20"/>
          <w:sz w:val="20"/>
          <w:szCs w:val="20"/>
          <w:u w:val="none"/>
          <w:shd w:fill="auto" w:val="clear"/>
          <w:vertAlign w:val="baseline"/>
        </w:rPr>
        <w:t>, 2020, p. 7). </w:t>
      </w:r>
    </w:p>
    <w:p>
      <w:pPr>
        <w:pStyle w:val="Normal1"/>
        <w:keepNext w:val="false"/>
        <w:keepLines w:val="false"/>
        <w:pageBreakBefore w:val="false"/>
        <w:widowControl/>
        <w:pBdr/>
        <w:shd w:val="clear" w:fill="auto"/>
        <w:spacing w:lineRule="auto" w:line="360" w:before="0" w:after="0"/>
        <w:ind w:left="0" w:right="0" w:hanging="0"/>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A LBA tinha como objetivo atender as famílias dos soldados advindos da guerra, por isso esse modelo predominou por décadas uma visão moral e privatizada da assistência social, colocando-a como um dever das mulheres de elite, não como uma responsabilidade do Estado. Em vez de estruturar políticas públicas universais, a assistência era exercida como expressão de bondade e conduta sensibilizada às mulheres, com forte carga simbólica de religiosidade, afetividade e submissão aos interesses políticos dos seus cônjuges governantes.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r>
        <w:rPr>
          <w:i w:val="false"/>
          <w:caps w:val="false"/>
          <w:smallCaps w:val="false"/>
          <w:strike w:val="false"/>
          <w:dstrike w:val="false"/>
          <w:color w:val="000000"/>
          <w:position w:val="0"/>
          <w:sz w:val="24"/>
          <w:sz w:val="24"/>
          <w:szCs w:val="24"/>
          <w:u w:val="none"/>
          <w:shd w:fill="auto" w:val="clear"/>
          <w:vertAlign w:val="baseline"/>
        </w:rPr>
        <w:t>Portanto, em síntese, a Legião Brasileira de Assistência (LBA) marcou um importante ponto de inflexão no caminho para se pensar a assistência social no Brasil além da prática baseada em condutas morais e cristãs. No entanto, sua atuação não se constituiu como um direito, mas sim como um instrumento de controle social e concessão de benefícios, direcionado a segmentos específicos, como as famílias dos pracinhas e os trabalhadores urbanos formalizados.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r>
        <w:rPr>
          <w:i w:val="false"/>
          <w:caps w:val="false"/>
          <w:smallCaps w:val="false"/>
          <w:strike w:val="false"/>
          <w:dstrike w:val="false"/>
          <w:color w:val="000000"/>
          <w:position w:val="0"/>
          <w:sz w:val="24"/>
          <w:sz w:val="24"/>
          <w:szCs w:val="24"/>
          <w:u w:val="none"/>
          <w:shd w:fill="auto" w:val="clear"/>
          <w:vertAlign w:val="baseline"/>
        </w:rPr>
        <w:t>Foi apenas com a Constituição Federal de 1988 que a assistência social passou a ser reconhecida como direito de cidadania, desvinculando-se do assistencialismo pontual e do viés moralista. Fundamentada no artigo 203, a assistência social é garantida independentemente de contribuição à seguridade social, e voltada a quem dela necessitar, rompendo com a lógica de seletividade e exclusão. Assim, consolida-se um novo paradigma, no qual a assistência deixa de ser privilégio e passa a ser direito universal, assegurado pelo Estado. </w:t>
      </w:r>
    </w:p>
    <w:p>
      <w:pPr>
        <w:pStyle w:val="Normal1"/>
        <w:spacing w:lineRule="auto" w:line="360"/>
        <w:ind w:left="0" w:firstLine="708"/>
        <w:jc w:val="both"/>
        <w:rPr>
          <w:position w:val="0"/>
          <w:sz w:val="24"/>
          <w:sz w:val="24"/>
          <w:szCs w:val="24"/>
          <w:vertAlign w:val="baseline"/>
        </w:rPr>
      </w:pPr>
      <w:r>
        <w:rPr>
          <w:position w:val="0"/>
          <w:sz w:val="24"/>
          <w:sz w:val="24"/>
          <w:szCs w:val="24"/>
          <w:vertAlign w:val="baseline"/>
        </w:rPr>
      </w:r>
    </w:p>
    <w:p>
      <w:pPr>
        <w:pStyle w:val="Normal1"/>
        <w:keepNext w:val="false"/>
        <w:keepLines w:val="false"/>
        <w:pageBreakBefore w:val="false"/>
        <w:widowControl/>
        <w:pBdr/>
        <w:shd w:val="clear" w:fill="auto"/>
        <w:spacing w:lineRule="auto" w:line="360" w:before="0" w:after="0"/>
        <w:ind w:left="0" w:right="0" w:hanging="0"/>
        <w:jc w:val="both"/>
        <w:rPr>
          <w:i w:val="false"/>
          <w:i w:val="false"/>
          <w:caps w:val="false"/>
          <w:smallCaps w:val="false"/>
          <w:strike w:val="false"/>
          <w:dstrike w:val="false"/>
          <w:color w:val="000000"/>
          <w:position w:val="0"/>
          <w:sz w:val="24"/>
          <w:sz w:val="24"/>
          <w:szCs w:val="24"/>
          <w:u w:val="none"/>
          <w:shd w:fill="auto" w:val="clear"/>
          <w:vertAlign w:val="baseline"/>
        </w:rPr>
      </w:pPr>
      <w:r>
        <w:rPr>
          <w:b/>
          <w:i w:val="false"/>
          <w:caps w:val="false"/>
          <w:smallCaps w:val="false"/>
          <w:strike w:val="false"/>
          <w:dstrike w:val="false"/>
          <w:color w:val="000000"/>
          <w:position w:val="0"/>
          <w:sz w:val="24"/>
          <w:sz w:val="24"/>
          <w:szCs w:val="24"/>
          <w:u w:val="none"/>
          <w:shd w:fill="auto" w:val="clear"/>
          <w:vertAlign w:val="baseline"/>
        </w:rPr>
        <w:t>3 A POLÍTICA DE ASSISTÊNCIA SOCIAL NO PERÍODO PÓS CONSTITUINTE</w:t>
      </w:r>
      <w:r>
        <w:rPr>
          <w:i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sz w:val="24"/>
          <w:szCs w:val="24"/>
        </w:rPr>
        <w:t xml:space="preserve"> </w:t>
      </w:r>
      <w:r>
        <w:rPr>
          <w:i w:val="false"/>
          <w:caps w:val="false"/>
          <w:smallCaps w:val="false"/>
          <w:strike w:val="false"/>
          <w:dstrike w:val="false"/>
          <w:color w:val="000000"/>
          <w:position w:val="0"/>
          <w:sz w:val="24"/>
          <w:sz w:val="24"/>
          <w:szCs w:val="24"/>
          <w:u w:val="none"/>
          <w:shd w:fill="auto" w:val="clear"/>
          <w:vertAlign w:val="baseline"/>
        </w:rPr>
        <w:t>Em 1988, como resultado das lutas coletivas e dos movimentos sociais, foi promulgada a famosa Constituição Federal, cujo marco consolidou a ampliação de direitos mais distintos. Assim, trazendo consigo o tripé da seguridade social, a saúde assume princípios de universalidade; a previdência, para quem dela contribui; e a assistência, para quem dela necessitar (Brasil, 1988). Rompe-se, então, com a direção desses serviços, que excluíam grande parte da população, e o Estado assume sua responsabilidade perante a sociedade de oferecer um mínimo de bem-estar social.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Dessa forma, se anterior ao marco constitucional, a assistência se dava sob viés caritativo e de benemerência, aqui ela assume uma outra ​direção​: passa a ser um direito social, dever do Estado e direito dos cidadãos (Moura; Rodrigues</w:t>
      </w:r>
      <w:r>
        <w:rPr>
          <w:sz w:val="24"/>
          <w:szCs w:val="24"/>
        </w:rPr>
        <w:t xml:space="preserve">, </w:t>
      </w:r>
      <w:r>
        <w:rPr>
          <w:i w:val="false"/>
          <w:caps w:val="false"/>
          <w:smallCaps w:val="false"/>
          <w:strike w:val="false"/>
          <w:dstrike w:val="false"/>
          <w:color w:val="000000"/>
          <w:position w:val="0"/>
          <w:sz w:val="24"/>
          <w:sz w:val="24"/>
          <w:szCs w:val="24"/>
          <w:u w:val="none"/>
          <w:shd w:fill="auto" w:val="clear"/>
          <w:vertAlign w:val="baseline"/>
        </w:rPr>
        <w:t>2023). Contudo, mesmo com esses avanços normativos, a política de assistência social ainda é vista e influenciada por antigas ideias de caridade e de assistencialismo, visto que essas práticas, por muito tempo, condicionaram sua estrutura.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 xml:space="preserve">A Política de Assistência Social é estabelecida, entretanto, não havia clareza quanto às suas diretrizes. Isso porque ela ainda estava em fase inicial de desenvolvimento, impasses relacionados à forma como ela </w:t>
      </w:r>
      <w:r>
        <w:rPr>
          <w:sz w:val="24"/>
          <w:szCs w:val="24"/>
        </w:rPr>
        <w:t>viria</w:t>
      </w:r>
      <w:r>
        <w:rPr>
          <w:i w:val="false"/>
          <w:caps w:val="false"/>
          <w:smallCaps w:val="false"/>
          <w:strike w:val="false"/>
          <w:dstrike w:val="false"/>
          <w:color w:val="000000"/>
          <w:position w:val="0"/>
          <w:sz w:val="24"/>
          <w:sz w:val="24"/>
          <w:szCs w:val="24"/>
          <w:u w:val="none"/>
          <w:shd w:fill="auto" w:val="clear"/>
          <w:vertAlign w:val="baseline"/>
        </w:rPr>
        <w:t xml:space="preserve"> ser operacionalizada ainda se colocavam como um desafio a ser superado. Questões como a financeirização, a fragmentação dos serviços e a descentralização ainda não apresentavam contornos bem definidos, o que dificultava a consolidação de um modelo eficaz e articulado de gestão (Sposati, 2007).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r>
        <w:rPr>
          <w:i w:val="false"/>
          <w:caps w:val="false"/>
          <w:smallCaps w:val="false"/>
          <w:strike w:val="false"/>
          <w:dstrike w:val="false"/>
          <w:color w:val="000000"/>
          <w:position w:val="0"/>
          <w:sz w:val="24"/>
          <w:sz w:val="24"/>
          <w:szCs w:val="24"/>
          <w:u w:val="none"/>
          <w:shd w:fill="auto" w:val="clear"/>
          <w:vertAlign w:val="baseline"/>
        </w:rPr>
        <w:t>Segundo Sposati (2007), o primeiro projeto de lei orgânica, aprovado pelo Congresso em 1993, foi integralmente vetado pelo então presidente Fernando Collor sob o argumento de que o país não dispunha de recursos para assumi-lo. Isso demonstra como os interesses do presidente da época estavam desconectados das demandas do desenvolvimento social, e nos faz refletir sobre como as refrações da questão social recaíam sobre as populações vulnerabilizadas, marcadas pela exclusão e pela desigualdade social, relegados ao pauperismo e a subserviência, dificultando tanto o acesso à política quanto a superação do caráter clientelista historicamente presente na política de assistência.  Assim, resvalando pela ceara de seus interesses individuais, Fernando Collor aplicou medidas econômicas que visavam o desenvolvimento econômico em detrimento do financeiro.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 xml:space="preserve">Neste contexto, a aprovação da Política Nacional de Assistência Social em 2004 e, posteriormente, o Sistema Único de Assistência Social em 2005, representou um avanço significativo para a consolidação desta política enquanto direito. Isso porque estabeleceram diretrizes que </w:t>
      </w:r>
      <w:r>
        <w:rPr>
          <w:sz w:val="24"/>
          <w:szCs w:val="24"/>
        </w:rPr>
        <w:t>objetivam</w:t>
      </w:r>
      <w:r>
        <w:rPr>
          <w:i w:val="false"/>
          <w:caps w:val="false"/>
          <w:smallCaps w:val="false"/>
          <w:strike w:val="false"/>
          <w:dstrike w:val="false"/>
          <w:color w:val="000000"/>
          <w:position w:val="0"/>
          <w:sz w:val="24"/>
          <w:sz w:val="24"/>
          <w:szCs w:val="24"/>
          <w:u w:val="none"/>
          <w:shd w:fill="auto" w:val="clear"/>
          <w:vertAlign w:val="baseline"/>
        </w:rPr>
        <w:t xml:space="preserve"> romper com as fragmentações e fragilidades ainda presentes na política de assistência social, bem como estruturá-la com base na descentralização e </w:t>
      </w:r>
      <w:r>
        <w:rPr>
          <w:sz w:val="24"/>
          <w:szCs w:val="24"/>
        </w:rPr>
        <w:t>na territorialização</w:t>
      </w:r>
      <w:r>
        <w:rPr>
          <w:i w:val="false"/>
          <w:caps w:val="false"/>
          <w:smallCaps w:val="false"/>
          <w:strike w:val="false"/>
          <w:dstrike w:val="false"/>
          <w:color w:val="000000"/>
          <w:position w:val="0"/>
          <w:sz w:val="24"/>
          <w:sz w:val="24"/>
          <w:szCs w:val="24"/>
          <w:u w:val="none"/>
          <w:shd w:fill="auto" w:val="clear"/>
          <w:vertAlign w:val="baseline"/>
        </w:rPr>
        <w:t xml:space="preserve"> (Tapajós; Cruz; </w:t>
      </w:r>
      <w:r>
        <w:rPr>
          <w:sz w:val="24"/>
          <w:szCs w:val="24"/>
        </w:rPr>
        <w:t>Albuquerque</w:t>
      </w:r>
      <w:r>
        <w:rPr>
          <w:i w:val="false"/>
          <w:caps w:val="false"/>
          <w:smallCaps w:val="false"/>
          <w:strike w:val="false"/>
          <w:dstrike w:val="false"/>
          <w:color w:val="000000"/>
          <w:position w:val="0"/>
          <w:sz w:val="24"/>
          <w:sz w:val="24"/>
          <w:szCs w:val="24"/>
          <w:u w:val="none"/>
          <w:shd w:fill="auto" w:val="clear"/>
          <w:vertAlign w:val="baseline"/>
        </w:rPr>
        <w:t xml:space="preserve">, 2007 apud </w:t>
      </w:r>
      <w:r>
        <w:rPr>
          <w:sz w:val="24"/>
          <w:szCs w:val="24"/>
        </w:rPr>
        <w:t>Moura; Rodrigues, 2023</w:t>
      </w:r>
      <w:r>
        <w:rPr>
          <w:i w:val="false"/>
          <w:caps w:val="false"/>
          <w:smallCaps w:val="false"/>
          <w:strike w:val="false"/>
          <w:dstrike w:val="false"/>
          <w:color w:val="000000"/>
          <w:position w:val="0"/>
          <w:sz w:val="24"/>
          <w:sz w:val="24"/>
          <w:szCs w:val="24"/>
          <w:u w:val="none"/>
          <w:shd w:fill="auto" w:val="clear"/>
          <w:vertAlign w:val="baseline"/>
        </w:rPr>
        <w:t xml:space="preserve">). Desta forma, o estabelecimento de normas e diretrizes possibilita o combate a práticas que reforçam o caráter clientelista na política de assistência social, ao passo que permite o reconhecimento das demandas sociais </w:t>
      </w:r>
      <w:r>
        <w:rPr>
          <w:sz w:val="24"/>
          <w:szCs w:val="24"/>
        </w:rPr>
        <w:t>específicas</w:t>
      </w:r>
      <w:r>
        <w:rPr>
          <w:i w:val="false"/>
          <w:caps w:val="false"/>
          <w:smallCaps w:val="false"/>
          <w:strike w:val="false"/>
          <w:dstrike w:val="false"/>
          <w:color w:val="000000"/>
          <w:position w:val="0"/>
          <w:sz w:val="24"/>
          <w:sz w:val="24"/>
          <w:szCs w:val="24"/>
          <w:u w:val="none"/>
          <w:shd w:fill="auto" w:val="clear"/>
          <w:vertAlign w:val="baseline"/>
        </w:rPr>
        <w:t xml:space="preserve"> de cada território, promove a universalização dos serviços e o acesso aos benefícios socioassistenciais, rompendo com a lógica restrita e excludente na política de assistência social, marcada por interesses pessoais e políticos.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360" w:before="0" w:after="0"/>
        <w:ind w:left="0" w:right="0" w:hanging="0"/>
        <w:jc w:val="both"/>
        <w:rPr>
          <w:b/>
          <w:b/>
          <w:i w:val="false"/>
          <w:i w:val="false"/>
          <w:caps w:val="false"/>
          <w:smallCaps w:val="false"/>
          <w:strike w:val="false"/>
          <w:dstrike w:val="false"/>
          <w:color w:val="000000"/>
          <w:position w:val="0"/>
          <w:sz w:val="24"/>
          <w:sz w:val="24"/>
          <w:szCs w:val="24"/>
          <w:u w:val="none"/>
          <w:shd w:fill="auto" w:val="clear"/>
          <w:vertAlign w:val="baseline"/>
        </w:rPr>
      </w:pPr>
      <w:r>
        <w:rPr>
          <w:b/>
          <w:i w:val="false"/>
          <w:caps w:val="false"/>
          <w:smallCaps w:val="false"/>
          <w:strike w:val="false"/>
          <w:dstrike w:val="false"/>
          <w:color w:val="000000"/>
          <w:position w:val="0"/>
          <w:sz w:val="24"/>
          <w:sz w:val="24"/>
          <w:szCs w:val="24"/>
          <w:u w:val="none"/>
          <w:shd w:fill="auto" w:val="clear"/>
          <w:vertAlign w:val="baseline"/>
        </w:rPr>
        <w:t> </w:t>
      </w:r>
      <w:r>
        <w:rPr>
          <w:b/>
          <w:i w:val="false"/>
          <w:caps w:val="false"/>
          <w:smallCaps w:val="false"/>
          <w:strike w:val="false"/>
          <w:dstrike w:val="false"/>
          <w:color w:val="000000"/>
          <w:position w:val="0"/>
          <w:sz w:val="24"/>
          <w:sz w:val="24"/>
          <w:szCs w:val="24"/>
          <w:u w:val="none"/>
          <w:shd w:fill="auto" w:val="clear"/>
          <w:vertAlign w:val="baseline"/>
        </w:rPr>
        <w:t>4</w:t>
      </w:r>
      <w:r>
        <w:rPr>
          <w:b/>
          <w:sz w:val="24"/>
          <w:szCs w:val="24"/>
        </w:rPr>
        <w:t xml:space="preserve">  O AVANÇO DO NEOLIBERALISMO E SUAS IMPLICAÇÕES NA POLÍTICA DE ASSISTÊNCIA SOCIAL</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De acordo com França e Costa (2021), a promulgação da L</w:t>
      </w:r>
      <w:r>
        <w:rPr>
          <w:sz w:val="24"/>
          <w:szCs w:val="24"/>
        </w:rPr>
        <w:t>ei</w:t>
      </w:r>
      <w:r>
        <w:rPr>
          <w:i w:val="false"/>
          <w:caps w:val="false"/>
          <w:smallCaps w:val="false"/>
          <w:strike w:val="false"/>
          <w:dstrike w:val="false"/>
          <w:color w:val="000000"/>
          <w:position w:val="0"/>
          <w:sz w:val="24"/>
          <w:sz w:val="24"/>
          <w:szCs w:val="24"/>
          <w:u w:val="none"/>
          <w:shd w:fill="auto" w:val="clear"/>
          <w:vertAlign w:val="baseline"/>
        </w:rPr>
        <w:t xml:space="preserve"> </w:t>
      </w:r>
      <w:r>
        <w:rPr>
          <w:sz w:val="24"/>
          <w:szCs w:val="24"/>
        </w:rPr>
        <w:t xml:space="preserve">Orgânica da Assistência </w:t>
      </w:r>
      <w:r>
        <w:rPr>
          <w:i w:val="false"/>
          <w:caps w:val="false"/>
          <w:smallCaps w:val="false"/>
          <w:strike w:val="false"/>
          <w:dstrike w:val="false"/>
          <w:color w:val="000000"/>
          <w:position w:val="0"/>
          <w:sz w:val="24"/>
          <w:sz w:val="24"/>
          <w:szCs w:val="24"/>
          <w:u w:val="none"/>
          <w:shd w:fill="auto" w:val="clear"/>
          <w:vertAlign w:val="baseline"/>
        </w:rPr>
        <w:t>S</w:t>
      </w:r>
      <w:r>
        <w:rPr>
          <w:sz w:val="24"/>
          <w:szCs w:val="24"/>
        </w:rPr>
        <w:t xml:space="preserve">ocial </w:t>
      </w:r>
      <w:r>
        <w:rPr>
          <w:i w:val="false"/>
          <w:caps w:val="false"/>
          <w:smallCaps w:val="false"/>
          <w:strike w:val="false"/>
          <w:dstrike w:val="false"/>
          <w:color w:val="000000"/>
          <w:position w:val="0"/>
          <w:sz w:val="24"/>
          <w:sz w:val="24"/>
          <w:szCs w:val="24"/>
          <w:u w:val="none"/>
          <w:shd w:fill="auto" w:val="clear"/>
          <w:vertAlign w:val="baseline"/>
        </w:rPr>
        <w:t>- LOAS, L</w:t>
      </w:r>
      <w:r>
        <w:rPr>
          <w:sz w:val="24"/>
          <w:szCs w:val="24"/>
        </w:rPr>
        <w:t>ei</w:t>
      </w:r>
      <w:r>
        <w:rPr>
          <w:i w:val="false"/>
          <w:caps w:val="false"/>
          <w:smallCaps w:val="false"/>
          <w:strike w:val="false"/>
          <w:dstrike w:val="false"/>
          <w:color w:val="000000"/>
          <w:position w:val="0"/>
          <w:sz w:val="24"/>
          <w:sz w:val="24"/>
          <w:szCs w:val="24"/>
          <w:u w:val="none"/>
          <w:shd w:fill="auto" w:val="clear"/>
          <w:vertAlign w:val="baseline"/>
        </w:rPr>
        <w:t xml:space="preserve"> 8.742/93</w:t>
      </w:r>
      <w:r>
        <w:rPr>
          <w:sz w:val="24"/>
          <w:szCs w:val="24"/>
        </w:rPr>
        <w:t xml:space="preserve"> </w:t>
      </w:r>
      <w:r>
        <w:rPr>
          <w:i w:val="false"/>
          <w:caps w:val="false"/>
          <w:smallCaps w:val="false"/>
          <w:strike w:val="false"/>
          <w:dstrike w:val="false"/>
          <w:color w:val="000000"/>
          <w:position w:val="0"/>
          <w:sz w:val="24"/>
          <w:sz w:val="24"/>
          <w:szCs w:val="24"/>
          <w:u w:val="none"/>
          <w:shd w:fill="auto" w:val="clear"/>
          <w:vertAlign w:val="baseline"/>
        </w:rPr>
        <w:t>ocorreu em um contexto marcado por influências de cunho liberal, nesse sentido, é observada uma postura crescente de delegar a responsabilidade do atendimento social a entidades da sociedade civil, enquanto o Estado, ao descentralizar suas ações, deixou de atender diversos segmentos vulneráveis da população. Com isso, muitas pessoas ficaram desprotegidas, tanto pelo poder público, quanto pelas dinâmicas do mercado, ficando sujeitas às práticas de voluntariado, assistencialismo e ajuda mútua, ações que eram inclusive incentivadas pelas diretrizes governamentais da época.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 xml:space="preserve">Os serviços ofertados </w:t>
      </w:r>
      <w:r>
        <w:rPr>
          <w:sz w:val="24"/>
          <w:szCs w:val="24"/>
        </w:rPr>
        <w:t>pelo SUAS</w:t>
      </w:r>
      <w:r>
        <w:rPr>
          <w:i w:val="false"/>
          <w:caps w:val="false"/>
          <w:smallCaps w:val="false"/>
          <w:strike w:val="false"/>
          <w:dstrike w:val="false"/>
          <w:color w:val="000000"/>
          <w:position w:val="0"/>
          <w:sz w:val="24"/>
          <w:sz w:val="24"/>
          <w:szCs w:val="24"/>
          <w:u w:val="none"/>
          <w:shd w:fill="auto" w:val="clear"/>
          <w:vertAlign w:val="baseline"/>
        </w:rPr>
        <w:t xml:space="preserve"> estão divididos em: proteção básica e proteção especial, além de contar com benefícios e programas de transferência de renda, dentre outros. Nos últimos anos, com o retorno de políticas de enfoque neoliberal, a manutenção de recursos públicos enfrentou grandes dificuldades, impulsionadas principalmente pela redução de investimentos e limitação de recursos. Isso se reverberou em cortes significativos em recortes federais repassados para o Sistema Único de Assistência Social (SUAS) e o financiamento compartilhado da rede socioassistencial. Atualmente, observa-se a intensificação de um modelo de Estado que prioriza o ajuste fiscal em nome de uma suposta recuperação econômica. No entanto, esse avanço das políticas neoliberais tem limitado direitos e dificultado o acesso a políticas sociais, afetando a população mais vulnerável, afastando o Estado do seu papel social de provedor de direitos e promovendo uma retração da democracia (Vieira; Teixeira, 2021).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Conforme posto por Amorim (2021), as políticas neoliberais ganharam força durante os governos de Michel Temer e Jair Bolsonaro. Em ambos os mandatos, foram adotadas medidas que visavam reduzir a atuação do Estado e cortar gastos públicos, especialmente nas áreas sociais, tais ações resultaram no congelamento de investimentos e na implementação de reformas que, embora apresentadas como soluções para a crise, não priorizam o bem-estar coletivo. Em vez disso, concentram seus esforços em respostas focalizadas para populações em situação de extrema pobreza, aprofundando, assim, as desigualdades sociais. A autora destaca ainda que, no governo Bolsonaro, a lógica da austeridade foi além do aspecto fiscal, incorporando também uma dimensão moral. Nessa perspectiva, observa-se a criminalização da pobreza e a responsabilização individual pelos problemas sociais, ao mesmo tempo em que o Estado se exime de suas obrigações. Esse cenário contribui para o enfraquecimento da participação social, que passa a ser desestimulada e marginalizada.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Ainda nos governos de Temer e Bolsonaro, a emenda constitucional n° 95, não é apenas uma ação tomada para corte de gastos, mas sim uma estratégia orquestrada que tem contribuído para o enfraquecimento da política de assistência social no Brasil. Como enfatizado por Bronzo e Araújo (2024), a emenda constitucional não gerou apenas consequências acidentais, mas foi uma ação planejada com objetivo de enfraquecer as políticas sociais. Nesse contexto, trata-se de um “desmonte ativo”, como apontado pelas autoras, é um processo que faz parte de uma estratégia para desmobilizar e diminuir o alcance e a efetividade dessas políticas. Nesse sentido: </w:t>
      </w:r>
    </w:p>
    <w:p>
      <w:pPr>
        <w:pStyle w:val="Normal1"/>
        <w:keepNext w:val="false"/>
        <w:keepLines w:val="false"/>
        <w:pageBreakBefore w:val="false"/>
        <w:widowControl/>
        <w:pBdr/>
        <w:shd w:val="clear" w:fill="auto"/>
        <w:spacing w:lineRule="auto" w:line="360" w:before="0" w:after="0"/>
        <w:ind w:left="0" w:right="0" w:hanging="0"/>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0" w:after="0"/>
        <w:ind w:left="2267" w:right="0" w:hanging="0"/>
        <w:jc w:val="both"/>
        <w:rPr>
          <w:i w:val="false"/>
          <w:i w:val="false"/>
          <w:caps w:val="false"/>
          <w:smallCaps w:val="false"/>
          <w:strike w:val="false"/>
          <w:dstrike w:val="false"/>
          <w:color w:val="000000"/>
          <w:position w:val="0"/>
          <w:sz w:val="20"/>
          <w:sz w:val="20"/>
          <w:szCs w:val="20"/>
          <w:u w:val="none"/>
          <w:shd w:fill="auto" w:val="clear"/>
          <w:vertAlign w:val="baseline"/>
        </w:rPr>
      </w:pPr>
      <w:r>
        <w:rPr>
          <w:i w:val="false"/>
          <w:caps w:val="false"/>
          <w:smallCaps w:val="false"/>
          <w:strike w:val="false"/>
          <w:dstrike w:val="false"/>
          <w:color w:val="000000"/>
          <w:position w:val="0"/>
          <w:sz w:val="20"/>
          <w:sz w:val="20"/>
          <w:szCs w:val="20"/>
          <w:u w:val="none"/>
          <w:shd w:fill="auto" w:val="clear"/>
          <w:vertAlign w:val="baseline"/>
        </w:rPr>
        <w:t>O contexto político-institucional e econômico desse processo propiciou o desmonte ativo a partir do interesse explícito dos governantes e decisores na extinção ou enfraquecimento do SUAS, tanto em intensidade quanto em densidade. Tal desmonte pode ser aqui evidenciado em cinco dimensões: enfraquecimento dos espaços de construção e deliberação da política; redução do financiamento e descontinuidade dos repasses aos estados e municípios; substituição do Bolsa Família pelo Auxílio Brasil; enfraquecimento dos recursos humanos, com esvaziamento dos setores da assistência social; e mudanças nos instrumentos da política, com uso do Cadastro Único sob um viés reducionista (Bronzo e Araújo, 2024, p. 9). </w:t>
      </w:r>
    </w:p>
    <w:p>
      <w:pPr>
        <w:pStyle w:val="Normal1"/>
        <w:keepNext w:val="false"/>
        <w:keepLines w:val="false"/>
        <w:pageBreakBefore w:val="false"/>
        <w:widowControl/>
        <w:pBdr/>
        <w:shd w:val="clear" w:fill="auto"/>
        <w:spacing w:lineRule="auto" w:line="360" w:before="0" w:after="0"/>
        <w:ind w:left="2265" w:right="0" w:hanging="0"/>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360" w:before="0" w:after="0"/>
        <w:ind w:left="0" w:right="0" w:hanging="0"/>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Dessa forma, a intenção não é a redução de gastos, mas sim a reconfiguração do papel do Estado na proteção social, esvaziando a capacidade do SUAS de funcionar como uma política sólida e bem articulada. A consequência disso é uma rede de proteção fragilizada, com menor capacidade de assegurar direitos e atender às demandas sociais. Trata-se, portanto, de um desmonte que atinge não só as estruturas institucionais, mas também a concepção de assistência social como um direito e política pública universal.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b/>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Essas estratégias e ações permanecem sob um discurso neoliberal, dessa forma, a política de assistência social continua sendo executada por meio de programas de cunho focalizado e limitado, que não garantem a universalização dos direitos e a emancipação dos indivíduos, mas apenas atenuam a pobreza a um ponto mínimo, apenas para aliviar as tensões sociais e estabilizar o mercado (França; Costa, 2021).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r>
        <w:rPr>
          <w:i w:val="false"/>
          <w:caps w:val="false"/>
          <w:smallCaps w:val="false"/>
          <w:strike w:val="false"/>
          <w:dstrike w:val="false"/>
          <w:color w:val="000000"/>
          <w:position w:val="0"/>
          <w:sz w:val="24"/>
          <w:sz w:val="24"/>
          <w:szCs w:val="24"/>
          <w:u w:val="none"/>
          <w:shd w:fill="auto" w:val="clear"/>
          <w:vertAlign w:val="baseline"/>
        </w:rPr>
        <w:t>Conforme inferido por França e Costa (2021), o SUAS tem enfrentado um enfraquecimento, como resultado da combinação entre o neoliberalismo e o conservadorismo, impulsionando medidas de austeridade, restrições orçamentárias e cortes de recursos. Além disso, esse cenário é agravado por uma alienação imposta por governos com discursos de cunhos ideológicos.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xml:space="preserve">​​​  </w:t>
      </w:r>
      <w:r>
        <w:rPr>
          <w:i w:val="false"/>
          <w:caps w:val="false"/>
          <w:smallCaps w:val="false"/>
          <w:strike w:val="false"/>
          <w:dstrike w:val="false"/>
          <w:color w:val="000000"/>
          <w:position w:val="0"/>
          <w:sz w:val="24"/>
          <w:sz w:val="24"/>
          <w:szCs w:val="24"/>
          <w:u w:val="none"/>
          <w:shd w:fill="auto" w:val="clear"/>
          <w:vertAlign w:val="baseline"/>
        </w:rPr>
        <w:t>Nesse sentido, trata-se de uma escolha política deliberada do Estado, que tem adotado medidas que o afastam do seu papel de garantidor de direitos, ao reduzir drasticamente os investimentos, modificar instrumentos de gestão e comprometer o fluxo regular de recursos para estados e municípios, compromete não apenas a manutenção e continuação dos serviços socioassistenciais, mas também o próprio sentido das políticas públicas na promoção de direitos e superação de desigualdades. O deslocamento deliberado da responsabilidade estatal para o terceiro setor evidencia o retorno de práticas assistencialistas sustentadas por ações pontuais, de caráter filantrópico e voluntarista.  </w:t>
      </w:r>
    </w:p>
    <w:p>
      <w:pPr>
        <w:pStyle w:val="Normal1"/>
        <w:keepNext w:val="false"/>
        <w:keepLines w:val="false"/>
        <w:pageBreakBefore w:val="false"/>
        <w:widowControl/>
        <w:pBdr/>
        <w:shd w:val="clear" w:fill="auto"/>
        <w:spacing w:lineRule="auto" w:line="360" w:before="0" w:after="0"/>
        <w:ind w:left="0" w:right="0" w:firstLine="708"/>
        <w:jc w:val="both"/>
        <w:rPr>
          <w:i w:val="false"/>
          <w:i w:val="false"/>
          <w:caps w:val="false"/>
          <w:smallCaps w:val="false"/>
          <w:strike w:val="false"/>
          <w:dstrike w:val="false"/>
          <w:color w:val="000000"/>
          <w:position w:val="0"/>
          <w:sz w:val="24"/>
          <w:sz w:val="24"/>
          <w:szCs w:val="24"/>
          <w:u w:val="none"/>
          <w:shd w:fill="auto" w:val="clear"/>
          <w:vertAlign w:val="baseline"/>
        </w:rPr>
      </w:pPr>
      <w:r>
        <w:rPr>
          <w:i w:val="false"/>
          <w:caps w:val="false"/>
          <w:smallCaps w:val="false"/>
          <w:strike w:val="false"/>
          <w:dstrike w:val="false"/>
          <w:color w:val="000000"/>
          <w:position w:val="0"/>
          <w:sz w:val="24"/>
          <w:sz w:val="24"/>
          <w:szCs w:val="24"/>
          <w:u w:val="none"/>
          <w:shd w:fill="auto" w:val="clear"/>
          <w:vertAlign w:val="baseline"/>
        </w:rPr>
        <w:t> </w:t>
      </w:r>
      <w:r>
        <w:rPr>
          <w:i w:val="false"/>
          <w:caps w:val="false"/>
          <w:smallCaps w:val="false"/>
          <w:strike w:val="false"/>
          <w:dstrike w:val="false"/>
          <w:color w:val="000000"/>
          <w:position w:val="0"/>
          <w:sz w:val="24"/>
          <w:sz w:val="24"/>
          <w:szCs w:val="24"/>
          <w:u w:val="none"/>
          <w:shd w:fill="auto" w:val="clear"/>
          <w:vertAlign w:val="baseline"/>
        </w:rPr>
        <w:t>Em síntese, observa-se a consolidação de um modelo fragmentado e descomprometido com a universalização dos direitos. A combinação dos cortes orçamentários, da desestruturação dos pactos federativos e das mudanças nos mecanismos de financiamento demonstra uma estratégia de desmonte tanto técnica quanto política. Essa ação impacta profundamente a capacidade do Estado de garantir a proteção social, especialmente diante do aumento das demandas e da vulnerabilidade social, conforme revelam os dados referentes ao período de 2016 a 2022, marcados pela drástica redução dos repasses federais, pelo esvaziamento das ofertas socioassistenciais e pela adoção de medidas que comprometeram a estrutura e o funcionamento do SUAS (Bronzo; Araújo, 2024). </w:t>
      </w:r>
    </w:p>
    <w:p>
      <w:pPr>
        <w:pStyle w:val="Normal1"/>
        <w:spacing w:lineRule="auto" w:line="360"/>
        <w:ind w:left="0" w:firstLine="708"/>
        <w:jc w:val="both"/>
        <w:rPr>
          <w:position w:val="0"/>
          <w:sz w:val="24"/>
          <w:sz w:val="24"/>
          <w:szCs w:val="24"/>
          <w:vertAlign w:val="baseline"/>
        </w:rPr>
      </w:pPr>
      <w:r>
        <w:rPr>
          <w:position w:val="0"/>
          <w:sz w:val="24"/>
          <w:sz w:val="24"/>
          <w:szCs w:val="24"/>
          <w:vertAlign w:val="baseline"/>
        </w:rPr>
      </w:r>
    </w:p>
    <w:p>
      <w:pPr>
        <w:pStyle w:val="Normal1"/>
        <w:spacing w:lineRule="auto" w:line="360"/>
        <w:ind w:left="0" w:firstLine="708"/>
        <w:jc w:val="both"/>
        <w:rPr>
          <w:position w:val="0"/>
          <w:sz w:val="24"/>
          <w:sz w:val="24"/>
          <w:szCs w:val="24"/>
          <w:vertAlign w:val="baseline"/>
        </w:rPr>
      </w:pPr>
      <w:r>
        <w:rPr>
          <w:b/>
          <w:sz w:val="24"/>
          <w:szCs w:val="24"/>
        </w:rPr>
        <w:t>5</w:t>
      </w:r>
      <w:r>
        <w:rPr>
          <w:b/>
          <w:position w:val="0"/>
          <w:sz w:val="24"/>
          <w:sz w:val="24"/>
          <w:szCs w:val="24"/>
          <w:vertAlign w:val="baseline"/>
        </w:rPr>
        <w:tab/>
        <w:t>CONCLUSÃO</w:t>
      </w:r>
    </w:p>
    <w:p>
      <w:pPr>
        <w:pStyle w:val="Normal1"/>
        <w:spacing w:lineRule="auto" w:line="360"/>
        <w:ind w:left="0" w:firstLine="708"/>
        <w:jc w:val="both"/>
        <w:rPr>
          <w:position w:val="0"/>
          <w:sz w:val="24"/>
          <w:sz w:val="24"/>
          <w:szCs w:val="24"/>
          <w:vertAlign w:val="baseline"/>
        </w:rPr>
      </w:pPr>
      <w:r>
        <w:rPr>
          <w:position w:val="0"/>
          <w:sz w:val="24"/>
          <w:sz w:val="24"/>
          <w:szCs w:val="24"/>
          <w:vertAlign w:val="baseline"/>
        </w:rPr>
      </w:r>
    </w:p>
    <w:p>
      <w:pPr>
        <w:pStyle w:val="Normal1"/>
        <w:spacing w:lineRule="auto" w:line="360"/>
        <w:ind w:left="0" w:firstLine="708"/>
        <w:jc w:val="both"/>
        <w:rPr>
          <w:position w:val="0"/>
          <w:sz w:val="24"/>
          <w:sz w:val="24"/>
          <w:szCs w:val="24"/>
          <w:vertAlign w:val="baseline"/>
        </w:rPr>
      </w:pPr>
      <w:r>
        <w:rPr>
          <w:sz w:val="24"/>
          <w:szCs w:val="24"/>
        </w:rPr>
        <w:t xml:space="preserve">     </w:t>
      </w:r>
      <w:r>
        <w:rPr>
          <w:position w:val="0"/>
          <w:sz w:val="24"/>
          <w:sz w:val="24"/>
          <w:szCs w:val="24"/>
          <w:vertAlign w:val="baseline"/>
        </w:rPr>
        <w:t xml:space="preserve">Diante do exposto, é possível afirmar que a assistência social no brasil perpassou por diversas transformações, sejam políticas e econômicas, e assim marcaram um complexo de conjuntos históricos desde as nuances até o que se tem sobre a política social no Brasil. Considerando isso, por longas décadas​​ as práticas caritativas das doutrinas cristãs se firmaram suas atividades como votos piedosos e de solidariedade ao próximo, como um valor moral.                    </w:t>
      </w:r>
    </w:p>
    <w:p>
      <w:pPr>
        <w:pStyle w:val="Normal1"/>
        <w:spacing w:lineRule="auto" w:line="360"/>
        <w:ind w:left="0" w:firstLine="708"/>
        <w:jc w:val="both"/>
        <w:rPr>
          <w:position w:val="0"/>
          <w:sz w:val="24"/>
          <w:sz w:val="24"/>
          <w:szCs w:val="24"/>
          <w:vertAlign w:val="baseline"/>
        </w:rPr>
      </w:pPr>
      <w:r>
        <w:rPr>
          <w:sz w:val="24"/>
          <w:szCs w:val="24"/>
        </w:rPr>
        <w:t xml:space="preserve">     </w:t>
      </w:r>
      <w:r>
        <w:rPr>
          <w:position w:val="0"/>
          <w:sz w:val="24"/>
          <w:sz w:val="24"/>
          <w:szCs w:val="24"/>
          <w:vertAlign w:val="baseline"/>
        </w:rPr>
        <w:t xml:space="preserve">E nisso, a assistência por muito tempo era compreendida com favores, permeada por ações individuais. Dessa forma, com a soma das lutas advindas das classes trabalhadoras, a insatisfação com a vida que levavam nas fábricas, foi o pontapé para a formação dos direitos firmados pela constituição de 1988, que vinham depois a estruturação de outros direitos sociais, políticos e civis. E por isso, esse rompimento dessa prática tradicionalista inaugura um </w:t>
      </w:r>
      <w:r>
        <w:rPr>
          <w:sz w:val="24"/>
          <w:szCs w:val="24"/>
        </w:rPr>
        <w:t xml:space="preserve">Estado </w:t>
      </w:r>
      <w:r>
        <w:rPr>
          <w:position w:val="0"/>
          <w:sz w:val="24"/>
          <w:sz w:val="24"/>
          <w:szCs w:val="24"/>
          <w:vertAlign w:val="baseline"/>
        </w:rPr>
        <w:t xml:space="preserve">que tem que cumprir com seus objetivos de proteção social, equidade e participação da sociedade.  </w:t>
      </w:r>
    </w:p>
    <w:p>
      <w:pPr>
        <w:pStyle w:val="Normal1"/>
        <w:spacing w:lineRule="auto" w:line="360"/>
        <w:ind w:left="0" w:firstLine="708"/>
        <w:jc w:val="both"/>
        <w:rPr>
          <w:position w:val="0"/>
          <w:sz w:val="24"/>
          <w:sz w:val="24"/>
          <w:szCs w:val="24"/>
          <w:vertAlign w:val="baseline"/>
        </w:rPr>
      </w:pPr>
      <w:r>
        <w:rPr>
          <w:sz w:val="24"/>
          <w:szCs w:val="24"/>
        </w:rPr>
        <w:t xml:space="preserve">   </w:t>
      </w:r>
      <w:r>
        <w:rPr>
          <w:position w:val="0"/>
          <w:sz w:val="24"/>
          <w:sz w:val="24"/>
          <w:szCs w:val="24"/>
          <w:vertAlign w:val="baseline"/>
        </w:rPr>
        <w:t>No entanto, é lícito postular que o Estado desempenha um papel central no processo de desmonte das políticas públicas, a</w:t>
      </w:r>
      <w:r>
        <w:rPr>
          <w:sz w:val="24"/>
          <w:szCs w:val="24"/>
        </w:rPr>
        <w:t>fastando-s</w:t>
      </w:r>
      <w:r>
        <w:rPr>
          <w:position w:val="0"/>
          <w:sz w:val="24"/>
          <w:sz w:val="24"/>
          <w:szCs w:val="24"/>
          <w:vertAlign w:val="baseline"/>
        </w:rPr>
        <w:t>e sua responsabilidade como garantidor de direitos. Ao transferir suas obrigações para entidades terceiras, muitas vezes orientadas por interesse do mercado, o Estado fragiliza o controle social, enfraquece essas políticas públicas e contribui para a ampliação das desigualdades e das diversas expressões da questão social. Destarte, é necessário um olhar direcionado para real preocupação: assegurar os direitos da população, para que a emancipação social se torne não uma utopia, mas uma realidade tangível.</w:t>
      </w:r>
    </w:p>
    <w:p>
      <w:pPr>
        <w:pStyle w:val="Normal1"/>
        <w:spacing w:lineRule="auto" w:line="360"/>
        <w:jc w:val="center"/>
        <w:rPr>
          <w:position w:val="0"/>
          <w:sz w:val="24"/>
          <w:sz w:val="24"/>
          <w:szCs w:val="24"/>
          <w:vertAlign w:val="baseline"/>
        </w:rPr>
      </w:pPr>
      <w:r>
        <w:rPr>
          <w:position w:val="0"/>
          <w:sz w:val="24"/>
          <w:sz w:val="24"/>
          <w:szCs w:val="24"/>
          <w:vertAlign w:val="baseline"/>
        </w:rPr>
      </w:r>
    </w:p>
    <w:p>
      <w:pPr>
        <w:pStyle w:val="Normal1"/>
        <w:spacing w:lineRule="auto" w:line="360"/>
        <w:jc w:val="left"/>
        <w:rPr>
          <w:b/>
          <w:b/>
          <w:position w:val="0"/>
          <w:sz w:val="24"/>
          <w:sz w:val="24"/>
          <w:szCs w:val="24"/>
          <w:vertAlign w:val="baseline"/>
        </w:rPr>
      </w:pPr>
      <w:r>
        <w:rPr>
          <w:b/>
          <w:sz w:val="24"/>
          <w:szCs w:val="24"/>
        </w:rPr>
        <w:t xml:space="preserve">     </w:t>
      </w:r>
      <w:r>
        <w:rPr>
          <w:b/>
          <w:position w:val="0"/>
          <w:sz w:val="24"/>
          <w:sz w:val="24"/>
          <w:szCs w:val="24"/>
          <w:vertAlign w:val="baseline"/>
        </w:rPr>
        <w:t xml:space="preserve">REFERÊNCIAS </w:t>
      </w:r>
    </w:p>
    <w:p>
      <w:pPr>
        <w:pStyle w:val="Normal1"/>
        <w:spacing w:lineRule="auto" w:line="360"/>
        <w:jc w:val="left"/>
        <w:rPr>
          <w:b/>
          <w:b/>
          <w:sz w:val="24"/>
          <w:szCs w:val="24"/>
        </w:rPr>
      </w:pPr>
      <w:r>
        <w:rPr>
          <w:b/>
          <w:sz w:val="24"/>
          <w:szCs w:val="24"/>
        </w:rPr>
      </w:r>
    </w:p>
    <w:p>
      <w:pPr>
        <w:pStyle w:val="Normal1"/>
        <w:spacing w:lineRule="auto" w:line="240"/>
        <w:rPr>
          <w:sz w:val="24"/>
          <w:szCs w:val="24"/>
        </w:rPr>
      </w:pPr>
      <w:r>
        <w:rPr>
          <w:sz w:val="24"/>
          <w:szCs w:val="24"/>
        </w:rPr>
        <w:t xml:space="preserve">AMORIM, T. </w:t>
      </w:r>
      <w:r>
        <w:rPr>
          <w:b/>
          <w:sz w:val="24"/>
          <w:szCs w:val="24"/>
        </w:rPr>
        <w:t>A política de assistência social brasileira no contexto de crise do capital</w:t>
      </w:r>
      <w:r>
        <w:rPr>
          <w:sz w:val="24"/>
          <w:szCs w:val="24"/>
        </w:rPr>
        <w:t>: a estratégia da gestão em rede. Em: EDUFPI (Ed.). A Assistência Social e o SUAS no Contexto de Desmonte da Seguridade Social Brasileira. [s.l: s.n.]. p. 175–191.</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BEHRING, Elaine Rossetti; BOSCHETTI, Ivanete. </w:t>
      </w:r>
      <w:r>
        <w:rPr>
          <w:b/>
          <w:sz w:val="24"/>
          <w:szCs w:val="24"/>
        </w:rPr>
        <w:t>Política social</w:t>
      </w:r>
      <w:r>
        <w:rPr>
          <w:sz w:val="24"/>
          <w:szCs w:val="24"/>
        </w:rPr>
        <w:t>: fundamentos e história. 6. ed. São Paulo: Cortez, 2011.</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BRASIL. [Constituição (1988)]. </w:t>
      </w:r>
      <w:r>
        <w:rPr>
          <w:b/>
          <w:sz w:val="24"/>
          <w:szCs w:val="24"/>
        </w:rPr>
        <w:t>Constituição da República Federativa do Brasil de 1988. Brasília, DF</w:t>
      </w:r>
      <w:r>
        <w:rPr>
          <w:sz w:val="24"/>
          <w:szCs w:val="24"/>
        </w:rPr>
        <w:t>: Presidente da República, [2016]. Disponível em: http://www.planalto.gov.br/ccivil_03/constituicao/constituicao.htm. Acesso em 24 jun 2025</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BRONZO, C.; ARAÚJO, E. T. DE. </w:t>
      </w:r>
      <w:r>
        <w:rPr>
          <w:b/>
          <w:sz w:val="24"/>
          <w:szCs w:val="24"/>
        </w:rPr>
        <w:t>Desmonte da Política de Assistência Social no Brasil pós 2016</w:t>
      </w:r>
      <w:r>
        <w:rPr>
          <w:sz w:val="24"/>
          <w:szCs w:val="24"/>
        </w:rPr>
        <w:t>: uma tragédia anunciada. Revista Brasileira de Ciência Política, v. 43, 2024.</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DE HOLANDA VIEIRA SOLANGE MARIA TEIXEIRA, N. A política de assistência social no capitalismo contemporâneo: desafios da realidade brasileira. Em: EDUFPI (Ed.). </w:t>
      </w:r>
      <w:r>
        <w:rPr>
          <w:b/>
          <w:sz w:val="24"/>
          <w:szCs w:val="24"/>
        </w:rPr>
        <w:t>A Assistência Social e o SUAS no Contexto de Desmonte da Seguridade Social Brasileira</w:t>
      </w:r>
      <w:r>
        <w:rPr>
          <w:sz w:val="24"/>
          <w:szCs w:val="24"/>
        </w:rPr>
        <w:t>. [s.l: s.n.]. p. 139–152.</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DE FRANÇA TERESA CRISTINA MOURA COSTA, R. M. S. as diretrizes do suas em tempos de neoliberalismo conservador e os desafios em relação à garantia de direitos. Em: EDUFPI (Ed.). </w:t>
      </w:r>
      <w:r>
        <w:rPr>
          <w:b/>
          <w:sz w:val="24"/>
          <w:szCs w:val="24"/>
        </w:rPr>
        <w:t>A Assistência Social e o SUAS no Contexto de Desmonte da Seguridade Social Brasileira</w:t>
      </w:r>
      <w:r>
        <w:rPr>
          <w:sz w:val="24"/>
          <w:szCs w:val="24"/>
        </w:rPr>
        <w:t>. [s.l: s.n.]. p. 153–173.</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DE OLIVEIRA, Taiana; ALVES, Ismael Gonçalves. </w:t>
      </w:r>
      <w:r>
        <w:rPr>
          <w:b/>
          <w:sz w:val="24"/>
          <w:szCs w:val="24"/>
        </w:rPr>
        <w:t>Legião Brasileira de Assistência e políticas sociais</w:t>
      </w:r>
      <w:r>
        <w:rPr>
          <w:sz w:val="24"/>
          <w:szCs w:val="24"/>
        </w:rPr>
        <w:t>: primeiro-damismo, gênero e assistência social. Boletim Historiar, v. 7, n. 02, 2020.</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JUSBRASIL. </w:t>
      </w:r>
      <w:r>
        <w:rPr>
          <w:b/>
          <w:sz w:val="24"/>
          <w:szCs w:val="24"/>
        </w:rPr>
        <w:t>Artigo 203 da Constituição Federal de 1988</w:t>
      </w:r>
      <w:r>
        <w:rPr>
          <w:sz w:val="24"/>
          <w:szCs w:val="24"/>
        </w:rPr>
        <w:t>. Disponível em: https://www.jusbrasil.com.br/topicos/10651100/artigo-203-da-constituicao-federal-de-1988. Acesso em: 13 de junho de 2025.</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MOURA, M. Q. ; RODRIGUES, M. F. O. </w:t>
      </w:r>
      <w:r>
        <w:rPr>
          <w:b/>
          <w:sz w:val="24"/>
          <w:szCs w:val="24"/>
        </w:rPr>
        <w:t>A construção histórica da política de assistência social no Brasil.</w:t>
      </w:r>
      <w:r>
        <w:rPr>
          <w:sz w:val="24"/>
          <w:szCs w:val="24"/>
        </w:rPr>
        <w:t xml:space="preserve"> 2023.</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NASCIMENTO Habib, Sheila Marques, e GUIMARÃES, Darlene Mendes. </w:t>
      </w:r>
      <w:r>
        <w:rPr>
          <w:b/>
          <w:sz w:val="24"/>
          <w:szCs w:val="24"/>
        </w:rPr>
        <w:t>"A efetivação do direito à assistência social através das políticas públicas."</w:t>
      </w:r>
      <w:r>
        <w:rPr>
          <w:sz w:val="24"/>
          <w:szCs w:val="24"/>
        </w:rPr>
        <w:t xml:space="preserve"> Revista de Direito Sociais e Políticas Públicas, vol. 5, n. 1, p. 1-21, jan./jun. 2019. e-ISSN: 2525-9881. Goiânia.</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POTRICH, M.. Revista Vernáculo n.° 48 ? segundo semestre/2021 ISSN 2317-4021 7 </w:t>
      </w:r>
      <w:r>
        <w:rPr>
          <w:b/>
          <w:sz w:val="24"/>
          <w:szCs w:val="24"/>
        </w:rPr>
        <w:t>Clientelismo e Assistencialismo</w:t>
      </w:r>
      <w:r>
        <w:rPr>
          <w:sz w:val="24"/>
          <w:szCs w:val="24"/>
        </w:rPr>
        <w:t>: a tradição da assistência social no Brasil.. REVISTA VERNÁCULO, v. 2, p. 7-19, 2021.</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SILVA, Cláudia Neves da. </w:t>
      </w:r>
      <w:r>
        <w:rPr>
          <w:b/>
          <w:sz w:val="24"/>
          <w:szCs w:val="24"/>
        </w:rPr>
        <w:t>Igreja Católica, assistência social e caridade</w:t>
      </w:r>
      <w:r>
        <w:rPr>
          <w:sz w:val="24"/>
          <w:szCs w:val="24"/>
        </w:rPr>
        <w:t>: aproximações e divergências. Serviço Social &amp; Sociedade, São Paulo, n. 87, p. 112–131.</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SILVA, Maria Ozanira da.;  YZABEK, Maria Carmelita. </w:t>
      </w:r>
      <w:r>
        <w:rPr>
          <w:b/>
          <w:sz w:val="24"/>
          <w:szCs w:val="24"/>
        </w:rPr>
        <w:t>Políticas públicas de trabalho e renda no Brasil contemporâneo</w:t>
      </w:r>
      <w:r>
        <w:rPr>
          <w:sz w:val="24"/>
          <w:szCs w:val="24"/>
        </w:rPr>
        <w:t>. 3ª edição. São Paulo: Cortez, 2012.</w:t>
      </w:r>
    </w:p>
    <w:p>
      <w:pPr>
        <w:pStyle w:val="Normal1"/>
        <w:spacing w:lineRule="auto" w:line="240"/>
        <w:rPr>
          <w:sz w:val="24"/>
          <w:szCs w:val="24"/>
        </w:rPr>
      </w:pPr>
      <w:r>
        <w:rPr>
          <w:sz w:val="24"/>
          <w:szCs w:val="24"/>
        </w:rPr>
      </w:r>
    </w:p>
    <w:p>
      <w:pPr>
        <w:pStyle w:val="Normal1"/>
        <w:spacing w:lineRule="auto" w:line="240"/>
        <w:rPr>
          <w:sz w:val="24"/>
          <w:szCs w:val="24"/>
        </w:rPr>
      </w:pPr>
      <w:r>
        <w:rPr>
          <w:sz w:val="24"/>
          <w:szCs w:val="24"/>
        </w:rPr>
        <w:t xml:space="preserve">SPOSATI, Aldaíza. </w:t>
      </w:r>
      <w:r>
        <w:rPr>
          <w:b/>
          <w:sz w:val="24"/>
          <w:szCs w:val="24"/>
        </w:rPr>
        <w:t>A menina LOAS</w:t>
      </w:r>
      <w:r>
        <w:rPr>
          <w:sz w:val="24"/>
          <w:szCs w:val="24"/>
        </w:rPr>
        <w:t>: um processo de construção da assistência social. 3. ed. São Paulo: Cortez, 2007.</w:t>
      </w:r>
    </w:p>
    <w:p>
      <w:pPr>
        <w:pStyle w:val="Normal1"/>
        <w:spacing w:lineRule="auto" w:line="240"/>
        <w:rPr>
          <w:sz w:val="24"/>
          <w:szCs w:val="24"/>
        </w:rPr>
      </w:pPr>
      <w:r>
        <w:rPr>
          <w:sz w:val="24"/>
          <w:szCs w:val="24"/>
        </w:rPr>
      </w:r>
    </w:p>
    <w:p>
      <w:pPr>
        <w:pStyle w:val="Normal1"/>
        <w:spacing w:lineRule="auto" w:line="360"/>
        <w:rPr>
          <w:sz w:val="24"/>
          <w:szCs w:val="24"/>
        </w:rPr>
      </w:pPr>
      <w:r>
        <w:rPr>
          <w:sz w:val="24"/>
          <w:szCs w:val="24"/>
        </w:rPr>
      </w:r>
    </w:p>
    <w:p>
      <w:pPr>
        <w:pStyle w:val="Normal1"/>
        <w:spacing w:lineRule="auto" w:line="240" w:before="0" w:after="200"/>
        <w:rPr>
          <w:sz w:val="24"/>
          <w:szCs w:val="24"/>
        </w:rPr>
      </w:pPr>
      <w:r>
        <w:rPr>
          <w:sz w:val="24"/>
          <w:szCs w:val="24"/>
        </w:rPr>
      </w:r>
    </w:p>
    <w:p>
      <w:pPr>
        <w:pStyle w:val="Normal1"/>
        <w:spacing w:lineRule="auto" w:line="240" w:before="0" w:after="200"/>
        <w:rPr>
          <w:sz w:val="24"/>
          <w:szCs w:val="24"/>
        </w:rPr>
      </w:pPr>
      <w:r>
        <w:rPr/>
      </w:r>
    </w:p>
    <w:sectPr>
      <w:headerReference w:type="default" r:id="rId2"/>
      <w:footnotePr>
        <w:numFmt w:val="decimal"/>
      </w:footnotePr>
      <w:type w:val="nextPage"/>
      <w:pgSz w:w="11906" w:h="16838"/>
      <w:pgMar w:left="1700" w:right="1133" w:gutter="0" w:header="3401" w:top="3458" w:footer="0" w:bottom="1133"/>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Georgia">
    <w:charset w:val="01"/>
    <w:family w:val="roman"/>
    <w:pitch w:val="variable"/>
  </w:font>
  <w:font w:name="Times New Roman">
    <w:charset w:val="01"/>
    <w:family w:val="roman"/>
    <w:pitch w:val="variable"/>
  </w:font>
  <w:font w:name="Quattrocento Sans">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Style w:val="Caracteresdenotaderodap"/>
        </w:rPr>
        <w:footnoteRef/>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w:t>
      </w:r>
      <w:r>
        <w:rPr>
          <w:sz w:val="20"/>
          <w:szCs w:val="20"/>
        </w:rPr>
        <w:t xml:space="preserve"> </w:t>
      </w:r>
      <w:r>
        <w:rPr>
          <w:sz w:val="20"/>
          <w:szCs w:val="20"/>
        </w:rPr>
        <w:t>Discente do curso de Serviço Social pela Universidade Federal do Piauí. E-mail: lorranadossantos34@gmail.com</w:t>
      </w:r>
    </w:p>
  </w:footnote>
  <w:footnote w:id="3">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Style w:val="Caracteresdenotaderodap"/>
        </w:rPr>
        <w:footnoteRef/>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Discente </w:t>
      </w:r>
      <w:r>
        <w:rPr>
          <w:sz w:val="20"/>
          <w:szCs w:val="20"/>
        </w:rPr>
        <w:t>do curso de</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S</w:t>
      </w:r>
      <w:r>
        <w:rPr>
          <w:sz w:val="20"/>
          <w:szCs w:val="20"/>
        </w:rPr>
        <w:t>erviço Social pela Universidade Federal do Piauí. E-mail: joacazoliveira2018@gmail.com</w:t>
      </w:r>
    </w:p>
  </w:footnote>
  <w:footnote w:id="4">
    <w:p>
      <w:pPr>
        <w:pStyle w:val="Normal1"/>
        <w:keepNext w:val="false"/>
        <w:keepLines w:val="false"/>
        <w:pageBreakBefore w:val="false"/>
        <w:widowControl/>
        <w:pBdr/>
        <w:shd w:val="clear" w:fill="auto"/>
        <w:spacing w:lineRule="auto" w:line="240" w:before="0" w:after="0"/>
        <w:ind w:left="0" w:right="0" w:hanging="0"/>
        <w:jc w:val="left"/>
        <w:rPr>
          <w:sz w:val="20"/>
          <w:szCs w:val="20"/>
        </w:rPr>
      </w:pPr>
      <w:r>
        <w:rPr>
          <w:rStyle w:val="Caracteresdenotaderodap"/>
        </w:rPr>
        <w:footnoteRef/>
      </w:r>
      <w:r>
        <w:rPr>
          <w:sz w:val="20"/>
          <w:szCs w:val="20"/>
        </w:rPr>
        <w:t xml:space="preserve">  </w:t>
      </w:r>
      <w:r>
        <w:rPr>
          <w:sz w:val="20"/>
          <w:szCs w:val="20"/>
        </w:rPr>
        <w:t>Discente do curso de Serviço Social pela Universidade Federal do Piauí. E-mail: tatylagomes.2004@gmail.com</w:t>
      </w:r>
    </w:p>
  </w:footnote>
  <w:footnote w:id="5">
    <w:p>
      <w:pPr>
        <w:pStyle w:val="Normal1"/>
        <w:keepNext w:val="false"/>
        <w:keepLines w:val="false"/>
        <w:pageBreakBefore w:val="false"/>
        <w:widowControl/>
        <w:pBdr/>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0"/>
          <w:sz w:val="20"/>
          <w:szCs w:val="20"/>
          <w:u w:val="none"/>
          <w:shd w:fill="auto" w:val="clear"/>
          <w:vertAlign w:val="baseline"/>
        </w:rPr>
      </w:pPr>
      <w:r>
        <w:rPr>
          <w:rStyle w:val="Caracteresdenotaderodap"/>
        </w:rPr>
        <w:footnoteRef/>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 xml:space="preserve"> </w:t>
      </w:r>
      <w:r>
        <w:rPr>
          <w:rFonts w:eastAsia="Arial" w:cs="Arial"/>
          <w:b w:val="false"/>
          <w:i w:val="false"/>
          <w:caps w:val="false"/>
          <w:smallCaps w:val="false"/>
          <w:strike w:val="false"/>
          <w:dstrike w:val="false"/>
          <w:color w:val="000000"/>
          <w:position w:val="0"/>
          <w:sz w:val="20"/>
          <w:sz w:val="20"/>
          <w:szCs w:val="20"/>
          <w:u w:val="none"/>
          <w:shd w:fill="auto" w:val="clear"/>
          <w:vertAlign w:val="baseline"/>
        </w:rPr>
        <w:t>Prof.ª Dr.ª Iracilda Alves Braga; Departamento de Serviço Social;Programa de Pós-graduação em Políticas Públicas; Núcleo de Pesquisa sobre Estado e Políticas Públicas. Universidade Federal do Piauí - UFPI. E</w:t>
      </w:r>
      <w:r>
        <w:rPr>
          <w:sz w:val="20"/>
          <w:szCs w:val="20"/>
        </w:rPr>
        <w:t>-mail : iracildabraga@ufpi.edu.br</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osition w:val="0"/>
        <w:sz w:val="22"/>
        <w:vertAlign w:val="baseline"/>
      </w:rPr>
    </w:pPr>
    <w:r>
      <w:drawing>
        <wp:anchor behindDoc="1" distT="0" distB="0" distL="0" distR="0" simplePos="0" locked="0" layoutInCell="0" allowOverlap="1" relativeHeight="13">
          <wp:simplePos x="0" y="0"/>
          <wp:positionH relativeFrom="page">
            <wp:posOffset>-10160</wp:posOffset>
          </wp:positionH>
          <wp:positionV relativeFrom="page">
            <wp:posOffset>-107950</wp:posOffset>
          </wp:positionV>
          <wp:extent cx="7699375" cy="10915650"/>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7699375" cy="10915650"/>
                  </a:xfrm>
                  <a:prstGeom prst="rect">
                    <a:avLst/>
                  </a:prstGeom>
                </pic:spPr>
              </pic:pic>
            </a:graphicData>
          </a:graphic>
        </wp:anchor>
      </w:drawing>
    </w:r>
    <w:r>
      <w:rPr/>
      <w:t xml:space="preserve"> </w:t>
    </w:r>
  </w:p>
</w:hdr>
</file>

<file path=word/settings.xml><?xml version="1.0" encoding="utf-8"?>
<w:settings xmlns:w="http://schemas.openxmlformats.org/wordprocessingml/2006/main">
  <w:zoom w:percent="110"/>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1">
    <w:name w:val="Heading 1"/>
    <w:basedOn w:val="Normal1"/>
    <w:next w:val="Normal1"/>
    <w:qFormat/>
    <w:pPr>
      <w:keepNext w:val="true"/>
      <w:keepLines/>
      <w:suppressAutoHyphens w:val="true"/>
      <w:spacing w:lineRule="auto" w:line="276" w:before="400" w:after="120"/>
      <w:textAlignment w:val="top"/>
      <w:outlineLvl w:val="0"/>
    </w:pPr>
    <w:rPr>
      <w:w w:val="100"/>
      <w:position w:val="0"/>
      <w:sz w:val="40"/>
      <w:sz w:val="40"/>
      <w:szCs w:val="40"/>
      <w:effect w:val="none"/>
      <w:vertAlign w:val="baseline"/>
      <w:em w:val="none"/>
      <w:lang w:val="pt-BR" w:eastAsia="pt-BR" w:bidi="ar-SA"/>
    </w:rPr>
  </w:style>
  <w:style w:type="paragraph" w:styleId="Ttulo2">
    <w:name w:val="Heading 2"/>
    <w:basedOn w:val="Normal1"/>
    <w:next w:val="Normal1"/>
    <w:qFormat/>
    <w:pPr>
      <w:keepNext w:val="true"/>
      <w:keepLines/>
      <w:suppressAutoHyphens w:val="true"/>
      <w:spacing w:lineRule="auto" w:line="276" w:before="360" w:after="120"/>
      <w:textAlignment w:val="top"/>
      <w:outlineLvl w:val="1"/>
    </w:pPr>
    <w:rPr>
      <w:w w:val="100"/>
      <w:position w:val="0"/>
      <w:sz w:val="32"/>
      <w:sz w:val="32"/>
      <w:szCs w:val="32"/>
      <w:effect w:val="none"/>
      <w:vertAlign w:val="baseline"/>
      <w:em w:val="none"/>
      <w:lang w:val="pt-BR" w:eastAsia="pt-BR" w:bidi="ar-SA"/>
    </w:rPr>
  </w:style>
  <w:style w:type="paragraph" w:styleId="Ttulo3">
    <w:name w:val="Heading 3"/>
    <w:basedOn w:val="Normal1"/>
    <w:next w:val="Normal1"/>
    <w:qFormat/>
    <w:pPr>
      <w:keepNext w:val="true"/>
      <w:keepLines/>
      <w:suppressAutoHyphens w:val="true"/>
      <w:spacing w:lineRule="auto" w:line="276" w:before="320" w:after="80"/>
      <w:textAlignment w:val="top"/>
      <w:outlineLvl w:val="2"/>
    </w:pPr>
    <w:rPr>
      <w:color w:val="434343"/>
      <w:w w:val="100"/>
      <w:position w:val="0"/>
      <w:sz w:val="28"/>
      <w:sz w:val="28"/>
      <w:szCs w:val="28"/>
      <w:effect w:val="none"/>
      <w:vertAlign w:val="baseline"/>
      <w:em w:val="none"/>
      <w:lang w:val="pt-BR" w:eastAsia="pt-BR" w:bidi="ar-SA"/>
    </w:rPr>
  </w:style>
  <w:style w:type="paragraph" w:styleId="Ttulo4">
    <w:name w:val="Heading 4"/>
    <w:basedOn w:val="Normal1"/>
    <w:next w:val="Normal1"/>
    <w:qFormat/>
    <w:pPr>
      <w:keepNext w:val="true"/>
      <w:keepLines/>
      <w:suppressAutoHyphens w:val="true"/>
      <w:spacing w:lineRule="auto" w:line="276" w:before="280" w:after="80"/>
      <w:textAlignment w:val="top"/>
      <w:outlineLvl w:val="3"/>
    </w:pPr>
    <w:rPr>
      <w:color w:val="666666"/>
      <w:w w:val="100"/>
      <w:position w:val="0"/>
      <w:sz w:val="24"/>
      <w:sz w:val="24"/>
      <w:szCs w:val="24"/>
      <w:effect w:val="none"/>
      <w:vertAlign w:val="baseline"/>
      <w:em w:val="none"/>
      <w:lang w:val="pt-BR" w:eastAsia="pt-BR" w:bidi="ar-SA"/>
    </w:rPr>
  </w:style>
  <w:style w:type="paragraph" w:styleId="Ttulo5">
    <w:name w:val="Heading 5"/>
    <w:basedOn w:val="Normal1"/>
    <w:next w:val="Normal1"/>
    <w:qFormat/>
    <w:pPr>
      <w:keepNext w:val="true"/>
      <w:keepLines/>
      <w:suppressAutoHyphens w:val="true"/>
      <w:spacing w:lineRule="auto" w:line="276" w:before="240" w:after="80"/>
      <w:textAlignment w:val="top"/>
      <w:outlineLvl w:val="4"/>
    </w:pPr>
    <w:rPr>
      <w:color w:val="666666"/>
      <w:w w:val="100"/>
      <w:position w:val="0"/>
      <w:sz w:val="22"/>
      <w:sz w:val="22"/>
      <w:szCs w:val="22"/>
      <w:effect w:val="none"/>
      <w:vertAlign w:val="baseline"/>
      <w:em w:val="none"/>
      <w:lang w:val="pt-BR" w:eastAsia="pt-BR" w:bidi="ar-SA"/>
    </w:rPr>
  </w:style>
  <w:style w:type="paragraph" w:styleId="Ttulo6">
    <w:name w:val="Heading 6"/>
    <w:basedOn w:val="Normal1"/>
    <w:next w:val="Normal1"/>
    <w:qFormat/>
    <w:pPr>
      <w:keepNext w:val="true"/>
      <w:keepLines/>
      <w:suppressAutoHyphens w:val="true"/>
      <w:spacing w:lineRule="auto" w:line="276" w:before="240" w:after="80"/>
      <w:textAlignment w:val="top"/>
      <w:outlineLvl w:val="5"/>
    </w:pPr>
    <w:rPr>
      <w:i/>
      <w:color w:val="666666"/>
      <w:w w:val="100"/>
      <w:position w:val="0"/>
      <w:sz w:val="22"/>
      <w:sz w:val="22"/>
      <w:szCs w:val="22"/>
      <w:effect w:val="none"/>
      <w:vertAlign w:val="baseline"/>
      <w:em w:val="none"/>
      <w:lang w:val="pt-BR" w:eastAsia="pt-BR" w:bidi="ar-SA"/>
    </w:rPr>
  </w:style>
  <w:style w:type="character" w:styleId="Fontepargpadro">
    <w:name w:val="Fonte parág. padrão"/>
    <w:qFormat/>
    <w:rPr>
      <w:w w:val="100"/>
      <w:position w:val="0"/>
      <w:sz w:val="22"/>
      <w:effect w:val="none"/>
      <w:vertAlign w:val="baseline"/>
      <w:em w:val="none"/>
    </w:rPr>
  </w:style>
  <w:style w:type="character" w:styleId="CabealhoChar">
    <w:name w:val="Cabeçalho Char"/>
    <w:basedOn w:val="Fontepargpadro"/>
    <w:qFormat/>
    <w:rPr>
      <w:w w:val="100"/>
      <w:position w:val="0"/>
      <w:sz w:val="22"/>
      <w:effect w:val="none"/>
      <w:vertAlign w:val="baseline"/>
      <w:em w:val="none"/>
    </w:rPr>
  </w:style>
  <w:style w:type="character" w:styleId="RodapChar">
    <w:name w:val="Rodapé Char"/>
    <w:basedOn w:val="Fontepargpadro"/>
    <w:qFormat/>
    <w:rPr>
      <w:w w:val="100"/>
      <w:position w:val="0"/>
      <w:sz w:val="22"/>
      <w:effect w:val="none"/>
      <w:vertAlign w:val="baseline"/>
      <w:em w:val="none"/>
    </w:rPr>
  </w:style>
  <w:style w:type="character" w:styleId="Normaltextrun">
    <w:name w:val="normaltextrun"/>
    <w:basedOn w:val="Fontepargpadro"/>
    <w:qFormat/>
    <w:rPr>
      <w:w w:val="100"/>
      <w:position w:val="0"/>
      <w:sz w:val="22"/>
      <w:effect w:val="none"/>
      <w:vertAlign w:val="baseline"/>
      <w:em w:val="none"/>
    </w:rPr>
  </w:style>
  <w:style w:type="character" w:styleId="Eop">
    <w:name w:val="eop"/>
    <w:basedOn w:val="Fontepargpadro"/>
    <w:qFormat/>
    <w:rPr>
      <w:w w:val="100"/>
      <w:position w:val="0"/>
      <w:sz w:val="22"/>
      <w:effect w:val="none"/>
      <w:vertAlign w:val="baseline"/>
      <w:em w:val="none"/>
    </w:rPr>
  </w:style>
  <w:style w:type="character" w:styleId="TextodenotaderodapChar">
    <w:name w:val="Texto de nota de rodapé Char"/>
    <w:basedOn w:val="Fontepargpadro"/>
    <w:qFormat/>
    <w:rPr>
      <w:w w:val="100"/>
      <w:position w:val="0"/>
      <w:sz w:val="22"/>
      <w:effect w:val="none"/>
      <w:vertAlign w:val="baseline"/>
      <w:em w:val="none"/>
    </w:rPr>
  </w:style>
  <w:style w:type="character" w:styleId="Refdenotaderodap">
    <w:name w:val="Ref. de nota de rodapé"/>
    <w:qFormat/>
    <w:rPr>
      <w:w w:val="100"/>
      <w:effect w:val="none"/>
      <w:vertAlign w:val="superscript"/>
      <w:em w:val="none"/>
    </w:rPr>
  </w:style>
  <w:style w:type="character" w:styleId="Contentcontrolboundarysink">
    <w:name w:val="contentcontrolboundarysink"/>
    <w:basedOn w:val="Fontepargpadro"/>
    <w:qFormat/>
    <w:rPr>
      <w:w w:val="100"/>
      <w:position w:val="0"/>
      <w:sz w:val="22"/>
      <w:effect w:val="none"/>
      <w:vertAlign w:val="baseline"/>
      <w:em w:val="none"/>
    </w:rPr>
  </w:style>
  <w:style w:type="character" w:styleId="Caracteresdenotaderodap">
    <w:name w:val="Caracteres de nota de rodapé"/>
    <w:qFormat/>
    <w:rPr/>
  </w:style>
  <w:style w:type="character" w:styleId="Ncoradanotaderodap">
    <w:name w:val="Footnote Reference"/>
    <w:rPr>
      <w:vertAlign w:val="superscript"/>
    </w:rPr>
  </w:style>
  <w:style w:type="character" w:styleId="Ncoradanotadefim">
    <w:name w:val="Endnote Reference"/>
    <w:rPr>
      <w:vertAlign w:val="superscript"/>
    </w:rPr>
  </w:style>
  <w:style w:type="character" w:styleId="Caracteresdenotadefim">
    <w:name w:val="Caracteres de nota de fim"/>
    <w:qFormat/>
    <w:rPr/>
  </w:style>
  <w:style w:type="paragraph" w:styleId="Ttulo">
    <w:name w:val="Título"/>
    <w:basedOn w:val="Normal1"/>
    <w:next w:val="Normal1"/>
    <w:qFormat/>
    <w:pPr>
      <w:keepNext w:val="true"/>
      <w:keepLines/>
      <w:suppressAutoHyphens w:val="true"/>
      <w:spacing w:lineRule="auto" w:line="276" w:before="0" w:after="60"/>
      <w:textAlignment w:val="top"/>
      <w:outlineLvl w:val="0"/>
    </w:pPr>
    <w:rPr>
      <w:w w:val="100"/>
      <w:position w:val="0"/>
      <w:sz w:val="52"/>
      <w:sz w:val="52"/>
      <w:szCs w:val="52"/>
      <w:effect w:val="none"/>
      <w:vertAlign w:val="baseline"/>
      <w:em w:val="none"/>
      <w:lang w:val="pt-BR" w:eastAsia="pt-BR" w:bidi="ar-SA"/>
    </w:rPr>
  </w:style>
  <w:style w:type="paragraph" w:styleId="Corpodotexto">
    <w:name w:val="Body Text"/>
    <w:basedOn w:val="Normal"/>
    <w:pPr>
      <w:spacing w:lineRule="auto" w:line="276" w:before="0" w:after="140"/>
    </w:pPr>
    <w:rPr/>
  </w:style>
  <w:style w:type="paragraph" w:styleId="Lista">
    <w:name w:val="List"/>
    <w:basedOn w:val="Corpodo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dodocumento">
    <w:name w:val="Title"/>
    <w:basedOn w:val="Normal1"/>
    <w:next w:val="Normal1"/>
    <w:qFormat/>
    <w:pPr>
      <w:keepNext w:val="true"/>
      <w:keepLines/>
      <w:pageBreakBefore w:val="false"/>
      <w:spacing w:lineRule="auto" w:line="240" w:before="480" w:after="120"/>
    </w:pPr>
    <w:rPr>
      <w:b/>
      <w:sz w:val="72"/>
      <w:szCs w:val="72"/>
    </w:rPr>
  </w:style>
  <w:style w:type="paragraph" w:styleId="Subttulo">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CabealhoeRodap">
    <w:name w:val="Cabeçalho e Rodapé"/>
    <w:basedOn w:val="Normal"/>
    <w:qFormat/>
    <w:pPr/>
    <w:rPr/>
  </w:style>
  <w:style w:type="paragraph" w:styleId="Cabealho">
    <w:name w:val="Header"/>
    <w:basedOn w:val="Normal1"/>
    <w:qFormat/>
    <w:pPr>
      <w:tabs>
        <w:tab w:val="clear" w:pos="720"/>
        <w:tab w:val="center" w:pos="4252" w:leader="none"/>
        <w:tab w:val="right" w:pos="8504" w:leader="none"/>
      </w:tabs>
      <w:suppressAutoHyphens w:val="true"/>
      <w:spacing w:lineRule="auto" w:line="240"/>
      <w:textAlignment w:val="top"/>
      <w:outlineLvl w:val="0"/>
    </w:pPr>
    <w:rPr>
      <w:w w:val="100"/>
      <w:position w:val="0"/>
      <w:sz w:val="22"/>
      <w:sz w:val="22"/>
      <w:szCs w:val="22"/>
      <w:effect w:val="none"/>
      <w:vertAlign w:val="baseline"/>
      <w:em w:val="none"/>
      <w:lang w:val="pt-BR" w:eastAsia="pt-BR" w:bidi="ar-SA"/>
    </w:rPr>
  </w:style>
  <w:style w:type="paragraph" w:styleId="Rodap">
    <w:name w:val="Footer"/>
    <w:basedOn w:val="Normal1"/>
    <w:qFormat/>
    <w:pPr>
      <w:tabs>
        <w:tab w:val="clear" w:pos="720"/>
        <w:tab w:val="center" w:pos="4252" w:leader="none"/>
        <w:tab w:val="right" w:pos="8504" w:leader="none"/>
      </w:tabs>
      <w:suppressAutoHyphens w:val="true"/>
      <w:spacing w:lineRule="auto" w:line="240"/>
      <w:textAlignment w:val="top"/>
      <w:outlineLvl w:val="0"/>
    </w:pPr>
    <w:rPr>
      <w:w w:val="100"/>
      <w:position w:val="0"/>
      <w:sz w:val="22"/>
      <w:sz w:val="22"/>
      <w:szCs w:val="22"/>
      <w:effect w:val="none"/>
      <w:vertAlign w:val="baseline"/>
      <w:em w:val="none"/>
      <w:lang w:val="pt-BR" w:eastAsia="pt-BR" w:bidi="ar-SA"/>
    </w:rPr>
  </w:style>
  <w:style w:type="paragraph" w:styleId="Paragraph">
    <w:name w:val="paragraph"/>
    <w:basedOn w:val="Normal1"/>
    <w:qFormat/>
    <w:pPr>
      <w:suppressAutoHyphens w:val="true"/>
      <w:spacing w:lineRule="auto" w:line="240" w:beforeAutospacing="1" w:afterAutospacing="1"/>
      <w:textAlignment w:val="top"/>
      <w:outlineLvl w:val="0"/>
    </w:pPr>
    <w:rPr>
      <w:rFonts w:ascii="Times New Roman" w:hAnsi="Times New Roman" w:eastAsia="Times New Roman" w:cs="Times New Roman"/>
      <w:w w:val="100"/>
      <w:position w:val="0"/>
      <w:sz w:val="24"/>
      <w:sz w:val="24"/>
      <w:szCs w:val="24"/>
      <w:effect w:val="none"/>
      <w:vertAlign w:val="baseline"/>
      <w:em w:val="none"/>
      <w:lang w:val="pt-BR" w:eastAsia="pt-BR" w:bidi="ar-SA"/>
    </w:rPr>
  </w:style>
  <w:style w:type="paragraph" w:styleId="Textodenotaderodap">
    <w:name w:val="Texto de nota de rodapé"/>
    <w:basedOn w:val="Normal1"/>
    <w:qFormat/>
    <w:pPr>
      <w:suppressAutoHyphens w:val="true"/>
      <w:spacing w:lineRule="auto" w:line="276"/>
      <w:textAlignment w:val="top"/>
      <w:outlineLvl w:val="0"/>
    </w:pPr>
    <w:rPr>
      <w:w w:val="100"/>
      <w:position w:val="0"/>
      <w:sz w:val="20"/>
      <w:sz w:val="20"/>
      <w:szCs w:val="20"/>
      <w:effect w:val="none"/>
      <w:vertAlign w:val="baseline"/>
      <w:em w:val="none"/>
      <w:lang w:val="pt-BR" w:eastAsia="pt-BR" w:bidi="ar-SA"/>
    </w:rPr>
  </w:style>
  <w:style w:type="paragraph" w:styleId="Notaderodap">
    <w:name w:val="Footnote Text"/>
    <w:basedOn w:val="Normal"/>
    <w:pPr/>
    <w:rPr/>
  </w:style>
  <w:style w:type="numbering" w:styleId="Semlista">
    <w:name w:val="Sem lista"/>
    <w:qFormat/>
  </w:style>
  <w:style w:type="table" w:default="1" w:styleId="TableNormal">
    <w:name w:val="TableNormal"/>
  </w:style>
  <w:style w:type="table" w:styleId="Tabelanormal">
    <w:name w:val="Tabela normal"/>
    <w:qFormat/>
    <w:pPr>
      <w:ind w:rightChars="0"/>
      <w:spacing w:line="1" w:lineRule="atLeast"/>
    </w:pPr>
    <w:rPr/>
    <w:tblPr>
      <w:tblCellMar>
        <w:top w:w="0" w:type="dxa"/>
        <w:left w:w="108" w:type="dxa"/>
        <w:bottom w:w="0" w:type="dxa"/>
        <w:right w:w="108" w:type="dxa"/>
      </w:tblCellMar>
    </w:tblPr>
  </w:style>
  <w:style w:type="table" w:styleId="TableNormal">
    <w:name w:val="Table Normal"/>
    <w:qFormat/>
    <w:pPr>
      <w:ind w:rightChars="0"/>
      <w:spacing w:line="276" w:lineRule="auto"/>
    </w:pPr>
    <w:rPr>
      <w:lang w:val="pt-BR" w:eastAsia="pt-BR" w:bidi="ar-SA"/>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notes" Target="footnot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BCL4HlM7DPCbnZemtNgg/B+FB/w==">CgMxLjA4AHIhMUU2ZGxvRHkzQXhUOTAtMEtUWXV5d2hOTmFHeFVqVkx6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LibreOffice/7.4.7.2$Linux_X86_64 LibreOffice_project/40$Build-2</Application>
  <AppVersion>15.0000</AppVersion>
  <Pages>12</Pages>
  <Words>3353</Words>
  <Characters>19745</Characters>
  <CharactersWithSpaces>24572</CharactersWithSpaces>
  <Paragraphs>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2025-06-28T18:19:00Z</dcterms:created>
  <dc:creator>DELL</dc:creator>
  <dc:description/>
  <dc:language>pt-BR</dc:language>
  <cp:lastModifiedBy/>
  <cp:revision>0</cp:revision>
  <dc:subject/>
  <dc:title/>
</cp:coreProperties>
</file>