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ABF9F" w14:textId="4103C052" w:rsidR="00967E68" w:rsidRPr="00D853D0" w:rsidRDefault="00967E68" w:rsidP="00967E68">
      <w:pPr>
        <w:spacing w:after="0" w:line="360" w:lineRule="auto"/>
        <w:jc w:val="center"/>
        <w:rPr>
          <w:rFonts w:ascii="Arial" w:hAnsi="Arial" w:cs="Arial"/>
          <w:b/>
          <w:bCs/>
          <w:color w:val="000000" w:themeColor="text1"/>
          <w:sz w:val="24"/>
          <w:szCs w:val="24"/>
          <w:lang w:eastAsia="es-ES_tradnl"/>
        </w:rPr>
      </w:pPr>
      <w:r w:rsidRPr="00D853D0">
        <w:rPr>
          <w:rFonts w:ascii="Arial" w:hAnsi="Arial" w:cs="Arial"/>
          <w:b/>
          <w:bCs/>
          <w:color w:val="000000" w:themeColor="text1"/>
          <w:sz w:val="24"/>
          <w:szCs w:val="24"/>
          <w:lang w:eastAsia="es-ES_tradnl"/>
        </w:rPr>
        <w:t>REVISITANDO O MOVIMENTO DOS PAÍSES NÃO-ALINHA</w:t>
      </w:r>
      <w:r w:rsidR="00687FBC" w:rsidRPr="00D853D0">
        <w:rPr>
          <w:rFonts w:ascii="Arial" w:hAnsi="Arial" w:cs="Arial"/>
          <w:b/>
          <w:bCs/>
          <w:color w:val="000000" w:themeColor="text1"/>
          <w:sz w:val="24"/>
          <w:szCs w:val="24"/>
          <w:lang w:eastAsia="es-ES_tradnl"/>
        </w:rPr>
        <w:t>DOS</w:t>
      </w:r>
      <w:r w:rsidRPr="00D853D0">
        <w:rPr>
          <w:rFonts w:ascii="Arial" w:hAnsi="Arial" w:cs="Arial"/>
          <w:b/>
          <w:bCs/>
          <w:color w:val="000000" w:themeColor="text1"/>
          <w:sz w:val="24"/>
          <w:szCs w:val="24"/>
          <w:lang w:eastAsia="es-ES_tradnl"/>
        </w:rPr>
        <w:t xml:space="preserve"> PARA A SAÚDE GLOBAL:</w:t>
      </w:r>
    </w:p>
    <w:p w14:paraId="5E702378" w14:textId="27BA0912" w:rsidR="004613ED" w:rsidRPr="00D853D0" w:rsidRDefault="00455D7C" w:rsidP="00967E68">
      <w:pPr>
        <w:spacing w:after="0" w:line="360" w:lineRule="auto"/>
        <w:jc w:val="center"/>
        <w:rPr>
          <w:rFonts w:ascii="Arial" w:hAnsi="Arial" w:cs="Arial"/>
          <w:b/>
          <w:bCs/>
          <w:color w:val="000000" w:themeColor="text1"/>
          <w:sz w:val="24"/>
          <w:szCs w:val="24"/>
          <w:lang w:eastAsia="es-ES_tradnl"/>
        </w:rPr>
      </w:pPr>
      <w:r w:rsidRPr="00D853D0">
        <w:rPr>
          <w:rFonts w:ascii="Arial" w:hAnsi="Arial" w:cs="Arial"/>
          <w:b/>
          <w:bCs/>
          <w:color w:val="000000" w:themeColor="text1"/>
          <w:sz w:val="24"/>
          <w:szCs w:val="24"/>
          <w:lang w:eastAsia="es-ES_tradnl"/>
        </w:rPr>
        <w:t xml:space="preserve">O </w:t>
      </w:r>
      <w:r w:rsidR="00BB5215" w:rsidRPr="00D853D0">
        <w:rPr>
          <w:rFonts w:ascii="Arial" w:hAnsi="Arial" w:cs="Arial"/>
          <w:b/>
          <w:bCs/>
          <w:color w:val="000000" w:themeColor="text1"/>
          <w:sz w:val="24"/>
          <w:szCs w:val="24"/>
          <w:lang w:eastAsia="es-ES_tradnl"/>
        </w:rPr>
        <w:t>p</w:t>
      </w:r>
      <w:r w:rsidRPr="00D853D0">
        <w:rPr>
          <w:rFonts w:ascii="Arial" w:hAnsi="Arial" w:cs="Arial"/>
          <w:b/>
          <w:bCs/>
          <w:color w:val="000000" w:themeColor="text1"/>
          <w:sz w:val="24"/>
          <w:szCs w:val="24"/>
          <w:lang w:eastAsia="es-ES_tradnl"/>
        </w:rPr>
        <w:t xml:space="preserve">apel do Centro de </w:t>
      </w:r>
      <w:r w:rsidR="00BB5215" w:rsidRPr="00D853D0">
        <w:rPr>
          <w:rFonts w:ascii="Arial" w:hAnsi="Arial" w:cs="Arial"/>
          <w:b/>
          <w:bCs/>
          <w:color w:val="000000" w:themeColor="text1"/>
          <w:sz w:val="24"/>
          <w:szCs w:val="24"/>
          <w:lang w:eastAsia="es-ES_tradnl"/>
        </w:rPr>
        <w:t xml:space="preserve">Estudos dos Não-Alinhados de </w:t>
      </w:r>
      <w:r w:rsidRPr="00D853D0">
        <w:rPr>
          <w:rFonts w:ascii="Arial" w:hAnsi="Arial" w:cs="Arial"/>
          <w:b/>
          <w:bCs/>
          <w:color w:val="000000" w:themeColor="text1"/>
          <w:sz w:val="24"/>
          <w:szCs w:val="24"/>
          <w:lang w:eastAsia="es-ES_tradnl"/>
        </w:rPr>
        <w:t xml:space="preserve">Belgrado na </w:t>
      </w:r>
      <w:r w:rsidR="00BB5215" w:rsidRPr="00D853D0">
        <w:rPr>
          <w:rFonts w:ascii="Arial" w:hAnsi="Arial" w:cs="Arial"/>
          <w:b/>
          <w:bCs/>
          <w:color w:val="000000" w:themeColor="text1"/>
          <w:sz w:val="24"/>
          <w:szCs w:val="24"/>
          <w:lang w:eastAsia="es-ES_tradnl"/>
        </w:rPr>
        <w:t>c</w:t>
      </w:r>
      <w:r w:rsidRPr="00D853D0">
        <w:rPr>
          <w:rFonts w:ascii="Arial" w:hAnsi="Arial" w:cs="Arial"/>
          <w:b/>
          <w:bCs/>
          <w:color w:val="000000" w:themeColor="text1"/>
          <w:sz w:val="24"/>
          <w:szCs w:val="24"/>
          <w:lang w:eastAsia="es-ES_tradnl"/>
        </w:rPr>
        <w:t xml:space="preserve">onstrução de uma </w:t>
      </w:r>
      <w:r w:rsidR="00BB5215" w:rsidRPr="00D853D0">
        <w:rPr>
          <w:rFonts w:ascii="Arial" w:hAnsi="Arial" w:cs="Arial"/>
          <w:b/>
          <w:bCs/>
          <w:color w:val="000000" w:themeColor="text1"/>
          <w:sz w:val="24"/>
          <w:szCs w:val="24"/>
          <w:lang w:eastAsia="es-ES_tradnl"/>
        </w:rPr>
        <w:t>o</w:t>
      </w:r>
      <w:r w:rsidRPr="00D853D0">
        <w:rPr>
          <w:rFonts w:ascii="Arial" w:hAnsi="Arial" w:cs="Arial"/>
          <w:b/>
          <w:bCs/>
          <w:color w:val="000000" w:themeColor="text1"/>
          <w:sz w:val="24"/>
          <w:szCs w:val="24"/>
          <w:lang w:eastAsia="es-ES_tradnl"/>
        </w:rPr>
        <w:t xml:space="preserve">rdem </w:t>
      </w:r>
      <w:r w:rsidR="00BB5215" w:rsidRPr="00D853D0">
        <w:rPr>
          <w:rFonts w:ascii="Arial" w:hAnsi="Arial" w:cs="Arial"/>
          <w:b/>
          <w:bCs/>
          <w:color w:val="000000" w:themeColor="text1"/>
          <w:sz w:val="24"/>
          <w:szCs w:val="24"/>
          <w:lang w:eastAsia="es-ES_tradnl"/>
        </w:rPr>
        <w:t>s</w:t>
      </w:r>
      <w:r w:rsidRPr="00D853D0">
        <w:rPr>
          <w:rFonts w:ascii="Arial" w:hAnsi="Arial" w:cs="Arial"/>
          <w:b/>
          <w:bCs/>
          <w:color w:val="000000" w:themeColor="text1"/>
          <w:sz w:val="24"/>
          <w:szCs w:val="24"/>
          <w:lang w:eastAsia="es-ES_tradnl"/>
        </w:rPr>
        <w:t>anitária Sul-Sul.</w:t>
      </w:r>
    </w:p>
    <w:p w14:paraId="270DFF82" w14:textId="77777777" w:rsidR="00967E68" w:rsidRPr="00D853D0" w:rsidRDefault="00967E68" w:rsidP="004613ED">
      <w:pPr>
        <w:spacing w:after="0" w:line="360" w:lineRule="auto"/>
        <w:jc w:val="both"/>
        <w:rPr>
          <w:rFonts w:ascii="Arial" w:hAnsi="Arial" w:cs="Arial"/>
          <w:b/>
          <w:bCs/>
          <w:color w:val="000000" w:themeColor="text1"/>
          <w:sz w:val="24"/>
          <w:szCs w:val="24"/>
          <w:lang w:eastAsia="es-ES_tradnl"/>
        </w:rPr>
      </w:pPr>
    </w:p>
    <w:p w14:paraId="3B7B0486" w14:textId="221FFD20" w:rsidR="00967E68" w:rsidRPr="00D853D0" w:rsidRDefault="00967E68" w:rsidP="00967E68">
      <w:pPr>
        <w:spacing w:after="0" w:line="360" w:lineRule="auto"/>
        <w:jc w:val="right"/>
        <w:rPr>
          <w:rFonts w:ascii="Arial" w:hAnsi="Arial" w:cs="Arial"/>
          <w:color w:val="000000" w:themeColor="text1"/>
          <w:sz w:val="24"/>
          <w:szCs w:val="24"/>
          <w:lang w:eastAsia="es-ES_tradnl"/>
        </w:rPr>
      </w:pPr>
      <w:r w:rsidRPr="00D853D0">
        <w:rPr>
          <w:rFonts w:ascii="Arial" w:hAnsi="Arial" w:cs="Arial"/>
          <w:color w:val="000000" w:themeColor="text1"/>
          <w:sz w:val="24"/>
          <w:szCs w:val="24"/>
          <w:lang w:eastAsia="es-ES_tradnl"/>
        </w:rPr>
        <w:t>Rychard de Lima Monteiro</w:t>
      </w:r>
      <w:r w:rsidR="0000406B">
        <w:rPr>
          <w:rStyle w:val="Refdenotaderodap"/>
          <w:rFonts w:ascii="Arial" w:hAnsi="Arial" w:cs="Arial"/>
          <w:color w:val="000000" w:themeColor="text1"/>
          <w:sz w:val="24"/>
          <w:szCs w:val="24"/>
          <w:lang w:eastAsia="es-ES_tradnl"/>
        </w:rPr>
        <w:footnoteReference w:id="1"/>
      </w:r>
    </w:p>
    <w:p w14:paraId="7FAA1881" w14:textId="77777777" w:rsidR="00967E68" w:rsidRPr="00D853D0" w:rsidRDefault="00967E68" w:rsidP="004613ED">
      <w:pPr>
        <w:spacing w:after="0" w:line="360" w:lineRule="auto"/>
        <w:jc w:val="both"/>
        <w:rPr>
          <w:rFonts w:ascii="Arial" w:hAnsi="Arial" w:cs="Arial"/>
          <w:sz w:val="24"/>
          <w:szCs w:val="24"/>
        </w:rPr>
      </w:pPr>
    </w:p>
    <w:p w14:paraId="68DD8108" w14:textId="2798F396" w:rsidR="00455D7C" w:rsidRDefault="00967E68" w:rsidP="00967E68">
      <w:pPr>
        <w:spacing w:after="0" w:line="360" w:lineRule="auto"/>
        <w:jc w:val="center"/>
        <w:rPr>
          <w:rFonts w:ascii="Arial" w:hAnsi="Arial" w:cs="Arial"/>
          <w:b/>
          <w:bCs/>
          <w:sz w:val="24"/>
          <w:szCs w:val="24"/>
        </w:rPr>
      </w:pPr>
      <w:r w:rsidRPr="00D853D0">
        <w:rPr>
          <w:rFonts w:ascii="Arial" w:hAnsi="Arial" w:cs="Arial"/>
          <w:b/>
          <w:bCs/>
          <w:sz w:val="24"/>
          <w:szCs w:val="24"/>
        </w:rPr>
        <w:t>RESUMO</w:t>
      </w:r>
    </w:p>
    <w:p w14:paraId="7AD86C90" w14:textId="77777777" w:rsidR="002136F5" w:rsidRPr="00D853D0" w:rsidRDefault="002136F5" w:rsidP="00967E68">
      <w:pPr>
        <w:spacing w:after="0" w:line="360" w:lineRule="auto"/>
        <w:jc w:val="center"/>
        <w:rPr>
          <w:rFonts w:ascii="Arial" w:hAnsi="Arial" w:cs="Arial"/>
          <w:b/>
          <w:bCs/>
          <w:sz w:val="24"/>
          <w:szCs w:val="24"/>
        </w:rPr>
      </w:pPr>
    </w:p>
    <w:p w14:paraId="17CC2911" w14:textId="6DE527D6" w:rsidR="00DF0E26" w:rsidRPr="00D853D0" w:rsidRDefault="00DF0E26" w:rsidP="00DF0E26">
      <w:pPr>
        <w:spacing w:after="0" w:line="240" w:lineRule="auto"/>
        <w:ind w:left="2835"/>
        <w:jc w:val="both"/>
        <w:rPr>
          <w:rFonts w:ascii="Arial" w:hAnsi="Arial" w:cs="Arial"/>
          <w:sz w:val="20"/>
          <w:szCs w:val="20"/>
        </w:rPr>
      </w:pPr>
      <w:r w:rsidRPr="00D853D0">
        <w:rPr>
          <w:rFonts w:ascii="Arial" w:hAnsi="Arial" w:cs="Arial"/>
          <w:sz w:val="20"/>
          <w:szCs w:val="20"/>
        </w:rPr>
        <w:t xml:space="preserve">Este ensaio investiga a relevância contemporânea do Movimento dos </w:t>
      </w:r>
      <w:r w:rsidR="00687FBC" w:rsidRPr="00D853D0">
        <w:rPr>
          <w:rFonts w:ascii="Arial" w:hAnsi="Arial" w:cs="Arial"/>
          <w:sz w:val="20"/>
          <w:szCs w:val="20"/>
        </w:rPr>
        <w:t>Não-Alinhados</w:t>
      </w:r>
      <w:r w:rsidRPr="00D853D0">
        <w:rPr>
          <w:rFonts w:ascii="Arial" w:hAnsi="Arial" w:cs="Arial"/>
          <w:sz w:val="20"/>
          <w:szCs w:val="20"/>
        </w:rPr>
        <w:t xml:space="preserve"> (MNA) para a reconfiguração da ordem sanitária global, focando no papel potencial do Centro de Estudos dos Não-Alinhados de Belgrado como agente catalisador de uma </w:t>
      </w:r>
      <w:r w:rsidRPr="00D853D0">
        <w:rPr>
          <w:rFonts w:ascii="Arial" w:hAnsi="Arial" w:cs="Arial"/>
          <w:sz w:val="20"/>
          <w:szCs w:val="20"/>
        </w:rPr>
        <w:t>C</w:t>
      </w:r>
      <w:r w:rsidRPr="00D853D0">
        <w:rPr>
          <w:rFonts w:ascii="Arial" w:hAnsi="Arial" w:cs="Arial"/>
          <w:sz w:val="20"/>
          <w:szCs w:val="20"/>
        </w:rPr>
        <w:t>ooperação Sul-Sul mais robusta em saúde. Partindo de uma perspectiva construtivista e da análise histórica do MNA, argumenta</w:t>
      </w:r>
      <w:r w:rsidRPr="00D853D0">
        <w:rPr>
          <w:rFonts w:ascii="Arial" w:hAnsi="Arial" w:cs="Arial"/>
          <w:sz w:val="20"/>
          <w:szCs w:val="20"/>
        </w:rPr>
        <w:t>-se</w:t>
      </w:r>
      <w:r w:rsidRPr="00D853D0">
        <w:rPr>
          <w:rFonts w:ascii="Arial" w:hAnsi="Arial" w:cs="Arial"/>
          <w:sz w:val="20"/>
          <w:szCs w:val="20"/>
        </w:rPr>
        <w:t xml:space="preserve"> que seus princípios fundacionais </w:t>
      </w:r>
      <w:r w:rsidRPr="00D853D0">
        <w:rPr>
          <w:rFonts w:ascii="Arial" w:hAnsi="Arial" w:cs="Arial"/>
          <w:sz w:val="20"/>
          <w:szCs w:val="20"/>
        </w:rPr>
        <w:t>(</w:t>
      </w:r>
      <w:r w:rsidRPr="00D853D0">
        <w:rPr>
          <w:rFonts w:ascii="Arial" w:hAnsi="Arial" w:cs="Arial"/>
          <w:sz w:val="20"/>
          <w:szCs w:val="20"/>
        </w:rPr>
        <w:t>soberania, autodeterminação, equidade e solidariedade</w:t>
      </w:r>
      <w:r w:rsidRPr="00D853D0">
        <w:rPr>
          <w:rFonts w:ascii="Arial" w:hAnsi="Arial" w:cs="Arial"/>
          <w:sz w:val="20"/>
          <w:szCs w:val="20"/>
        </w:rPr>
        <w:t>)</w:t>
      </w:r>
      <w:r w:rsidRPr="00D853D0">
        <w:rPr>
          <w:rFonts w:ascii="Arial" w:hAnsi="Arial" w:cs="Arial"/>
          <w:sz w:val="20"/>
          <w:szCs w:val="20"/>
        </w:rPr>
        <w:t xml:space="preserve"> oferecem um arcabouço analítico e normativo crítico para decifrar e intervir nas complexas dinâmicas de poder e nas persistentes iniquidades da saúde global, exacerbadas por eventos como a pandemia de COVID-19 e disputas sobre propriedade intelectual. </w:t>
      </w:r>
      <w:r w:rsidRPr="00D853D0">
        <w:rPr>
          <w:rFonts w:ascii="Arial" w:hAnsi="Arial" w:cs="Arial"/>
          <w:sz w:val="20"/>
          <w:szCs w:val="20"/>
        </w:rPr>
        <w:t>O</w:t>
      </w:r>
      <w:r w:rsidRPr="00D853D0">
        <w:rPr>
          <w:rFonts w:ascii="Arial" w:hAnsi="Arial" w:cs="Arial"/>
          <w:sz w:val="20"/>
          <w:szCs w:val="20"/>
        </w:rPr>
        <w:t xml:space="preserve"> Centro de Belgrado transcende sua função memorialista, posicionando-se como um </w:t>
      </w:r>
      <w:r w:rsidRPr="00D853D0">
        <w:rPr>
          <w:rFonts w:ascii="Arial" w:hAnsi="Arial" w:cs="Arial"/>
          <w:i/>
          <w:iCs/>
          <w:sz w:val="20"/>
          <w:szCs w:val="20"/>
        </w:rPr>
        <w:t>think tank</w:t>
      </w:r>
      <w:r w:rsidRPr="00D853D0">
        <w:rPr>
          <w:rFonts w:ascii="Arial" w:hAnsi="Arial" w:cs="Arial"/>
          <w:sz w:val="20"/>
          <w:szCs w:val="20"/>
        </w:rPr>
        <w:t xml:space="preserve"> e potencial </w:t>
      </w:r>
      <w:r w:rsidRPr="00D853D0">
        <w:rPr>
          <w:rFonts w:ascii="Arial" w:hAnsi="Arial" w:cs="Arial"/>
          <w:i/>
          <w:iCs/>
          <w:sz w:val="20"/>
          <w:szCs w:val="20"/>
        </w:rPr>
        <w:t>norm entrepreneur</w:t>
      </w:r>
      <w:r w:rsidRPr="00D853D0">
        <w:rPr>
          <w:rFonts w:ascii="Arial" w:hAnsi="Arial" w:cs="Arial"/>
          <w:sz w:val="20"/>
          <w:szCs w:val="20"/>
        </w:rPr>
        <w:t xml:space="preserve"> capaz de fomentar uma agenda de saúde distintamente não alinhada. </w:t>
      </w:r>
    </w:p>
    <w:p w14:paraId="2D054486" w14:textId="0182F3B5" w:rsidR="00967E68" w:rsidRPr="00D853D0" w:rsidRDefault="00967E68" w:rsidP="00967E68">
      <w:pPr>
        <w:spacing w:after="0" w:line="360" w:lineRule="auto"/>
        <w:jc w:val="both"/>
        <w:rPr>
          <w:rFonts w:ascii="Arial" w:hAnsi="Arial" w:cs="Arial"/>
          <w:sz w:val="24"/>
          <w:szCs w:val="24"/>
        </w:rPr>
      </w:pPr>
      <w:r w:rsidRPr="00D853D0">
        <w:rPr>
          <w:rFonts w:ascii="Arial" w:hAnsi="Arial" w:cs="Arial"/>
          <w:b/>
          <w:bCs/>
          <w:sz w:val="24"/>
          <w:szCs w:val="24"/>
        </w:rPr>
        <w:t xml:space="preserve">PALAVRAS-CHAVES: </w:t>
      </w:r>
      <w:r w:rsidRPr="00D853D0">
        <w:rPr>
          <w:rFonts w:ascii="Arial" w:hAnsi="Arial" w:cs="Arial"/>
          <w:sz w:val="24"/>
          <w:szCs w:val="24"/>
        </w:rPr>
        <w:t>Movimento dos Não</w:t>
      </w:r>
      <w:r w:rsidRPr="00D853D0">
        <w:rPr>
          <w:rFonts w:ascii="Arial" w:hAnsi="Arial" w:cs="Arial"/>
          <w:sz w:val="24"/>
          <w:szCs w:val="24"/>
        </w:rPr>
        <w:t>-</w:t>
      </w:r>
      <w:r w:rsidRPr="00D853D0">
        <w:rPr>
          <w:rFonts w:ascii="Arial" w:hAnsi="Arial" w:cs="Arial"/>
          <w:sz w:val="24"/>
          <w:szCs w:val="24"/>
        </w:rPr>
        <w:t>Alinhados</w:t>
      </w:r>
      <w:r w:rsidRPr="00D853D0">
        <w:rPr>
          <w:rFonts w:ascii="Arial" w:hAnsi="Arial" w:cs="Arial"/>
          <w:sz w:val="24"/>
          <w:szCs w:val="24"/>
        </w:rPr>
        <w:t xml:space="preserve">, </w:t>
      </w:r>
      <w:r w:rsidRPr="00D853D0">
        <w:rPr>
          <w:rFonts w:ascii="Arial" w:hAnsi="Arial" w:cs="Arial"/>
          <w:sz w:val="24"/>
          <w:szCs w:val="24"/>
        </w:rPr>
        <w:t>Saúde Global</w:t>
      </w:r>
      <w:r w:rsidRPr="00D853D0">
        <w:rPr>
          <w:rFonts w:ascii="Arial" w:hAnsi="Arial" w:cs="Arial"/>
          <w:sz w:val="24"/>
          <w:szCs w:val="24"/>
        </w:rPr>
        <w:t xml:space="preserve">, </w:t>
      </w:r>
      <w:r w:rsidRPr="00D853D0">
        <w:rPr>
          <w:rFonts w:ascii="Arial" w:hAnsi="Arial" w:cs="Arial"/>
          <w:sz w:val="24"/>
          <w:szCs w:val="24"/>
        </w:rPr>
        <w:t>Cooperação Sul-Sul</w:t>
      </w:r>
      <w:r w:rsidRPr="00D853D0">
        <w:rPr>
          <w:rFonts w:ascii="Arial" w:hAnsi="Arial" w:cs="Arial"/>
          <w:sz w:val="24"/>
          <w:szCs w:val="24"/>
        </w:rPr>
        <w:t>.</w:t>
      </w:r>
    </w:p>
    <w:p w14:paraId="5B6E148E" w14:textId="77777777" w:rsidR="00967E68" w:rsidRPr="00D853D0" w:rsidRDefault="00967E68" w:rsidP="00455D7C">
      <w:pPr>
        <w:spacing w:after="0" w:line="360" w:lineRule="auto"/>
        <w:ind w:firstLine="709"/>
        <w:jc w:val="both"/>
        <w:rPr>
          <w:rFonts w:ascii="Arial" w:hAnsi="Arial" w:cs="Arial"/>
          <w:sz w:val="24"/>
          <w:szCs w:val="24"/>
        </w:rPr>
      </w:pPr>
    </w:p>
    <w:p w14:paraId="4DF265E8" w14:textId="2F80B80D" w:rsidR="00DF0E26" w:rsidRDefault="00DF0E26" w:rsidP="00DF0E26">
      <w:pPr>
        <w:spacing w:after="0" w:line="360" w:lineRule="auto"/>
        <w:jc w:val="center"/>
        <w:rPr>
          <w:rFonts w:ascii="Arial" w:hAnsi="Arial" w:cs="Arial"/>
          <w:b/>
          <w:bCs/>
          <w:sz w:val="24"/>
          <w:szCs w:val="24"/>
          <w:lang w:val="en-US"/>
        </w:rPr>
      </w:pPr>
      <w:r w:rsidRPr="00D853D0">
        <w:rPr>
          <w:rFonts w:ascii="Arial" w:hAnsi="Arial" w:cs="Arial"/>
          <w:b/>
          <w:bCs/>
          <w:sz w:val="24"/>
          <w:szCs w:val="24"/>
          <w:lang w:val="en-US"/>
        </w:rPr>
        <w:t>ABSTRACT</w:t>
      </w:r>
    </w:p>
    <w:p w14:paraId="68C15BA8" w14:textId="77777777" w:rsidR="002136F5" w:rsidRPr="00D853D0" w:rsidRDefault="002136F5" w:rsidP="00DF0E26">
      <w:pPr>
        <w:spacing w:after="0" w:line="360" w:lineRule="auto"/>
        <w:jc w:val="center"/>
        <w:rPr>
          <w:rFonts w:ascii="Arial" w:hAnsi="Arial" w:cs="Arial"/>
          <w:b/>
          <w:bCs/>
          <w:sz w:val="24"/>
          <w:szCs w:val="24"/>
          <w:lang w:val="en-US"/>
        </w:rPr>
      </w:pPr>
    </w:p>
    <w:p w14:paraId="433CB9B5" w14:textId="77777777" w:rsidR="00DF0E26" w:rsidRPr="00D853D0" w:rsidRDefault="00DF0E26" w:rsidP="00DF0E26">
      <w:pPr>
        <w:spacing w:after="0" w:line="240" w:lineRule="auto"/>
        <w:ind w:left="2835"/>
        <w:jc w:val="both"/>
        <w:rPr>
          <w:rFonts w:ascii="Arial" w:hAnsi="Arial" w:cs="Arial"/>
          <w:sz w:val="20"/>
          <w:szCs w:val="20"/>
          <w:lang w:val="en-US"/>
        </w:rPr>
      </w:pPr>
      <w:r w:rsidRPr="00D853D0">
        <w:rPr>
          <w:rFonts w:ascii="Arial" w:hAnsi="Arial" w:cs="Arial"/>
          <w:sz w:val="20"/>
          <w:szCs w:val="20"/>
          <w:lang w:val="en-US"/>
        </w:rPr>
        <w:t>This essay investigates the contemporary relevance of the Non-Aligned Movement (NAM) for the reconfiguration of the global health order, focusing on the potential role of the Belgrade Center for Non-Aligned Studies as a catalyzing agent for more robust South-South Cooperation in health. Drawing from a constructivist perspective and historical analysis of the NAM, it is argued that its foundational principles (sovereignty, self-determination, equity, and solidarity) offer a critical analytical and normative framework for deciphering and intervening in the complex power dynamics and persistent inequities in global health, exacerbated by events such as the COVID-19 pandemic and disputes over intellectual property. The Belgrade Center transcends its memorialist function, positioning itself as a think tank and potential norm entrepreneur capable of fostering a distinctly non-aligned health agenda.</w:t>
      </w:r>
    </w:p>
    <w:p w14:paraId="1C70B10F" w14:textId="3FD46033" w:rsidR="002136F5" w:rsidRDefault="00DF0E26" w:rsidP="002136F5">
      <w:pPr>
        <w:spacing w:after="0" w:line="360" w:lineRule="auto"/>
        <w:jc w:val="both"/>
        <w:rPr>
          <w:rFonts w:ascii="Arial" w:hAnsi="Arial" w:cs="Arial"/>
          <w:sz w:val="24"/>
          <w:szCs w:val="24"/>
          <w:lang w:val="en-US"/>
        </w:rPr>
      </w:pPr>
      <w:r w:rsidRPr="002136F5">
        <w:rPr>
          <w:rFonts w:ascii="Arial" w:hAnsi="Arial" w:cs="Arial"/>
          <w:b/>
          <w:bCs/>
          <w:sz w:val="24"/>
          <w:szCs w:val="24"/>
          <w:lang w:val="en-US"/>
        </w:rPr>
        <w:t>KEYWORDS:</w:t>
      </w:r>
      <w:r w:rsidRPr="002136F5">
        <w:rPr>
          <w:rFonts w:ascii="Arial" w:hAnsi="Arial" w:cs="Arial"/>
          <w:sz w:val="24"/>
          <w:szCs w:val="24"/>
          <w:lang w:val="en-US"/>
        </w:rPr>
        <w:t xml:space="preserve"> Non-Aligned Movement, Global Health, South-South Cooperation.</w:t>
      </w:r>
    </w:p>
    <w:p w14:paraId="045838B8" w14:textId="6C4E1C4A" w:rsidR="00967E68" w:rsidRPr="00D853D0" w:rsidRDefault="00DF0E26" w:rsidP="001C20D5">
      <w:pPr>
        <w:pStyle w:val="Ttulo1"/>
        <w:numPr>
          <w:ilvl w:val="0"/>
          <w:numId w:val="2"/>
        </w:numPr>
        <w:rPr>
          <w:rFonts w:ascii="Arial" w:hAnsi="Arial" w:cs="Arial"/>
        </w:rPr>
      </w:pPr>
      <w:r w:rsidRPr="00D853D0">
        <w:rPr>
          <w:rFonts w:ascii="Arial" w:hAnsi="Arial" w:cs="Arial"/>
        </w:rPr>
        <w:lastRenderedPageBreak/>
        <w:t xml:space="preserve">INTRODUÇÃO </w:t>
      </w:r>
    </w:p>
    <w:p w14:paraId="66DB8407" w14:textId="77777777" w:rsidR="00687FBC" w:rsidRPr="00D853D0" w:rsidRDefault="00687FBC" w:rsidP="00687FBC">
      <w:pPr>
        <w:spacing w:after="0" w:line="360" w:lineRule="auto"/>
        <w:jc w:val="both"/>
        <w:rPr>
          <w:rFonts w:ascii="Arial" w:hAnsi="Arial" w:cs="Arial"/>
          <w:sz w:val="24"/>
          <w:szCs w:val="24"/>
        </w:rPr>
      </w:pPr>
    </w:p>
    <w:p w14:paraId="14ABFEBA" w14:textId="30C6DC63" w:rsidR="00455D7C" w:rsidRPr="00D853D0" w:rsidRDefault="00455D7C" w:rsidP="00455D7C">
      <w:pPr>
        <w:spacing w:after="0" w:line="360" w:lineRule="auto"/>
        <w:ind w:firstLine="709"/>
        <w:jc w:val="both"/>
        <w:rPr>
          <w:rFonts w:ascii="Arial" w:hAnsi="Arial" w:cs="Arial"/>
          <w:sz w:val="24"/>
          <w:szCs w:val="24"/>
        </w:rPr>
      </w:pPr>
      <w:r w:rsidRPr="00D853D0">
        <w:rPr>
          <w:rFonts w:ascii="Arial" w:hAnsi="Arial" w:cs="Arial"/>
          <w:sz w:val="24"/>
          <w:szCs w:val="24"/>
        </w:rPr>
        <w:t xml:space="preserve">Ao marcar seis décadas desde sua emblemática fundação na Conferência de Belgrado em 1961, o Movimento dos </w:t>
      </w:r>
      <w:r w:rsidR="00687FBC" w:rsidRPr="00D853D0">
        <w:rPr>
          <w:rFonts w:ascii="Arial" w:hAnsi="Arial" w:cs="Arial"/>
          <w:sz w:val="24"/>
          <w:szCs w:val="24"/>
        </w:rPr>
        <w:t>Não-Alinhados</w:t>
      </w:r>
      <w:r w:rsidRPr="00D853D0">
        <w:rPr>
          <w:rFonts w:ascii="Arial" w:hAnsi="Arial" w:cs="Arial"/>
          <w:sz w:val="24"/>
          <w:szCs w:val="24"/>
        </w:rPr>
        <w:t xml:space="preserve"> (MNA) não apenas atesta sua notável resiliência histórica, mas também convida a uma reflexão aprofundada sobre sua pertinência em uma ordem global radicalmente transformada. Concebido no ápice da Guerra Fria, o MNA representou mais do que uma mera terceira via; </w:t>
      </w:r>
      <w:r w:rsidR="004176C9" w:rsidRPr="00D853D0">
        <w:rPr>
          <w:rFonts w:ascii="Arial" w:hAnsi="Arial" w:cs="Arial"/>
          <w:sz w:val="24"/>
          <w:szCs w:val="24"/>
        </w:rPr>
        <w:t xml:space="preserve">conforme Dimitrijević e Čavoški (2021), </w:t>
      </w:r>
      <w:r w:rsidRPr="00D853D0">
        <w:rPr>
          <w:rFonts w:ascii="Arial" w:hAnsi="Arial" w:cs="Arial"/>
          <w:sz w:val="24"/>
          <w:szCs w:val="24"/>
        </w:rPr>
        <w:t>foi um projeto político ambicioso, articulado por nações recém-emancipadas do jugo colonial, que buscavam redefinir os termos de sua inserção internacional, reivindicando autonomia estratégica, paz duradoura e justiça socioeconômica.</w:t>
      </w:r>
    </w:p>
    <w:p w14:paraId="7E624DB5" w14:textId="77777777" w:rsidR="00D853D0" w:rsidRDefault="00455D7C" w:rsidP="00455D7C">
      <w:pPr>
        <w:spacing w:after="0" w:line="360" w:lineRule="auto"/>
        <w:ind w:firstLine="709"/>
        <w:jc w:val="both"/>
        <w:rPr>
          <w:rFonts w:ascii="Arial" w:hAnsi="Arial" w:cs="Arial"/>
          <w:sz w:val="24"/>
          <w:szCs w:val="24"/>
        </w:rPr>
      </w:pPr>
      <w:r w:rsidRPr="00D853D0">
        <w:rPr>
          <w:rFonts w:ascii="Arial" w:hAnsi="Arial" w:cs="Arial"/>
          <w:sz w:val="24"/>
          <w:szCs w:val="24"/>
        </w:rPr>
        <w:t xml:space="preserve">Embora a dissolução da ordem bipolar pudesse sugerir a obsolescência do Movimento, argumenta-se aqui que seus princípios fundacionais e a necessidade intrínseca de uma plataforma coletiva para o Sul Global não apenas persistem, mas adquirem nova urgência no século XXI. Neste contexto de reavaliação e potencial reinvenção, o Centro de Estudos do Movimento dos Países </w:t>
      </w:r>
      <w:r w:rsidR="00687FBC" w:rsidRPr="00D853D0">
        <w:rPr>
          <w:rFonts w:ascii="Arial" w:hAnsi="Arial" w:cs="Arial"/>
          <w:sz w:val="24"/>
          <w:szCs w:val="24"/>
        </w:rPr>
        <w:t>Não-Alinhados</w:t>
      </w:r>
      <w:r w:rsidRPr="00D853D0">
        <w:rPr>
          <w:rFonts w:ascii="Arial" w:hAnsi="Arial" w:cs="Arial"/>
          <w:sz w:val="24"/>
          <w:szCs w:val="24"/>
        </w:rPr>
        <w:t xml:space="preserve">, estrategicamente sediado em Belgrado, emerge como uma instituição de singular importância. </w:t>
      </w:r>
    </w:p>
    <w:p w14:paraId="2557F1D9" w14:textId="7E257765" w:rsidR="00455D7C" w:rsidRPr="00D853D0" w:rsidRDefault="00455D7C" w:rsidP="00455D7C">
      <w:pPr>
        <w:spacing w:after="0" w:line="360" w:lineRule="auto"/>
        <w:ind w:firstLine="709"/>
        <w:jc w:val="both"/>
        <w:rPr>
          <w:rFonts w:ascii="Arial" w:hAnsi="Arial" w:cs="Arial"/>
          <w:sz w:val="24"/>
          <w:szCs w:val="24"/>
        </w:rPr>
      </w:pPr>
      <w:r w:rsidRPr="00D853D0">
        <w:rPr>
          <w:rFonts w:ascii="Arial" w:hAnsi="Arial" w:cs="Arial"/>
          <w:sz w:val="24"/>
          <w:szCs w:val="24"/>
        </w:rPr>
        <w:t xml:space="preserve">Sua vocação primordial transcende a mera preservação da memória; o Centro é um repositório vivo, encarregado da pesquisa e da educação continuada sobre a complexa história e os princípios normativos do MNA. Ele atua como um conector vital entre o legado histórico – </w:t>
      </w:r>
      <w:r w:rsidR="004176C9" w:rsidRPr="00D853D0">
        <w:rPr>
          <w:rFonts w:ascii="Arial" w:hAnsi="Arial" w:cs="Arial"/>
          <w:sz w:val="24"/>
          <w:szCs w:val="24"/>
        </w:rPr>
        <w:t xml:space="preserve">elencado por Mišković (2014) </w:t>
      </w:r>
      <w:r w:rsidRPr="00D853D0">
        <w:rPr>
          <w:rFonts w:ascii="Arial" w:hAnsi="Arial" w:cs="Arial"/>
          <w:sz w:val="24"/>
          <w:szCs w:val="24"/>
        </w:rPr>
        <w:t>desde as raízes intelectuais fincadas na Conferência de Bandung em 1955 e a formulação de princípios como os de Panchsheel, até os intensos debates sobre a Nova Ordem Econômica Internacional (NIEO) – e os intrincados desafios contemporâneos que confrontam o Sul Global.</w:t>
      </w:r>
    </w:p>
    <w:p w14:paraId="2BD6DE3D" w14:textId="77777777" w:rsidR="00D853D0" w:rsidRDefault="001C20D5" w:rsidP="00455D7C">
      <w:pPr>
        <w:spacing w:after="0" w:line="360" w:lineRule="auto"/>
        <w:ind w:firstLine="709"/>
        <w:jc w:val="both"/>
        <w:rPr>
          <w:rFonts w:ascii="Arial" w:hAnsi="Arial" w:cs="Arial"/>
          <w:sz w:val="24"/>
          <w:szCs w:val="24"/>
        </w:rPr>
      </w:pPr>
      <w:r w:rsidRPr="00D853D0">
        <w:rPr>
          <w:rFonts w:ascii="Arial" w:hAnsi="Arial" w:cs="Arial"/>
          <w:sz w:val="24"/>
          <w:szCs w:val="24"/>
        </w:rPr>
        <w:t>É necessária a exploração acerca</w:t>
      </w:r>
      <w:r w:rsidR="00455D7C" w:rsidRPr="00D853D0">
        <w:rPr>
          <w:rFonts w:ascii="Arial" w:hAnsi="Arial" w:cs="Arial"/>
          <w:sz w:val="24"/>
          <w:szCs w:val="24"/>
        </w:rPr>
        <w:t xml:space="preserve"> </w:t>
      </w:r>
      <w:r w:rsidRPr="00D853D0">
        <w:rPr>
          <w:rFonts w:ascii="Arial" w:hAnsi="Arial" w:cs="Arial"/>
          <w:sz w:val="24"/>
          <w:szCs w:val="24"/>
        </w:rPr>
        <w:t>d</w:t>
      </w:r>
      <w:r w:rsidR="00455D7C" w:rsidRPr="00D853D0">
        <w:rPr>
          <w:rFonts w:ascii="Arial" w:hAnsi="Arial" w:cs="Arial"/>
          <w:sz w:val="24"/>
          <w:szCs w:val="24"/>
        </w:rPr>
        <w:t xml:space="preserve">a relevância multifacetada e o potencial latente do Centro de Estudos do MNA em Belgrado em sua intersecção com os campos da Saúde Global e da Diplomacia da Saúde. Sustentamos que o arcabouço normativo e a rica experiência histórica do MNA oferecem instrumentos analíticos e éticos valiosos para decifrar e intervir nas complexas dinâmicas de poder, nas persistentes iniquidades e nos desafios de cooperação que caracterizam a saúde global contemporânea. </w:t>
      </w:r>
    </w:p>
    <w:p w14:paraId="39E5E83A" w14:textId="5D375D8E" w:rsidR="00455D7C" w:rsidRPr="00D853D0" w:rsidRDefault="00D853D0" w:rsidP="00455D7C">
      <w:pPr>
        <w:spacing w:after="0" w:line="360" w:lineRule="auto"/>
        <w:ind w:firstLine="709"/>
        <w:jc w:val="both"/>
        <w:rPr>
          <w:rFonts w:ascii="Arial" w:hAnsi="Arial" w:cs="Arial"/>
          <w:sz w:val="24"/>
          <w:szCs w:val="24"/>
        </w:rPr>
      </w:pPr>
      <w:r>
        <w:rPr>
          <w:rFonts w:ascii="Arial" w:hAnsi="Arial" w:cs="Arial"/>
          <w:sz w:val="24"/>
          <w:szCs w:val="24"/>
        </w:rPr>
        <w:t>O Centro</w:t>
      </w:r>
      <w:r w:rsidR="00455D7C" w:rsidRPr="00D853D0">
        <w:rPr>
          <w:rFonts w:ascii="Arial" w:hAnsi="Arial" w:cs="Arial"/>
          <w:sz w:val="24"/>
          <w:szCs w:val="24"/>
        </w:rPr>
        <w:t xml:space="preserve"> pode auxiliar a forjar e promover uma agenda de saúde distintamente não alinhada, revitalizando a cooperação Sul-Sul e contribuindo ativamente para a </w:t>
      </w:r>
      <w:r w:rsidR="00455D7C" w:rsidRPr="00D853D0">
        <w:rPr>
          <w:rFonts w:ascii="Arial" w:hAnsi="Arial" w:cs="Arial"/>
          <w:sz w:val="24"/>
          <w:szCs w:val="24"/>
        </w:rPr>
        <w:lastRenderedPageBreak/>
        <w:t>construção de sistemas de saúde globais e nacionais mais resilientes, justos e equitativos, guiados pelo espírito original do MNA, mas adaptados às realidades complexas da atualidade. A análise se desdo</w:t>
      </w:r>
      <w:r w:rsidR="001C20D5" w:rsidRPr="00D853D0">
        <w:rPr>
          <w:rFonts w:ascii="Arial" w:hAnsi="Arial" w:cs="Arial"/>
          <w:sz w:val="24"/>
          <w:szCs w:val="24"/>
        </w:rPr>
        <w:t>bra</w:t>
      </w:r>
      <w:r w:rsidR="00455D7C" w:rsidRPr="00D853D0">
        <w:rPr>
          <w:rFonts w:ascii="Arial" w:hAnsi="Arial" w:cs="Arial"/>
          <w:sz w:val="24"/>
          <w:szCs w:val="24"/>
        </w:rPr>
        <w:t xml:space="preserve"> explorando a função do Centro como guardião da memória e agente construtor de significado, a aplicação dos princípios do MNA aos dilemas específicos da saúde global, o papel potencial do Centro na catalisação da diplomacia da saúde Sul-Sul, e os desafios inerentes a este projeto em face da atual conjuntura internacional. </w:t>
      </w:r>
    </w:p>
    <w:p w14:paraId="1C065DCE" w14:textId="64DE1256" w:rsidR="00E3381B" w:rsidRPr="00D853D0" w:rsidRDefault="00E3381B" w:rsidP="00E3381B">
      <w:pPr>
        <w:spacing w:after="0" w:line="360" w:lineRule="auto"/>
        <w:ind w:firstLine="709"/>
        <w:jc w:val="both"/>
        <w:rPr>
          <w:rFonts w:ascii="Arial" w:hAnsi="Arial" w:cs="Arial"/>
          <w:sz w:val="24"/>
          <w:szCs w:val="24"/>
        </w:rPr>
      </w:pPr>
      <w:r w:rsidRPr="00D853D0">
        <w:rPr>
          <w:rFonts w:ascii="Arial" w:hAnsi="Arial" w:cs="Arial"/>
          <w:sz w:val="24"/>
          <w:szCs w:val="24"/>
        </w:rPr>
        <w:t xml:space="preserve">Para analisar criticamente como as Relações Internacionais moldam a saúde global sob a ótica do MNA, </w:t>
      </w:r>
      <w:r w:rsidR="001C20D5" w:rsidRPr="00D853D0">
        <w:rPr>
          <w:rFonts w:ascii="Arial" w:hAnsi="Arial" w:cs="Arial"/>
          <w:sz w:val="24"/>
          <w:szCs w:val="24"/>
        </w:rPr>
        <w:t>é proposto</w:t>
      </w:r>
      <w:r w:rsidRPr="00D853D0">
        <w:rPr>
          <w:rFonts w:ascii="Arial" w:hAnsi="Arial" w:cs="Arial"/>
          <w:sz w:val="24"/>
          <w:szCs w:val="24"/>
        </w:rPr>
        <w:t xml:space="preserve"> uma metodologia que mergulha nas ideias e na história do MNA para entender e propor soluções para os desequilíbrios atuais. </w:t>
      </w:r>
      <w:r w:rsidR="001C20D5" w:rsidRPr="00D853D0">
        <w:rPr>
          <w:rFonts w:ascii="Arial" w:hAnsi="Arial" w:cs="Arial"/>
          <w:sz w:val="24"/>
          <w:szCs w:val="24"/>
        </w:rPr>
        <w:t>Assim, busca-se</w:t>
      </w:r>
      <w:r w:rsidRPr="00D853D0">
        <w:rPr>
          <w:rFonts w:ascii="Arial" w:hAnsi="Arial" w:cs="Arial"/>
          <w:sz w:val="24"/>
          <w:szCs w:val="24"/>
        </w:rPr>
        <w:t xml:space="preserve"> reconhece</w:t>
      </w:r>
      <w:r w:rsidR="001C20D5" w:rsidRPr="00D853D0">
        <w:rPr>
          <w:rFonts w:ascii="Arial" w:hAnsi="Arial" w:cs="Arial"/>
          <w:sz w:val="24"/>
          <w:szCs w:val="24"/>
        </w:rPr>
        <w:t>r</w:t>
      </w:r>
      <w:r w:rsidRPr="00D853D0">
        <w:rPr>
          <w:rFonts w:ascii="Arial" w:hAnsi="Arial" w:cs="Arial"/>
          <w:sz w:val="24"/>
          <w:szCs w:val="24"/>
        </w:rPr>
        <w:t xml:space="preserve"> que as narrativas sobre saúde e cooperação são construídas socialmente e, muitas vezes, refletem relações de poder desiguais, heranças do colonialismo que ainda afetam o acesso à saúde e à tecnologia no Sul Global, como bem apontam as discussões em torno do MNA e sua busca por uma Nova Ordem Econômica Internacional. </w:t>
      </w:r>
    </w:p>
    <w:p w14:paraId="3B497264" w14:textId="17E74641" w:rsidR="00E3381B" w:rsidRPr="00D853D0" w:rsidRDefault="00E3381B" w:rsidP="00E3381B">
      <w:pPr>
        <w:spacing w:after="0" w:line="360" w:lineRule="auto"/>
        <w:ind w:firstLine="709"/>
        <w:jc w:val="both"/>
        <w:rPr>
          <w:rFonts w:ascii="Arial" w:hAnsi="Arial" w:cs="Arial"/>
          <w:sz w:val="24"/>
          <w:szCs w:val="24"/>
        </w:rPr>
      </w:pPr>
      <w:r w:rsidRPr="00D853D0">
        <w:rPr>
          <w:rFonts w:ascii="Arial" w:hAnsi="Arial" w:cs="Arial"/>
          <w:sz w:val="24"/>
          <w:szCs w:val="24"/>
        </w:rPr>
        <w:t xml:space="preserve">Observando o cenário internacional atual, especialmente após a pandemia, identificaremos os principais países, organizações e outros atores que definem os rumos da saúde global. </w:t>
      </w:r>
      <w:r w:rsidR="001C20D5" w:rsidRPr="00D853D0">
        <w:rPr>
          <w:rFonts w:ascii="Arial" w:hAnsi="Arial" w:cs="Arial"/>
          <w:sz w:val="24"/>
          <w:szCs w:val="24"/>
        </w:rPr>
        <w:t>Um exame sobre</w:t>
      </w:r>
      <w:r w:rsidRPr="00D853D0">
        <w:rPr>
          <w:rFonts w:ascii="Arial" w:hAnsi="Arial" w:cs="Arial"/>
          <w:sz w:val="24"/>
          <w:szCs w:val="24"/>
        </w:rPr>
        <w:t xml:space="preserve"> a disputa de poder</w:t>
      </w:r>
      <w:r w:rsidR="001C20D5" w:rsidRPr="00D853D0">
        <w:rPr>
          <w:rFonts w:ascii="Arial" w:hAnsi="Arial" w:cs="Arial"/>
          <w:sz w:val="24"/>
          <w:szCs w:val="24"/>
        </w:rPr>
        <w:t xml:space="preserve"> também é pautado</w:t>
      </w:r>
      <w:r w:rsidRPr="00D853D0">
        <w:rPr>
          <w:rFonts w:ascii="Arial" w:hAnsi="Arial" w:cs="Arial"/>
          <w:sz w:val="24"/>
          <w:szCs w:val="24"/>
        </w:rPr>
        <w:t>, particularmente a rivalidade EUA-China, e como isso afeta a cooperação. Também</w:t>
      </w:r>
      <w:r w:rsidR="001C20D5" w:rsidRPr="00D853D0">
        <w:rPr>
          <w:rFonts w:ascii="Arial" w:hAnsi="Arial" w:cs="Arial"/>
          <w:sz w:val="24"/>
          <w:szCs w:val="24"/>
        </w:rPr>
        <w:t xml:space="preserve">, </w:t>
      </w:r>
      <w:r w:rsidRPr="00D853D0">
        <w:rPr>
          <w:rFonts w:ascii="Arial" w:hAnsi="Arial" w:cs="Arial"/>
          <w:sz w:val="24"/>
          <w:szCs w:val="24"/>
        </w:rPr>
        <w:t>os discursos sobre "nacionalismo vacinal" e "cooperação Sul-Sul", buscando entender como o MNA e o Centro de Belgrado podem articular visões alternativas que promovam mais equidade. Casos como a negociação do tratado pandêmico e as iniciativas de produção conjunta de vacinas no Sul, como as vistas em Cuba, Índia e Brasil, serão estudados para ilustrar tanto os desafios quanto as oportunidades para uma diplomacia da saúde alinhada aos princípios do MNA.</w:t>
      </w:r>
    </w:p>
    <w:p w14:paraId="5B771A42" w14:textId="77777777" w:rsidR="002136F5" w:rsidRDefault="001C20D5" w:rsidP="001C20D5">
      <w:pPr>
        <w:spacing w:after="0" w:line="360" w:lineRule="auto"/>
        <w:ind w:firstLine="709"/>
        <w:jc w:val="both"/>
        <w:rPr>
          <w:rFonts w:ascii="Arial" w:hAnsi="Arial" w:cs="Arial"/>
          <w:sz w:val="24"/>
          <w:szCs w:val="24"/>
        </w:rPr>
      </w:pPr>
      <w:r w:rsidRPr="00D853D0">
        <w:rPr>
          <w:rFonts w:ascii="Arial" w:hAnsi="Arial" w:cs="Arial"/>
          <w:sz w:val="24"/>
          <w:szCs w:val="24"/>
        </w:rPr>
        <w:t>Nesta perspectiva</w:t>
      </w:r>
      <w:r w:rsidR="00E3381B" w:rsidRPr="00D853D0">
        <w:rPr>
          <w:rFonts w:ascii="Arial" w:hAnsi="Arial" w:cs="Arial"/>
          <w:sz w:val="24"/>
          <w:szCs w:val="24"/>
        </w:rPr>
        <w:t>,</w:t>
      </w:r>
      <w:r w:rsidRPr="00D853D0">
        <w:rPr>
          <w:rFonts w:ascii="Arial" w:hAnsi="Arial" w:cs="Arial"/>
          <w:sz w:val="24"/>
          <w:szCs w:val="24"/>
        </w:rPr>
        <w:t xml:space="preserve"> foi objetivado</w:t>
      </w:r>
      <w:r w:rsidR="00E3381B" w:rsidRPr="00D853D0">
        <w:rPr>
          <w:rFonts w:ascii="Arial" w:hAnsi="Arial" w:cs="Arial"/>
          <w:sz w:val="24"/>
          <w:szCs w:val="24"/>
        </w:rPr>
        <w:t xml:space="preserve"> </w:t>
      </w:r>
      <w:r w:rsidRPr="00D853D0">
        <w:rPr>
          <w:rFonts w:ascii="Arial" w:hAnsi="Arial" w:cs="Arial"/>
          <w:sz w:val="24"/>
          <w:szCs w:val="24"/>
        </w:rPr>
        <w:t>lançar um olhar analítico para os princípios basilares construídos historicamente,</w:t>
      </w:r>
      <w:r w:rsidR="00E3381B" w:rsidRPr="00D853D0">
        <w:rPr>
          <w:rFonts w:ascii="Arial" w:hAnsi="Arial" w:cs="Arial"/>
          <w:sz w:val="24"/>
          <w:szCs w:val="24"/>
        </w:rPr>
        <w:t xml:space="preserve"> como os ideais do MNA (soberania, equidade, solidariedade) pode</w:t>
      </w:r>
      <w:r w:rsidRPr="00D853D0">
        <w:rPr>
          <w:rFonts w:ascii="Arial" w:hAnsi="Arial" w:cs="Arial"/>
          <w:sz w:val="24"/>
          <w:szCs w:val="24"/>
        </w:rPr>
        <w:t>ndo</w:t>
      </w:r>
      <w:r w:rsidR="00E3381B" w:rsidRPr="00D853D0">
        <w:rPr>
          <w:rFonts w:ascii="Arial" w:hAnsi="Arial" w:cs="Arial"/>
          <w:sz w:val="24"/>
          <w:szCs w:val="24"/>
        </w:rPr>
        <w:t xml:space="preserve"> ser aplicados hoje para enfrentar os desafios da saúde</w:t>
      </w:r>
      <w:r w:rsidRPr="00D853D0">
        <w:rPr>
          <w:rFonts w:ascii="Arial" w:hAnsi="Arial" w:cs="Arial"/>
          <w:sz w:val="24"/>
          <w:szCs w:val="24"/>
        </w:rPr>
        <w:t>, é um caminho imperioso nas análises de relações internacionais</w:t>
      </w:r>
      <w:r w:rsidR="00E3381B" w:rsidRPr="00D853D0">
        <w:rPr>
          <w:rFonts w:ascii="Arial" w:hAnsi="Arial" w:cs="Arial"/>
          <w:sz w:val="24"/>
          <w:szCs w:val="24"/>
        </w:rPr>
        <w:t xml:space="preserve">. </w:t>
      </w:r>
      <w:r w:rsidRPr="00D853D0">
        <w:rPr>
          <w:rFonts w:ascii="Arial" w:hAnsi="Arial" w:cs="Arial"/>
          <w:sz w:val="24"/>
          <w:szCs w:val="24"/>
        </w:rPr>
        <w:t>Conseguinte, buscou-se i</w:t>
      </w:r>
      <w:r w:rsidRPr="00D853D0">
        <w:rPr>
          <w:rFonts w:ascii="Arial" w:hAnsi="Arial" w:cs="Arial"/>
          <w:sz w:val="24"/>
          <w:szCs w:val="24"/>
        </w:rPr>
        <w:t>dentificar e analisar os princípios fundacionais do Movimento dos Não-Alinhados (soberania, autodeterminação, equidade, solidariedade) e seu legado histórico, avaliando sua pertinência e aplicabilidade para a compreensão crítica das atuais dinâmicas de poder e das iniquidades persistentes no campo da saúde global.</w:t>
      </w:r>
    </w:p>
    <w:p w14:paraId="20AA4583" w14:textId="4B717A8C" w:rsidR="00E3381B" w:rsidRPr="00D853D0" w:rsidRDefault="001C20D5" w:rsidP="001C20D5">
      <w:pPr>
        <w:spacing w:after="0" w:line="360" w:lineRule="auto"/>
        <w:ind w:firstLine="709"/>
        <w:jc w:val="both"/>
        <w:rPr>
          <w:rFonts w:ascii="Arial" w:hAnsi="Arial" w:cs="Arial"/>
          <w:sz w:val="24"/>
          <w:szCs w:val="24"/>
        </w:rPr>
      </w:pPr>
      <w:r w:rsidRPr="00D853D0">
        <w:rPr>
          <w:rFonts w:ascii="Arial" w:hAnsi="Arial" w:cs="Arial"/>
          <w:sz w:val="24"/>
          <w:szCs w:val="24"/>
        </w:rPr>
        <w:lastRenderedPageBreak/>
        <w:t xml:space="preserve">Em adendo, </w:t>
      </w:r>
      <w:r w:rsidR="00D853D0">
        <w:rPr>
          <w:rFonts w:ascii="Arial" w:hAnsi="Arial" w:cs="Arial"/>
          <w:sz w:val="24"/>
          <w:szCs w:val="24"/>
        </w:rPr>
        <w:t>é</w:t>
      </w:r>
      <w:r w:rsidRPr="00D853D0">
        <w:rPr>
          <w:rFonts w:ascii="Arial" w:hAnsi="Arial" w:cs="Arial"/>
          <w:sz w:val="24"/>
          <w:szCs w:val="24"/>
        </w:rPr>
        <w:t xml:space="preserve"> necessário e</w:t>
      </w:r>
      <w:r w:rsidRPr="00D853D0">
        <w:rPr>
          <w:rFonts w:ascii="Arial" w:hAnsi="Arial" w:cs="Arial"/>
          <w:sz w:val="24"/>
          <w:szCs w:val="24"/>
        </w:rPr>
        <w:t>xaminar as manifestações contemporâneas das assimetrias de poder e os desafios à cooperação na saúde global, com ênfase nas lições da pandemia de COVID-19 (como o nacionalismo vacinal e o acesso a tecnologias), identificando o papel e as potencialidades da Cooperação Sul-Sul como estratégia alternativa informada pelos ideais não-alinhados.</w:t>
      </w:r>
      <w:r w:rsidRPr="00D853D0">
        <w:rPr>
          <w:rFonts w:ascii="Arial" w:hAnsi="Arial" w:cs="Arial"/>
          <w:sz w:val="24"/>
          <w:szCs w:val="24"/>
        </w:rPr>
        <w:t xml:space="preserve"> Por fim, a</w:t>
      </w:r>
      <w:r w:rsidRPr="00D853D0">
        <w:rPr>
          <w:rFonts w:ascii="Arial" w:hAnsi="Arial" w:cs="Arial"/>
          <w:sz w:val="24"/>
          <w:szCs w:val="24"/>
        </w:rPr>
        <w:t>valiar criticamente as capacidades, os desafios e as oportunidades do Centro de Estudos dos Não-Alinhados de Belgrado para atuar como um espaço de geração de conhecimento, formulação de políticas e articulação de uma voz coesa do Sul Global, visando a promoção de uma agenda de saúde pautada na justiça e na soberania sanitária.</w:t>
      </w:r>
    </w:p>
    <w:p w14:paraId="56032B33" w14:textId="77777777" w:rsidR="00687FBC" w:rsidRPr="00D853D0" w:rsidRDefault="00687FBC" w:rsidP="00455D7C">
      <w:pPr>
        <w:spacing w:after="0" w:line="360" w:lineRule="auto"/>
        <w:ind w:firstLine="709"/>
        <w:jc w:val="both"/>
        <w:rPr>
          <w:rFonts w:ascii="Arial" w:hAnsi="Arial" w:cs="Arial"/>
          <w:sz w:val="24"/>
          <w:szCs w:val="24"/>
        </w:rPr>
      </w:pPr>
    </w:p>
    <w:p w14:paraId="49152BE3" w14:textId="07DA0B52" w:rsidR="00361FA7" w:rsidRPr="00D853D0" w:rsidRDefault="00361FA7" w:rsidP="00361FA7">
      <w:pPr>
        <w:pStyle w:val="Ttulo1"/>
        <w:numPr>
          <w:ilvl w:val="0"/>
          <w:numId w:val="2"/>
        </w:numPr>
        <w:rPr>
          <w:rFonts w:ascii="Arial" w:hAnsi="Arial" w:cs="Arial"/>
          <w:lang w:val="pt-BR"/>
        </w:rPr>
      </w:pPr>
      <w:r w:rsidRPr="00D853D0">
        <w:rPr>
          <w:rFonts w:ascii="Arial" w:hAnsi="Arial" w:cs="Arial"/>
          <w:lang w:val="pt-BR"/>
        </w:rPr>
        <w:t>O CENTRO DE BELGRADO COMO NORM ENTREPRENEUR</w:t>
      </w:r>
    </w:p>
    <w:p w14:paraId="011BF91D" w14:textId="77777777" w:rsidR="00361FA7" w:rsidRPr="00D853D0" w:rsidRDefault="00361FA7" w:rsidP="00361FA7">
      <w:pPr>
        <w:spacing w:after="0"/>
        <w:rPr>
          <w:rFonts w:ascii="Arial" w:hAnsi="Arial" w:cs="Arial"/>
          <w:sz w:val="24"/>
          <w:szCs w:val="24"/>
          <w:lang w:eastAsia="en-US"/>
        </w:rPr>
      </w:pPr>
    </w:p>
    <w:p w14:paraId="76DAFD8B" w14:textId="77777777" w:rsidR="00D853D0" w:rsidRDefault="00455D7C" w:rsidP="00455D7C">
      <w:pPr>
        <w:spacing w:after="0" w:line="360" w:lineRule="auto"/>
        <w:ind w:firstLine="709"/>
        <w:jc w:val="both"/>
        <w:rPr>
          <w:rFonts w:ascii="Arial" w:hAnsi="Arial" w:cs="Arial"/>
          <w:sz w:val="24"/>
          <w:szCs w:val="24"/>
        </w:rPr>
      </w:pPr>
      <w:r w:rsidRPr="00D853D0">
        <w:rPr>
          <w:rFonts w:ascii="Arial" w:hAnsi="Arial" w:cs="Arial"/>
          <w:sz w:val="24"/>
          <w:szCs w:val="24"/>
        </w:rPr>
        <w:t xml:space="preserve">Partindo de uma abordagem construtivista das relações internacionais, que enfatiza o papel das ideias, normas e identidades na moldagem dos interesses e comportamentos estatais, argumentamos que o Centro de Belgrado, dada sua localização profundamente simbólica, seu mandato acadêmico e seu potencial como </w:t>
      </w:r>
      <w:r w:rsidRPr="00D853D0">
        <w:rPr>
          <w:rFonts w:ascii="Arial" w:hAnsi="Arial" w:cs="Arial"/>
          <w:i/>
          <w:iCs/>
          <w:sz w:val="24"/>
          <w:szCs w:val="24"/>
        </w:rPr>
        <w:t>norm entrepreneur</w:t>
      </w:r>
      <w:r w:rsidRPr="00D853D0">
        <w:rPr>
          <w:rFonts w:ascii="Arial" w:hAnsi="Arial" w:cs="Arial"/>
          <w:sz w:val="24"/>
          <w:szCs w:val="24"/>
        </w:rPr>
        <w:t xml:space="preserve">, podendo desempenhar um papel catalisador. A cidade foi o palco onde o MNA se institucionalizou formalmente em 1961, consolidando a visão de líderes como Tito, Nasser, Nehru, Nkrumah e Sukarno de criar um espaço político autônomo para nações que recusavam o alinhamento automático aos blocos da Guerra Fria. </w:t>
      </w:r>
    </w:p>
    <w:p w14:paraId="440ABD1B" w14:textId="4032C5CC" w:rsidR="00455D7C" w:rsidRPr="00D853D0" w:rsidRDefault="00455D7C" w:rsidP="00455D7C">
      <w:pPr>
        <w:spacing w:after="0" w:line="360" w:lineRule="auto"/>
        <w:ind w:firstLine="709"/>
        <w:jc w:val="both"/>
        <w:rPr>
          <w:rFonts w:ascii="Arial" w:hAnsi="Arial" w:cs="Arial"/>
          <w:sz w:val="24"/>
          <w:szCs w:val="24"/>
        </w:rPr>
      </w:pPr>
      <w:r w:rsidRPr="00D853D0">
        <w:rPr>
          <w:rFonts w:ascii="Arial" w:hAnsi="Arial" w:cs="Arial"/>
          <w:sz w:val="24"/>
          <w:szCs w:val="24"/>
        </w:rPr>
        <w:t>A existência do Centro, portanto, ancora-se no legado da antiga Iugoslávia como um dos arquitetos e pilares do Movimento, e reflete o compromisso contemporâneo d</w:t>
      </w:r>
      <w:r w:rsidR="004176C9" w:rsidRPr="00D853D0">
        <w:rPr>
          <w:rFonts w:ascii="Arial" w:hAnsi="Arial" w:cs="Arial"/>
          <w:sz w:val="24"/>
          <w:szCs w:val="24"/>
        </w:rPr>
        <w:t>o Governo da</w:t>
      </w:r>
      <w:r w:rsidRPr="00D853D0">
        <w:rPr>
          <w:rFonts w:ascii="Arial" w:hAnsi="Arial" w:cs="Arial"/>
          <w:sz w:val="24"/>
          <w:szCs w:val="24"/>
        </w:rPr>
        <w:t xml:space="preserve"> Sérvia</w:t>
      </w:r>
      <w:r w:rsidR="004176C9" w:rsidRPr="00D853D0">
        <w:rPr>
          <w:rFonts w:ascii="Arial" w:hAnsi="Arial" w:cs="Arial"/>
          <w:sz w:val="24"/>
          <w:szCs w:val="24"/>
        </w:rPr>
        <w:t xml:space="preserve"> (2024)</w:t>
      </w:r>
      <w:r w:rsidRPr="00D853D0">
        <w:rPr>
          <w:rFonts w:ascii="Arial" w:hAnsi="Arial" w:cs="Arial"/>
          <w:sz w:val="24"/>
          <w:szCs w:val="24"/>
        </w:rPr>
        <w:t xml:space="preserve"> em manter viva essa herança, integrando-a a uma política externa que, embora buscando integração europeia, valoriza o multilateralismo e o diálogo com o Sul Global</w:t>
      </w:r>
      <w:r w:rsidR="004176C9" w:rsidRPr="00D853D0">
        <w:rPr>
          <w:rFonts w:ascii="Arial" w:hAnsi="Arial" w:cs="Arial"/>
          <w:sz w:val="24"/>
          <w:szCs w:val="24"/>
        </w:rPr>
        <w:t xml:space="preserve"> (</w:t>
      </w:r>
      <w:r w:rsidR="004176C9" w:rsidRPr="00D853D0">
        <w:rPr>
          <w:rFonts w:ascii="Arial" w:hAnsi="Arial" w:cs="Arial"/>
          <w:sz w:val="24"/>
          <w:szCs w:val="24"/>
        </w:rPr>
        <w:t>DIMITRIJEVIĆ</w:t>
      </w:r>
      <w:r w:rsidR="004176C9" w:rsidRPr="00D853D0">
        <w:rPr>
          <w:rFonts w:ascii="Arial" w:hAnsi="Arial" w:cs="Arial"/>
          <w:sz w:val="24"/>
          <w:szCs w:val="24"/>
        </w:rPr>
        <w:t xml:space="preserve"> &amp;</w:t>
      </w:r>
      <w:r w:rsidR="004176C9" w:rsidRPr="00D853D0">
        <w:rPr>
          <w:rFonts w:ascii="Arial" w:hAnsi="Arial" w:cs="Arial"/>
          <w:sz w:val="24"/>
          <w:szCs w:val="24"/>
        </w:rPr>
        <w:t xml:space="preserve"> ČAVOŠKI,</w:t>
      </w:r>
      <w:r w:rsidR="004176C9" w:rsidRPr="00D853D0">
        <w:rPr>
          <w:rFonts w:ascii="Arial" w:hAnsi="Arial" w:cs="Arial"/>
          <w:sz w:val="24"/>
          <w:szCs w:val="24"/>
        </w:rPr>
        <w:t xml:space="preserve"> 2021</w:t>
      </w:r>
      <w:r w:rsidR="009E0C44" w:rsidRPr="00D853D0">
        <w:rPr>
          <w:rFonts w:ascii="Arial" w:hAnsi="Arial" w:cs="Arial"/>
          <w:sz w:val="24"/>
          <w:szCs w:val="24"/>
        </w:rPr>
        <w:t>)</w:t>
      </w:r>
      <w:r w:rsidRPr="00D853D0">
        <w:rPr>
          <w:rFonts w:ascii="Arial" w:hAnsi="Arial" w:cs="Arial"/>
          <w:sz w:val="24"/>
          <w:szCs w:val="24"/>
        </w:rPr>
        <w:t>. A recente inscrição dos arquivos documentais da Primeira Cúpula no programa "Memória do Mundo" da Organização das Nações Unidas para a Educação, a Ciência e a Cultura</w:t>
      </w:r>
      <w:r w:rsidR="004176C9" w:rsidRPr="00D853D0">
        <w:rPr>
          <w:rFonts w:ascii="Arial" w:hAnsi="Arial" w:cs="Arial"/>
          <w:sz w:val="24"/>
          <w:szCs w:val="24"/>
        </w:rPr>
        <w:t xml:space="preserve"> (UNESCO, 2023)</w:t>
      </w:r>
      <w:r w:rsidRPr="00D853D0">
        <w:rPr>
          <w:rFonts w:ascii="Arial" w:hAnsi="Arial" w:cs="Arial"/>
          <w:sz w:val="24"/>
          <w:szCs w:val="24"/>
        </w:rPr>
        <w:t xml:space="preserve"> sublinha a importância universal desse legado e a centralidade de Belgrado em sua preservação.</w:t>
      </w:r>
    </w:p>
    <w:p w14:paraId="6B058BF3" w14:textId="77777777" w:rsidR="00455D7C" w:rsidRPr="00D853D0" w:rsidRDefault="00455D7C" w:rsidP="00455D7C">
      <w:pPr>
        <w:spacing w:after="0" w:line="360" w:lineRule="auto"/>
        <w:ind w:firstLine="709"/>
        <w:jc w:val="both"/>
        <w:rPr>
          <w:rFonts w:ascii="Arial" w:hAnsi="Arial" w:cs="Arial"/>
          <w:sz w:val="24"/>
          <w:szCs w:val="24"/>
        </w:rPr>
      </w:pPr>
      <w:r w:rsidRPr="00D853D0">
        <w:rPr>
          <w:rFonts w:ascii="Arial" w:hAnsi="Arial" w:cs="Arial"/>
          <w:sz w:val="24"/>
          <w:szCs w:val="24"/>
        </w:rPr>
        <w:t xml:space="preserve">A missão institucional do Centro foca na pesquisa e na educação, funcionando como um hub acadêmico e intelectual, atraindo pesquisadores, diplomatas, estudantes e analistas de diversas disciplinas para investigar a rica e multifacetada </w:t>
      </w:r>
      <w:r w:rsidRPr="00D853D0">
        <w:rPr>
          <w:rFonts w:ascii="Arial" w:hAnsi="Arial" w:cs="Arial"/>
          <w:sz w:val="24"/>
          <w:szCs w:val="24"/>
        </w:rPr>
        <w:lastRenderedPageBreak/>
        <w:t xml:space="preserve">trajetória do MNA. Suas atividades, como conferências, publicações, manutenção de arquivos, promoção de debates, visam não apenas documentar o passado, mas extrair lições e analisar criticamente a evolução dos princípios fundacionais do Movimento (soberania, integridade territorial, não agressão, não intervenção, igualdade, coexistência pacífica, cooperação Sul-Sul) em face das transformações globais. Nesta perspectiva, o Centro não é apenas um guardião passivo da memória; ele é um agente ativo na construção social do significado do não-alinhamento. </w:t>
      </w:r>
    </w:p>
    <w:p w14:paraId="4ED6CCA2" w14:textId="3A5F5A76" w:rsidR="00455D7C" w:rsidRPr="00D853D0" w:rsidRDefault="00455D7C" w:rsidP="00455D7C">
      <w:pPr>
        <w:spacing w:after="0" w:line="360" w:lineRule="auto"/>
        <w:ind w:firstLine="709"/>
        <w:jc w:val="both"/>
        <w:rPr>
          <w:rFonts w:ascii="Arial" w:hAnsi="Arial" w:cs="Arial"/>
          <w:sz w:val="24"/>
          <w:szCs w:val="24"/>
        </w:rPr>
      </w:pPr>
      <w:r w:rsidRPr="00D853D0">
        <w:rPr>
          <w:rFonts w:ascii="Arial" w:hAnsi="Arial" w:cs="Arial"/>
          <w:sz w:val="24"/>
          <w:szCs w:val="24"/>
        </w:rPr>
        <w:t>O Centro aspira ser mais do que um memorial, buscando ser uma plataforma dinâmica para o engajamento com os desafios do presente e do futuro, mirando por sobre estratégias de negociação multilateral, resistência a dinâmicas hegemônicas e formulação de agendas alternativas para uma ordem internacional mais justa e equitativa. Essas lições históricas, argumenta</w:t>
      </w:r>
      <w:r w:rsidR="004176C9" w:rsidRPr="00D853D0">
        <w:rPr>
          <w:rFonts w:ascii="Arial" w:hAnsi="Arial" w:cs="Arial"/>
          <w:sz w:val="24"/>
          <w:szCs w:val="24"/>
        </w:rPr>
        <w:t xml:space="preserve"> Mišković (2014)</w:t>
      </w:r>
      <w:r w:rsidRPr="00D853D0">
        <w:rPr>
          <w:rFonts w:ascii="Arial" w:hAnsi="Arial" w:cs="Arial"/>
          <w:sz w:val="24"/>
          <w:szCs w:val="24"/>
        </w:rPr>
        <w:t xml:space="preserve">, são transferíveis e aplicáveis a novas arenas de disputa e cooperação, como a governança climática, a regulação do ciberespaço e, de forma particularmente premente, a saúde global. Ao fomentar o diálogo Sul-Sul e investigar a aplicabilidade dos princípios </w:t>
      </w:r>
      <w:r w:rsidR="00687FBC" w:rsidRPr="00D853D0">
        <w:rPr>
          <w:rFonts w:ascii="Arial" w:hAnsi="Arial" w:cs="Arial"/>
          <w:sz w:val="24"/>
          <w:szCs w:val="24"/>
        </w:rPr>
        <w:t>Não-Alinhados</w:t>
      </w:r>
      <w:r w:rsidRPr="00D853D0">
        <w:rPr>
          <w:rFonts w:ascii="Arial" w:hAnsi="Arial" w:cs="Arial"/>
          <w:sz w:val="24"/>
          <w:szCs w:val="24"/>
        </w:rPr>
        <w:t xml:space="preserve"> a essas novas agendas, o Centro posiciona-se como um potencial </w:t>
      </w:r>
      <w:r w:rsidRPr="00D853D0">
        <w:rPr>
          <w:rFonts w:ascii="Arial" w:hAnsi="Arial" w:cs="Arial"/>
          <w:i/>
          <w:iCs/>
          <w:sz w:val="24"/>
          <w:szCs w:val="24"/>
        </w:rPr>
        <w:t>think tank</w:t>
      </w:r>
      <w:r w:rsidRPr="00D853D0">
        <w:rPr>
          <w:rFonts w:ascii="Arial" w:hAnsi="Arial" w:cs="Arial"/>
          <w:sz w:val="24"/>
          <w:szCs w:val="24"/>
        </w:rPr>
        <w:t xml:space="preserve"> para o Sul Global, contribuindo para a formulação de políticas informadas por uma perspectiva crítica e autônoma.</w:t>
      </w:r>
    </w:p>
    <w:p w14:paraId="2175374C" w14:textId="77777777" w:rsidR="00455D7C" w:rsidRPr="00D853D0" w:rsidRDefault="00455D7C" w:rsidP="00455D7C">
      <w:pPr>
        <w:spacing w:after="0" w:line="360" w:lineRule="auto"/>
        <w:ind w:firstLine="709"/>
        <w:jc w:val="both"/>
        <w:rPr>
          <w:rFonts w:ascii="Arial" w:hAnsi="Arial" w:cs="Arial"/>
          <w:sz w:val="24"/>
          <w:szCs w:val="24"/>
        </w:rPr>
      </w:pPr>
      <w:r w:rsidRPr="00D853D0">
        <w:rPr>
          <w:rFonts w:ascii="Arial" w:hAnsi="Arial" w:cs="Arial"/>
          <w:sz w:val="24"/>
          <w:szCs w:val="24"/>
        </w:rPr>
        <w:t xml:space="preserve">Embora a saúde não tenha sido, historicamente, o foco principal explícito da agenda do MNA, estando mais concentrado em descolonização, segurança e reforma econômica (como a NIEO), seus princípios fundacionais oferecem um poderoso quadro normativo para analisar e transformar a saúde global. As dinâmicas de poder, as iniquidades estruturais e os desafios de cooperação que marcam este campo encontram nos ideais do MNA uma ressonância profunda e uma fonte de inspiração para ações futuras. O princípio da soberania e autodeterminação, central para a afirmação dos novos Estados pós-coloniais, informa diretamente o debate contemporâneo sobre soberania sanitária. </w:t>
      </w:r>
    </w:p>
    <w:p w14:paraId="28D72D49" w14:textId="5C38E428" w:rsidR="00455D7C" w:rsidRPr="00D853D0" w:rsidRDefault="00455D7C" w:rsidP="00455D7C">
      <w:pPr>
        <w:spacing w:after="0" w:line="360" w:lineRule="auto"/>
        <w:ind w:firstLine="709"/>
        <w:jc w:val="both"/>
        <w:rPr>
          <w:rFonts w:ascii="Arial" w:hAnsi="Arial" w:cs="Arial"/>
          <w:sz w:val="24"/>
          <w:szCs w:val="24"/>
        </w:rPr>
      </w:pPr>
      <w:r w:rsidRPr="00D853D0">
        <w:rPr>
          <w:rFonts w:ascii="Arial" w:hAnsi="Arial" w:cs="Arial"/>
          <w:sz w:val="24"/>
          <w:szCs w:val="24"/>
        </w:rPr>
        <w:t xml:space="preserve">Este conceito desafia a ideia de que as políticas nacionais de saúde devam se submeter a condicionalidades externas ou a agendas de doadores que não priorizem as necessidades locais. </w:t>
      </w:r>
      <w:r w:rsidR="004176C9" w:rsidRPr="00D853D0">
        <w:rPr>
          <w:rFonts w:ascii="Arial" w:hAnsi="Arial" w:cs="Arial"/>
          <w:sz w:val="24"/>
          <w:szCs w:val="24"/>
        </w:rPr>
        <w:t xml:space="preserve">A </w:t>
      </w:r>
      <w:r w:rsidRPr="00D853D0">
        <w:rPr>
          <w:rFonts w:ascii="Arial" w:hAnsi="Arial" w:cs="Arial"/>
          <w:sz w:val="24"/>
          <w:szCs w:val="24"/>
        </w:rPr>
        <w:t>pandemia de COVID-19, com a emergência do "nacionalismo vacinal" e as disputas sobre acesso equitativo a diagnósticos, tratamentos e vacinas (ATIV), ilustrou dramaticamente a tensão entre a soberania nacional na proteção da saúde pública e as exigências de cooperação e solidariedade globais</w:t>
      </w:r>
      <w:r w:rsidR="004176C9" w:rsidRPr="00D853D0">
        <w:rPr>
          <w:rFonts w:ascii="Arial" w:hAnsi="Arial" w:cs="Arial"/>
          <w:sz w:val="24"/>
          <w:szCs w:val="24"/>
        </w:rPr>
        <w:t xml:space="preserve"> que, defendido por </w:t>
      </w:r>
      <w:r w:rsidR="004176C9" w:rsidRPr="00D853D0">
        <w:rPr>
          <w:rFonts w:ascii="Arial" w:hAnsi="Arial" w:cs="Arial"/>
          <w:sz w:val="24"/>
          <w:szCs w:val="24"/>
        </w:rPr>
        <w:t xml:space="preserve">KICKBUSH &amp; BERGER (2010), </w:t>
      </w:r>
      <w:r w:rsidR="004176C9" w:rsidRPr="00D853D0">
        <w:rPr>
          <w:rFonts w:ascii="Arial" w:hAnsi="Arial" w:cs="Arial"/>
          <w:sz w:val="24"/>
          <w:szCs w:val="24"/>
        </w:rPr>
        <w:t xml:space="preserve">são princípios importantes </w:t>
      </w:r>
      <w:r w:rsidR="004176C9" w:rsidRPr="00D853D0">
        <w:rPr>
          <w:rFonts w:ascii="Arial" w:hAnsi="Arial" w:cs="Arial"/>
          <w:sz w:val="24"/>
          <w:szCs w:val="24"/>
        </w:rPr>
        <w:lastRenderedPageBreak/>
        <w:t>da Diplomacia da Saúde Globa</w:t>
      </w:r>
      <w:r w:rsidR="009E0C44" w:rsidRPr="00D853D0">
        <w:rPr>
          <w:rFonts w:ascii="Arial" w:hAnsi="Arial" w:cs="Arial"/>
          <w:sz w:val="24"/>
          <w:szCs w:val="24"/>
        </w:rPr>
        <w:t>l</w:t>
      </w:r>
      <w:r w:rsidRPr="00D853D0">
        <w:rPr>
          <w:rFonts w:ascii="Arial" w:hAnsi="Arial" w:cs="Arial"/>
          <w:sz w:val="24"/>
          <w:szCs w:val="24"/>
        </w:rPr>
        <w:t>. Uma perspectiva não alinhada, neste contexto, defende o direito de cada país definir sua resposta à crise, ao mesmo tempo em que critica a acumulação de recursos pelos países ricos e advoga por mecanismos globais mais justos de partilha, como a suspensão temporária de patentes</w:t>
      </w:r>
      <w:r w:rsidR="009E0C44" w:rsidRPr="00D853D0">
        <w:rPr>
          <w:rFonts w:ascii="Arial" w:hAnsi="Arial" w:cs="Arial"/>
          <w:sz w:val="24"/>
          <w:szCs w:val="24"/>
        </w:rPr>
        <w:t xml:space="preserve">, como </w:t>
      </w:r>
      <w:r w:rsidRPr="00D853D0">
        <w:rPr>
          <w:rFonts w:ascii="Arial" w:hAnsi="Arial" w:cs="Arial"/>
          <w:sz w:val="24"/>
          <w:szCs w:val="24"/>
        </w:rPr>
        <w:t>a</w:t>
      </w:r>
      <w:r w:rsidR="009E0C44" w:rsidRPr="00D853D0">
        <w:rPr>
          <w:rFonts w:ascii="Arial" w:hAnsi="Arial" w:cs="Arial"/>
          <w:sz w:val="24"/>
          <w:szCs w:val="24"/>
        </w:rPr>
        <w:t xml:space="preserve"> própria</w:t>
      </w:r>
      <w:r w:rsidRPr="00D853D0">
        <w:rPr>
          <w:rFonts w:ascii="Arial" w:hAnsi="Arial" w:cs="Arial"/>
          <w:sz w:val="24"/>
          <w:szCs w:val="24"/>
        </w:rPr>
        <w:t xml:space="preserve"> proposta de</w:t>
      </w:r>
      <w:r w:rsidRPr="00D853D0">
        <w:rPr>
          <w:rFonts w:ascii="Arial" w:hAnsi="Arial" w:cs="Arial"/>
          <w:i/>
          <w:iCs/>
          <w:sz w:val="24"/>
          <w:szCs w:val="24"/>
        </w:rPr>
        <w:t xml:space="preserve"> waiver</w:t>
      </w:r>
      <w:r w:rsidRPr="00D853D0">
        <w:rPr>
          <w:rFonts w:ascii="Arial" w:hAnsi="Arial" w:cs="Arial"/>
          <w:sz w:val="24"/>
          <w:szCs w:val="24"/>
        </w:rPr>
        <w:t xml:space="preserve"> do TRIPS</w:t>
      </w:r>
      <w:r w:rsidR="009E0C44" w:rsidRPr="00D853D0">
        <w:rPr>
          <w:rFonts w:ascii="Arial" w:hAnsi="Arial" w:cs="Arial"/>
          <w:sz w:val="24"/>
          <w:szCs w:val="24"/>
        </w:rPr>
        <w:t xml:space="preserve"> (</w:t>
      </w:r>
      <w:r w:rsidR="009E0C44" w:rsidRPr="00D853D0">
        <w:rPr>
          <w:rFonts w:ascii="Arial" w:hAnsi="Arial" w:cs="Arial"/>
          <w:sz w:val="24"/>
          <w:szCs w:val="24"/>
        </w:rPr>
        <w:t>WORLD TRADE ORGANIZATION</w:t>
      </w:r>
      <w:r w:rsidR="009E0C44" w:rsidRPr="00D853D0">
        <w:rPr>
          <w:rFonts w:ascii="Arial" w:hAnsi="Arial" w:cs="Arial"/>
          <w:sz w:val="24"/>
          <w:szCs w:val="24"/>
        </w:rPr>
        <w:t>, 2021).</w:t>
      </w:r>
    </w:p>
    <w:p w14:paraId="00C4B3D1" w14:textId="77777777" w:rsidR="009E0C44" w:rsidRPr="00D853D0" w:rsidRDefault="009E0C44" w:rsidP="00455D7C">
      <w:pPr>
        <w:spacing w:after="0" w:line="360" w:lineRule="auto"/>
        <w:ind w:firstLine="709"/>
        <w:jc w:val="both"/>
        <w:rPr>
          <w:rFonts w:ascii="Arial" w:hAnsi="Arial" w:cs="Arial"/>
          <w:sz w:val="24"/>
          <w:szCs w:val="24"/>
        </w:rPr>
      </w:pPr>
    </w:p>
    <w:p w14:paraId="373B48E0" w14:textId="62FF2E2D" w:rsidR="00361FA7" w:rsidRPr="00D853D0" w:rsidRDefault="00361FA7" w:rsidP="00361FA7">
      <w:pPr>
        <w:pStyle w:val="Ttulo1"/>
        <w:numPr>
          <w:ilvl w:val="0"/>
          <w:numId w:val="2"/>
        </w:numPr>
        <w:rPr>
          <w:rFonts w:ascii="Arial" w:hAnsi="Arial" w:cs="Arial"/>
          <w:lang w:val="pt-BR"/>
        </w:rPr>
      </w:pPr>
      <w:r w:rsidRPr="00D853D0">
        <w:rPr>
          <w:rFonts w:ascii="Arial" w:hAnsi="Arial" w:cs="Arial"/>
          <w:lang w:val="pt-BR"/>
        </w:rPr>
        <w:t>EQUIDADE E COOPERAÇÃO SUL-SUL EM SAÚDE</w:t>
      </w:r>
    </w:p>
    <w:p w14:paraId="3711C777" w14:textId="77777777" w:rsidR="00361FA7" w:rsidRPr="00D853D0" w:rsidRDefault="00361FA7" w:rsidP="00455D7C">
      <w:pPr>
        <w:spacing w:after="0" w:line="360" w:lineRule="auto"/>
        <w:ind w:firstLine="709"/>
        <w:jc w:val="both"/>
        <w:rPr>
          <w:rFonts w:ascii="Arial" w:hAnsi="Arial" w:cs="Arial"/>
          <w:sz w:val="24"/>
          <w:szCs w:val="24"/>
        </w:rPr>
      </w:pPr>
    </w:p>
    <w:p w14:paraId="61F118B8" w14:textId="606400F6" w:rsidR="00455D7C" w:rsidRPr="00D853D0" w:rsidRDefault="00455D7C" w:rsidP="00455D7C">
      <w:pPr>
        <w:spacing w:after="0" w:line="360" w:lineRule="auto"/>
        <w:ind w:firstLine="709"/>
        <w:jc w:val="both"/>
        <w:rPr>
          <w:rFonts w:ascii="Arial" w:hAnsi="Arial" w:cs="Arial"/>
          <w:sz w:val="24"/>
          <w:szCs w:val="24"/>
        </w:rPr>
      </w:pPr>
      <w:r w:rsidRPr="00D853D0">
        <w:rPr>
          <w:rFonts w:ascii="Arial" w:hAnsi="Arial" w:cs="Arial"/>
          <w:sz w:val="24"/>
          <w:szCs w:val="24"/>
        </w:rPr>
        <w:t>A luta pela equidade, manifesta na demanda histórica do MNA por uma Nova Ordem Econômica Internacional que corrigisse as injustiças herdadas do colonialismo, é igualmente central para a saúde global. As vastas disparidades no acesso a cuidados de saúde, medicamentos essenciais e tecnologias médicas entre o Norte e o Sul, bem como dentro das próprias nações, são um reflexo de assimetrias de poder econômico e político. O MNA, em sua origem, buscou desafiar essas assimetrias</w:t>
      </w:r>
      <w:r w:rsidR="009E0C44" w:rsidRPr="00D853D0">
        <w:rPr>
          <w:rFonts w:ascii="Arial" w:hAnsi="Arial" w:cs="Arial"/>
          <w:sz w:val="24"/>
          <w:szCs w:val="24"/>
        </w:rPr>
        <w:t xml:space="preserve"> (</w:t>
      </w:r>
      <w:r w:rsidR="009E0C44" w:rsidRPr="00D853D0">
        <w:rPr>
          <w:rFonts w:ascii="Arial" w:hAnsi="Arial" w:cs="Arial"/>
          <w:sz w:val="24"/>
          <w:szCs w:val="24"/>
        </w:rPr>
        <w:t>TROŠIĆ</w:t>
      </w:r>
      <w:r w:rsidR="009E0C44" w:rsidRPr="00D853D0">
        <w:rPr>
          <w:rStyle w:val="Refdenotaderodap"/>
          <w:rFonts w:ascii="Arial" w:hAnsi="Arial" w:cs="Arial"/>
          <w:sz w:val="24"/>
          <w:szCs w:val="24"/>
          <w:vertAlign w:val="baseline"/>
        </w:rPr>
        <w:t>, 2021)</w:t>
      </w:r>
      <w:r w:rsidRPr="00D853D0">
        <w:rPr>
          <w:rFonts w:ascii="Arial" w:hAnsi="Arial" w:cs="Arial"/>
          <w:sz w:val="24"/>
          <w:szCs w:val="24"/>
        </w:rPr>
        <w:t xml:space="preserve">. Hoje, seus princípios podem fundamentar a defesa de reformas na governança global da saúde, como maior representatividade do Sul Global em órgãos decisórios da Organização Mundial da Saúde (OMS), a promoção de modelos de pesquisa e desenvolvimento (P&amp;D) que priorizem doenças negligenciadas, e a implementação de mecanismos de financiamento mais equitativos. </w:t>
      </w:r>
    </w:p>
    <w:p w14:paraId="794E2474" w14:textId="43226E94" w:rsidR="00455D7C" w:rsidRPr="00D853D0" w:rsidRDefault="00455D7C" w:rsidP="00455D7C">
      <w:pPr>
        <w:spacing w:after="0" w:line="360" w:lineRule="auto"/>
        <w:ind w:firstLine="709"/>
        <w:jc w:val="both"/>
        <w:rPr>
          <w:rFonts w:ascii="Arial" w:hAnsi="Arial" w:cs="Arial"/>
          <w:sz w:val="24"/>
          <w:szCs w:val="24"/>
        </w:rPr>
      </w:pPr>
      <w:r w:rsidRPr="00D853D0">
        <w:rPr>
          <w:rFonts w:ascii="Arial" w:hAnsi="Arial" w:cs="Arial"/>
          <w:sz w:val="24"/>
          <w:szCs w:val="24"/>
        </w:rPr>
        <w:t>A solidariedade e a cooperação Sul-Sul foram estratégias chave do MNA para aumentar o poder de barganha coletivo e promover o desenvolvimento autônomo. Na saúde, essa cooperação é imperiosa, havendo exemplos concretos</w:t>
      </w:r>
      <w:r w:rsidR="009E0C44" w:rsidRPr="00D853D0">
        <w:rPr>
          <w:rFonts w:ascii="Arial" w:hAnsi="Arial" w:cs="Arial"/>
          <w:sz w:val="24"/>
          <w:szCs w:val="24"/>
        </w:rPr>
        <w:t xml:space="preserve">, segundo análises de Bandyopadhyay &amp; Bandopadhyay (2021), acerca </w:t>
      </w:r>
      <w:r w:rsidRPr="00D853D0">
        <w:rPr>
          <w:rFonts w:ascii="Arial" w:hAnsi="Arial" w:cs="Arial"/>
          <w:sz w:val="24"/>
          <w:szCs w:val="24"/>
        </w:rPr>
        <w:t>de iniciativas de produção conjunta de medicamentos e vacinas em países do Sul (como visto em alguns esforços durante a COVID-19 envolvendo Cuba, Índia, África do Sul e Brasil antes de certas mudanças políticas), a criação de redes de pesquisa colaborativa, o intercâmbio de profissionais de saúde, e a formação de blocos de negociação para adquirir insumos médicos a preços mais justos.</w:t>
      </w:r>
    </w:p>
    <w:p w14:paraId="45D97FA2" w14:textId="77777777" w:rsidR="00455D7C" w:rsidRPr="00D853D0" w:rsidRDefault="00455D7C" w:rsidP="00455D7C">
      <w:pPr>
        <w:spacing w:after="0" w:line="360" w:lineRule="auto"/>
        <w:ind w:firstLine="709"/>
        <w:jc w:val="both"/>
        <w:rPr>
          <w:rFonts w:ascii="Arial" w:hAnsi="Arial" w:cs="Arial"/>
          <w:sz w:val="24"/>
          <w:szCs w:val="24"/>
        </w:rPr>
      </w:pPr>
      <w:r w:rsidRPr="00D853D0">
        <w:rPr>
          <w:rFonts w:ascii="Arial" w:hAnsi="Arial" w:cs="Arial"/>
          <w:sz w:val="24"/>
          <w:szCs w:val="24"/>
        </w:rPr>
        <w:t xml:space="preserve">O respeito pela não intervenção e pela diversidade cultural e política, caros ao MNA como contraponto à lógica bipolar, tem implicações para a saúde global ao defender a necessidade de abordagens contextualmente apropriadas. Isso envolve respeitar os diversos modelos de sistemas de saúde, integrar conhecimentos tradicionais e práticas locais de forma segura e eficaz, e promover um diálogo </w:t>
      </w:r>
      <w:r w:rsidRPr="00D853D0">
        <w:rPr>
          <w:rFonts w:ascii="Arial" w:hAnsi="Arial" w:cs="Arial"/>
          <w:sz w:val="24"/>
          <w:szCs w:val="24"/>
        </w:rPr>
        <w:lastRenderedPageBreak/>
        <w:t xml:space="preserve">intercultural sobre saúde que evite a imposição de modelos ocidentais como universais. </w:t>
      </w:r>
    </w:p>
    <w:p w14:paraId="44024FAE" w14:textId="6B8E09FF" w:rsidR="00455D7C" w:rsidRPr="00D853D0" w:rsidRDefault="00455D7C" w:rsidP="00455D7C">
      <w:pPr>
        <w:spacing w:after="0" w:line="360" w:lineRule="auto"/>
        <w:ind w:firstLine="709"/>
        <w:jc w:val="both"/>
        <w:rPr>
          <w:rFonts w:ascii="Arial" w:hAnsi="Arial" w:cs="Arial"/>
          <w:sz w:val="24"/>
          <w:szCs w:val="24"/>
        </w:rPr>
      </w:pPr>
      <w:r w:rsidRPr="00D853D0">
        <w:rPr>
          <w:rFonts w:ascii="Arial" w:hAnsi="Arial" w:cs="Arial"/>
          <w:sz w:val="24"/>
          <w:szCs w:val="24"/>
        </w:rPr>
        <w:t>A ênfase do MNA na coexistência pacífica e na resolução diplomática de conflitos pode ser conectada à diplomacia da saúde, com vistas à cooperação em saúde, como vigilância epidemiológica transfronteiriça, respostas conjuntas a surtos ou programas de saúde em zonas de conflito, podendo servir como medidas de construção de confiança (</w:t>
      </w:r>
      <w:r w:rsidRPr="00D853D0">
        <w:rPr>
          <w:rFonts w:ascii="Arial" w:hAnsi="Arial" w:cs="Arial"/>
          <w:i/>
          <w:iCs/>
          <w:sz w:val="24"/>
          <w:szCs w:val="24"/>
        </w:rPr>
        <w:t>confidence-building measures</w:t>
      </w:r>
      <w:r w:rsidRPr="00D853D0">
        <w:rPr>
          <w:rFonts w:ascii="Arial" w:hAnsi="Arial" w:cs="Arial"/>
          <w:sz w:val="24"/>
          <w:szCs w:val="24"/>
        </w:rPr>
        <w:t xml:space="preserve">) e abrir canais de diálogo entre nações, mesmo em contextos de tensão política, materializando o ideal </w:t>
      </w:r>
      <w:r w:rsidR="00687FBC" w:rsidRPr="00D853D0">
        <w:rPr>
          <w:rFonts w:ascii="Arial" w:hAnsi="Arial" w:cs="Arial"/>
          <w:sz w:val="24"/>
          <w:szCs w:val="24"/>
        </w:rPr>
        <w:t>Não-Alinhado</w:t>
      </w:r>
      <w:r w:rsidRPr="00D853D0">
        <w:rPr>
          <w:rFonts w:ascii="Arial" w:hAnsi="Arial" w:cs="Arial"/>
          <w:sz w:val="24"/>
          <w:szCs w:val="24"/>
        </w:rPr>
        <w:t xml:space="preserve"> de buscar a paz através da cooperação prática</w:t>
      </w:r>
      <w:r w:rsidR="009E0C44" w:rsidRPr="00D853D0">
        <w:rPr>
          <w:rFonts w:ascii="Arial" w:hAnsi="Arial" w:cs="Arial"/>
          <w:sz w:val="24"/>
          <w:szCs w:val="24"/>
        </w:rPr>
        <w:t xml:space="preserve"> (</w:t>
      </w:r>
      <w:r w:rsidR="009E0C44" w:rsidRPr="00D853D0">
        <w:rPr>
          <w:rFonts w:ascii="Arial" w:hAnsi="Arial" w:cs="Arial"/>
        </w:rPr>
        <w:t>KATZ</w:t>
      </w:r>
      <w:r w:rsidR="009E0C44" w:rsidRPr="00D853D0">
        <w:rPr>
          <w:rStyle w:val="Refdenotaderodap"/>
          <w:rFonts w:ascii="Arial" w:hAnsi="Arial" w:cs="Arial"/>
          <w:sz w:val="24"/>
          <w:szCs w:val="24"/>
        </w:rPr>
        <w:t xml:space="preserve"> </w:t>
      </w:r>
      <w:r w:rsidR="009E0C44" w:rsidRPr="00D853D0">
        <w:rPr>
          <w:rFonts w:ascii="Arial" w:hAnsi="Arial" w:cs="Arial"/>
          <w:sz w:val="24"/>
          <w:szCs w:val="24"/>
        </w:rPr>
        <w:t>, 2011)</w:t>
      </w:r>
      <w:r w:rsidRPr="00D853D0">
        <w:rPr>
          <w:rFonts w:ascii="Arial" w:hAnsi="Arial" w:cs="Arial"/>
          <w:sz w:val="24"/>
          <w:szCs w:val="24"/>
        </w:rPr>
        <w:t>.</w:t>
      </w:r>
    </w:p>
    <w:p w14:paraId="78DFC79D" w14:textId="77777777" w:rsidR="00361FA7" w:rsidRPr="00D853D0" w:rsidRDefault="00361FA7" w:rsidP="00361FA7">
      <w:pPr>
        <w:spacing w:after="0" w:line="360" w:lineRule="auto"/>
        <w:jc w:val="both"/>
        <w:rPr>
          <w:rFonts w:ascii="Arial" w:hAnsi="Arial" w:cs="Arial"/>
          <w:sz w:val="24"/>
          <w:szCs w:val="24"/>
        </w:rPr>
      </w:pPr>
    </w:p>
    <w:p w14:paraId="77E1187A" w14:textId="72E48900" w:rsidR="00361FA7" w:rsidRPr="00D853D0" w:rsidRDefault="00361FA7" w:rsidP="00361FA7">
      <w:pPr>
        <w:pStyle w:val="Ttulo1"/>
        <w:numPr>
          <w:ilvl w:val="0"/>
          <w:numId w:val="2"/>
        </w:numPr>
        <w:rPr>
          <w:rFonts w:ascii="Arial" w:hAnsi="Arial" w:cs="Arial"/>
          <w:lang w:val="pt-BR"/>
        </w:rPr>
      </w:pPr>
      <w:r w:rsidRPr="00D853D0">
        <w:rPr>
          <w:rFonts w:ascii="Arial" w:hAnsi="Arial" w:cs="Arial"/>
          <w:lang w:val="pt-BR"/>
        </w:rPr>
        <w:t>DESAFIOS À ATUAÇÃO NÃO-ALINHADA NA DIPLOMACIA DA SAÚDE CONTEMPORÂNEA</w:t>
      </w:r>
    </w:p>
    <w:p w14:paraId="3E2594A4" w14:textId="77777777" w:rsidR="00361FA7" w:rsidRPr="00D853D0" w:rsidRDefault="00361FA7" w:rsidP="00455D7C">
      <w:pPr>
        <w:spacing w:after="0" w:line="360" w:lineRule="auto"/>
        <w:ind w:firstLine="709"/>
        <w:jc w:val="both"/>
        <w:rPr>
          <w:rFonts w:ascii="Arial" w:hAnsi="Arial" w:cs="Arial"/>
          <w:sz w:val="24"/>
          <w:szCs w:val="24"/>
        </w:rPr>
      </w:pPr>
    </w:p>
    <w:p w14:paraId="27B79A48" w14:textId="7D54ED6E" w:rsidR="00455D7C" w:rsidRPr="00D853D0" w:rsidRDefault="00455D7C" w:rsidP="00455D7C">
      <w:pPr>
        <w:spacing w:after="0" w:line="360" w:lineRule="auto"/>
        <w:ind w:firstLine="709"/>
        <w:jc w:val="both"/>
        <w:rPr>
          <w:rFonts w:ascii="Arial" w:hAnsi="Arial" w:cs="Arial"/>
          <w:sz w:val="24"/>
          <w:szCs w:val="24"/>
        </w:rPr>
      </w:pPr>
      <w:r w:rsidRPr="00D853D0">
        <w:rPr>
          <w:rFonts w:ascii="Arial" w:hAnsi="Arial" w:cs="Arial"/>
          <w:sz w:val="24"/>
          <w:szCs w:val="24"/>
        </w:rPr>
        <w:t xml:space="preserve">Esses </w:t>
      </w:r>
      <w:r w:rsidRPr="00D853D0">
        <w:rPr>
          <w:rFonts w:ascii="Arial" w:hAnsi="Arial" w:cs="Arial"/>
          <w:i/>
          <w:iCs/>
          <w:sz w:val="24"/>
          <w:szCs w:val="24"/>
        </w:rPr>
        <w:t>think tanks</w:t>
      </w:r>
      <w:r w:rsidRPr="00D853D0">
        <w:rPr>
          <w:rFonts w:ascii="Arial" w:hAnsi="Arial" w:cs="Arial"/>
          <w:sz w:val="24"/>
          <w:szCs w:val="24"/>
        </w:rPr>
        <w:t xml:space="preserve"> favorecem a tomada de decisão regional baseada em evidências, incluindo não apenas analisar historicamente a relação, por vezes implícita, do MNA com temas de saúde, mas principalmente investigar as manifestações contemporâneas das dinâmicas de poder e iniquidade na saúde global através das lentes do não-alinhamento. Temas como a geopolítica das pandemias, as negociações sobre propriedade intelectual e acesso a medicamentos (TRIPS), a influência de atores privados na saúde global, os determinantes sociais e econômicos da saúde no Sul, e as potencialidades da cooperação Sul-Sul em saúde podem figurar proeminentemente em sua agenda de pesquisa.</w:t>
      </w:r>
    </w:p>
    <w:p w14:paraId="49A68E5A" w14:textId="37408A95" w:rsidR="00455D7C" w:rsidRPr="00D853D0" w:rsidRDefault="00455D7C" w:rsidP="00455D7C">
      <w:pPr>
        <w:spacing w:after="0" w:line="360" w:lineRule="auto"/>
        <w:ind w:firstLine="709"/>
        <w:jc w:val="both"/>
        <w:rPr>
          <w:rFonts w:ascii="Arial" w:hAnsi="Arial" w:cs="Arial"/>
          <w:sz w:val="24"/>
          <w:szCs w:val="24"/>
        </w:rPr>
      </w:pPr>
      <w:r w:rsidRPr="00D853D0">
        <w:rPr>
          <w:rFonts w:ascii="Arial" w:hAnsi="Arial" w:cs="Arial"/>
          <w:sz w:val="24"/>
          <w:szCs w:val="24"/>
        </w:rPr>
        <w:t xml:space="preserve">Naturalmente, a ambição de posicionar o Centro de Belgrado como um ator relevante na diplomacia da saúde não alinhada enfrenta obstáculos consideráveis, nos quais o próprio Movimento dos </w:t>
      </w:r>
      <w:r w:rsidR="00687FBC" w:rsidRPr="00D853D0">
        <w:rPr>
          <w:rFonts w:ascii="Arial" w:hAnsi="Arial" w:cs="Arial"/>
          <w:sz w:val="24"/>
          <w:szCs w:val="24"/>
        </w:rPr>
        <w:t>Não-Alinhados</w:t>
      </w:r>
      <w:r w:rsidRPr="00D853D0">
        <w:rPr>
          <w:rFonts w:ascii="Arial" w:hAnsi="Arial" w:cs="Arial"/>
          <w:sz w:val="24"/>
          <w:szCs w:val="24"/>
        </w:rPr>
        <w:t>, como entidade política, navega águas complexas. A heterogeneidade de regimes políticos, interesses nacionais e níveis de desenvolvimento entre seus 120 membros dificulta, por vezes, a construção de consensos robustos e a implementação de ações coletivas coordenadas</w:t>
      </w:r>
      <w:r w:rsidR="009E0C44" w:rsidRPr="00D853D0">
        <w:rPr>
          <w:rFonts w:ascii="Arial" w:hAnsi="Arial" w:cs="Arial"/>
          <w:sz w:val="24"/>
          <w:szCs w:val="24"/>
        </w:rPr>
        <w:t xml:space="preserve"> (</w:t>
      </w:r>
      <w:r w:rsidR="009E0C44" w:rsidRPr="00D853D0">
        <w:rPr>
          <w:rFonts w:ascii="Arial" w:hAnsi="Arial" w:cs="Arial"/>
          <w:sz w:val="24"/>
          <w:szCs w:val="24"/>
        </w:rPr>
        <w:t>Dimitrijević</w:t>
      </w:r>
      <w:r w:rsidR="009E0C44" w:rsidRPr="00D853D0">
        <w:rPr>
          <w:rFonts w:ascii="Arial" w:hAnsi="Arial" w:cs="Arial"/>
          <w:sz w:val="24"/>
          <w:szCs w:val="24"/>
        </w:rPr>
        <w:t>,</w:t>
      </w:r>
      <w:r w:rsidR="009E0C44" w:rsidRPr="00D853D0">
        <w:rPr>
          <w:rFonts w:ascii="Arial" w:hAnsi="Arial" w:cs="Arial"/>
          <w:sz w:val="24"/>
          <w:szCs w:val="24"/>
        </w:rPr>
        <w:t xml:space="preserve"> Čavoški</w:t>
      </w:r>
      <w:r w:rsidR="009E0C44" w:rsidRPr="00D853D0">
        <w:rPr>
          <w:rFonts w:ascii="Arial" w:hAnsi="Arial" w:cs="Arial"/>
          <w:sz w:val="24"/>
          <w:szCs w:val="24"/>
        </w:rPr>
        <w:t xml:space="preserve">, </w:t>
      </w:r>
      <w:r w:rsidR="009E0C44" w:rsidRPr="00D853D0">
        <w:rPr>
          <w:rFonts w:ascii="Arial" w:hAnsi="Arial" w:cs="Arial"/>
          <w:sz w:val="24"/>
          <w:szCs w:val="24"/>
        </w:rPr>
        <w:t>2011</w:t>
      </w:r>
      <w:r w:rsidR="009E0C44" w:rsidRPr="00D853D0">
        <w:rPr>
          <w:rFonts w:ascii="Arial" w:hAnsi="Arial" w:cs="Arial"/>
          <w:sz w:val="24"/>
          <w:szCs w:val="24"/>
        </w:rPr>
        <w:t>)</w:t>
      </w:r>
      <w:r w:rsidRPr="00D853D0">
        <w:rPr>
          <w:rFonts w:ascii="Arial" w:hAnsi="Arial" w:cs="Arial"/>
          <w:sz w:val="24"/>
          <w:szCs w:val="24"/>
        </w:rPr>
        <w:t>. A coesão interna do MNA é frequentemente testada por disputas regionais, alinhamentos econômicos divergentes e pressões externas de grandes potências. A crítica sobre a sua relevância no mundo pós-Guerra Fria, embora contestável</w:t>
      </w:r>
      <w:r w:rsidR="009E0C44" w:rsidRPr="00D853D0">
        <w:rPr>
          <w:rFonts w:ascii="Arial" w:hAnsi="Arial" w:cs="Arial"/>
          <w:sz w:val="24"/>
          <w:szCs w:val="24"/>
        </w:rPr>
        <w:t xml:space="preserve"> e apontada por Keethaponcalan (2016) </w:t>
      </w:r>
      <w:r w:rsidR="009E0C44" w:rsidRPr="00D853D0">
        <w:rPr>
          <w:rFonts w:ascii="Arial" w:hAnsi="Arial" w:cs="Arial"/>
          <w:sz w:val="24"/>
          <w:szCs w:val="24"/>
        </w:rPr>
        <w:t>como tal</w:t>
      </w:r>
      <w:r w:rsidRPr="00D853D0">
        <w:rPr>
          <w:rFonts w:ascii="Arial" w:hAnsi="Arial" w:cs="Arial"/>
          <w:sz w:val="24"/>
          <w:szCs w:val="24"/>
        </w:rPr>
        <w:t xml:space="preserve">, persiste e pode minar sua capacidade de mobilização. </w:t>
      </w:r>
    </w:p>
    <w:p w14:paraId="15AFF681" w14:textId="0A5A5961" w:rsidR="00455D7C" w:rsidRPr="00D853D0" w:rsidRDefault="00455D7C" w:rsidP="00455D7C">
      <w:pPr>
        <w:spacing w:after="0" w:line="360" w:lineRule="auto"/>
        <w:ind w:firstLine="709"/>
        <w:jc w:val="both"/>
        <w:rPr>
          <w:rFonts w:ascii="Arial" w:hAnsi="Arial" w:cs="Arial"/>
          <w:sz w:val="24"/>
          <w:szCs w:val="24"/>
        </w:rPr>
      </w:pPr>
      <w:r w:rsidRPr="00D853D0">
        <w:rPr>
          <w:rFonts w:ascii="Arial" w:hAnsi="Arial" w:cs="Arial"/>
          <w:sz w:val="24"/>
          <w:szCs w:val="24"/>
        </w:rPr>
        <w:lastRenderedPageBreak/>
        <w:t xml:space="preserve">Contudo, a atual conjuntura internacional oferece também oportunidades singulares que favorecem este projeto. </w:t>
      </w:r>
      <w:r w:rsidR="009E0C44" w:rsidRPr="00D853D0">
        <w:rPr>
          <w:rFonts w:ascii="Arial" w:hAnsi="Arial" w:cs="Arial"/>
          <w:sz w:val="24"/>
          <w:szCs w:val="24"/>
        </w:rPr>
        <w:t>Na perspectiva de Acharya (2022), a</w:t>
      </w:r>
      <w:r w:rsidRPr="00D853D0">
        <w:rPr>
          <w:rFonts w:ascii="Arial" w:hAnsi="Arial" w:cs="Arial"/>
          <w:sz w:val="24"/>
          <w:szCs w:val="24"/>
        </w:rPr>
        <w:t xml:space="preserve"> intensificação da rivalidade entre Estados Unidos e China, reminiscentes de uma nova Guerra Fria para alguns analistas, paradoxalmente reabre espaço para uma política de não alinhamento estratégico, onde países do Sul Global buscam maximizar sua autonomia evitando o alinhamento automático com qualquer um dos polos. A saúde global tornou-se uma arena central desta rivalidade, mas também de potencial cooperação, como na resposta a pandemias. </w:t>
      </w:r>
    </w:p>
    <w:p w14:paraId="1A90643E" w14:textId="5C373C37" w:rsidR="00455D7C" w:rsidRPr="00D853D0" w:rsidRDefault="00455D7C" w:rsidP="00455D7C">
      <w:pPr>
        <w:spacing w:after="0" w:line="360" w:lineRule="auto"/>
        <w:ind w:firstLine="709"/>
        <w:jc w:val="both"/>
        <w:rPr>
          <w:rFonts w:ascii="Arial" w:hAnsi="Arial" w:cs="Arial"/>
          <w:sz w:val="24"/>
          <w:szCs w:val="24"/>
        </w:rPr>
      </w:pPr>
      <w:r w:rsidRPr="00D853D0">
        <w:rPr>
          <w:rFonts w:ascii="Arial" w:hAnsi="Arial" w:cs="Arial"/>
          <w:sz w:val="24"/>
          <w:szCs w:val="24"/>
        </w:rPr>
        <w:t xml:space="preserve">Neste contexto, a voz e a mediação de um MNA revitalizado, e de instituições como o Centro de Belgrado, podem ser cruciais. Adicionalmente, a crescente assertividade do Sul Global, manifesta em plataformas como o BRICS e em debates na ONU e OMS sobre temas como a reforma do sistema internacional e a justiça climática e sanitária, cria uma demanda por espaços intelectuais autônomos, como o Centro, que possam articular e fundamentar as posições do Sul. A própria pandemia de COVID-19, ao expor brutalmente as falhas do sistema multilateral e as iniquidades globais no acesso à saúde, gerou um impulso político para reformas e para o fortalecimento da solidariedade internacional, terreno fértil para a aplicação dos princípios </w:t>
      </w:r>
      <w:r w:rsidR="00687FBC" w:rsidRPr="00D853D0">
        <w:rPr>
          <w:rFonts w:ascii="Arial" w:hAnsi="Arial" w:cs="Arial"/>
          <w:sz w:val="24"/>
          <w:szCs w:val="24"/>
        </w:rPr>
        <w:t>Não-Alinhados</w:t>
      </w:r>
      <w:r w:rsidRPr="00D853D0">
        <w:rPr>
          <w:rFonts w:ascii="Arial" w:hAnsi="Arial" w:cs="Arial"/>
          <w:sz w:val="24"/>
          <w:szCs w:val="24"/>
        </w:rPr>
        <w:t>.</w:t>
      </w:r>
    </w:p>
    <w:p w14:paraId="30626CE6" w14:textId="0898C20E" w:rsidR="00455D7C" w:rsidRPr="00D853D0" w:rsidRDefault="00455D7C" w:rsidP="00455D7C">
      <w:pPr>
        <w:spacing w:after="0" w:line="360" w:lineRule="auto"/>
        <w:ind w:firstLine="709"/>
        <w:jc w:val="both"/>
        <w:rPr>
          <w:rFonts w:ascii="Arial" w:hAnsi="Arial" w:cs="Arial"/>
          <w:sz w:val="24"/>
          <w:szCs w:val="24"/>
        </w:rPr>
      </w:pPr>
      <w:r w:rsidRPr="00D853D0">
        <w:rPr>
          <w:rFonts w:ascii="Arial" w:hAnsi="Arial" w:cs="Arial"/>
          <w:sz w:val="24"/>
          <w:szCs w:val="24"/>
        </w:rPr>
        <w:t xml:space="preserve">O Centro de Estudos do Movimento dos </w:t>
      </w:r>
      <w:r w:rsidR="00687FBC" w:rsidRPr="00D853D0">
        <w:rPr>
          <w:rFonts w:ascii="Arial" w:hAnsi="Arial" w:cs="Arial"/>
          <w:sz w:val="24"/>
          <w:szCs w:val="24"/>
        </w:rPr>
        <w:t>Não-Alinhados</w:t>
      </w:r>
      <w:r w:rsidRPr="00D853D0">
        <w:rPr>
          <w:rFonts w:ascii="Arial" w:hAnsi="Arial" w:cs="Arial"/>
          <w:sz w:val="24"/>
          <w:szCs w:val="24"/>
        </w:rPr>
        <w:t xml:space="preserve"> em Belgrado, fiel à sua missão primordial de pesquisa e educação sobre a história e os princípios do MNA, transcende inequivocamente a função de um mero repositório de memória diplomática ou um relicário de uma era geopolítica passada. Ele encarna, na realidade, a custódia ativa e a potencial revitalização de um legado normativo e político, articulado em torno da soberania, equidade, solidariedade, diversidade e coexistência pacífica, cuja pertinência intrínseca face aos desafios sistêmicos e às crises agudas do século XXI se revela não apenas inegável, mas crescentemente urgente, particularmente na arena decisiva e muitas vezes contenciosa da saúde global. </w:t>
      </w:r>
    </w:p>
    <w:p w14:paraId="02F1E72D" w14:textId="77777777" w:rsidR="00361FA7" w:rsidRPr="00D853D0" w:rsidRDefault="00361FA7" w:rsidP="00361FA7">
      <w:pPr>
        <w:spacing w:after="0" w:line="360" w:lineRule="auto"/>
        <w:jc w:val="both"/>
        <w:rPr>
          <w:rFonts w:ascii="Arial" w:hAnsi="Arial" w:cs="Arial"/>
          <w:sz w:val="24"/>
          <w:szCs w:val="24"/>
        </w:rPr>
      </w:pPr>
    </w:p>
    <w:p w14:paraId="0E911723" w14:textId="6E9156C6" w:rsidR="00361FA7" w:rsidRPr="00D853D0" w:rsidRDefault="00361FA7" w:rsidP="00361FA7">
      <w:pPr>
        <w:pStyle w:val="Ttulo1"/>
        <w:numPr>
          <w:ilvl w:val="0"/>
          <w:numId w:val="2"/>
        </w:numPr>
        <w:rPr>
          <w:rFonts w:ascii="Arial" w:hAnsi="Arial" w:cs="Arial"/>
          <w:lang w:val="pt-BR"/>
        </w:rPr>
      </w:pPr>
      <w:r w:rsidRPr="00D853D0">
        <w:rPr>
          <w:rFonts w:ascii="Arial" w:hAnsi="Arial" w:cs="Arial"/>
          <w:lang w:val="pt-BR"/>
        </w:rPr>
        <w:t>DA JUSTIÇA EPISTÊMICA À SOBERANIA SANITÁRIA</w:t>
      </w:r>
    </w:p>
    <w:p w14:paraId="1353C9A6" w14:textId="77777777" w:rsidR="00361FA7" w:rsidRPr="00D853D0" w:rsidRDefault="00361FA7" w:rsidP="00455D7C">
      <w:pPr>
        <w:spacing w:after="0" w:line="360" w:lineRule="auto"/>
        <w:ind w:firstLine="709"/>
        <w:jc w:val="both"/>
        <w:rPr>
          <w:rFonts w:ascii="Arial" w:hAnsi="Arial" w:cs="Arial"/>
          <w:sz w:val="24"/>
          <w:szCs w:val="24"/>
        </w:rPr>
      </w:pPr>
    </w:p>
    <w:p w14:paraId="4AF88D3E" w14:textId="153E551C" w:rsidR="00455D7C" w:rsidRPr="00D853D0" w:rsidRDefault="00455D7C" w:rsidP="00455D7C">
      <w:pPr>
        <w:spacing w:after="0" w:line="360" w:lineRule="auto"/>
        <w:ind w:firstLine="709"/>
        <w:jc w:val="both"/>
        <w:rPr>
          <w:rFonts w:ascii="Arial" w:hAnsi="Arial" w:cs="Arial"/>
          <w:sz w:val="24"/>
          <w:szCs w:val="24"/>
        </w:rPr>
      </w:pPr>
      <w:r w:rsidRPr="00D853D0">
        <w:rPr>
          <w:rFonts w:ascii="Arial" w:hAnsi="Arial" w:cs="Arial"/>
          <w:sz w:val="24"/>
          <w:szCs w:val="24"/>
        </w:rPr>
        <w:t xml:space="preserve">As lutas contemporâneas por justiça epistêmica na saúde, por acesso universal e equitativo a vacinas, diagnósticos e terapêuticas essenciais, por sistemas de saúde resilientes, descolonizados e centrados nas comunidades, pela reforma da arquitetura de governança global em saúde para refletir um mundo multipolar, e pelo </w:t>
      </w:r>
      <w:r w:rsidRPr="00D853D0">
        <w:rPr>
          <w:rFonts w:ascii="Arial" w:hAnsi="Arial" w:cs="Arial"/>
          <w:sz w:val="24"/>
          <w:szCs w:val="24"/>
        </w:rPr>
        <w:lastRenderedPageBreak/>
        <w:t>fortalecimento de mecanismos robustos de cooperação Sul-Sul, são, em essência, manifestações atuais e recontextualizadas das mesmas aspirações fundamentais que galvanizaram a fundação do MNA há mais de seis décadas. Neste sentido, a saúde, compreendida não apenas como ausência de doença, mas como um direito humano fundamental, um pré-requisito para o desenvolvimento e um bem público global intrinsecamente político, emerge como um terreno fértil e estratégico onde os princípios e a práxis do não-alinhamento podem e devem ser reafirmados e reinventados.</w:t>
      </w:r>
    </w:p>
    <w:p w14:paraId="3C4F6D9F" w14:textId="68C39F29" w:rsidR="00455D7C" w:rsidRPr="00D853D0" w:rsidRDefault="00455D7C" w:rsidP="00455D7C">
      <w:pPr>
        <w:spacing w:after="0" w:line="360" w:lineRule="auto"/>
        <w:ind w:firstLine="709"/>
        <w:jc w:val="both"/>
        <w:rPr>
          <w:rFonts w:ascii="Arial" w:hAnsi="Arial" w:cs="Arial"/>
          <w:sz w:val="24"/>
          <w:szCs w:val="24"/>
        </w:rPr>
      </w:pPr>
      <w:r w:rsidRPr="00D853D0">
        <w:rPr>
          <w:rFonts w:ascii="Arial" w:hAnsi="Arial" w:cs="Arial"/>
          <w:sz w:val="24"/>
          <w:szCs w:val="24"/>
        </w:rPr>
        <w:t xml:space="preserve">A influência do Centro não se esgota na arena internacional. Seu trabalho possui um potencial transformador igualmente significativo na esfera intranacional, ao servir como um canal crucial para a tradução e internalização dos princípios </w:t>
      </w:r>
      <w:r w:rsidR="00687FBC" w:rsidRPr="00D853D0">
        <w:rPr>
          <w:rFonts w:ascii="Arial" w:hAnsi="Arial" w:cs="Arial"/>
          <w:sz w:val="24"/>
          <w:szCs w:val="24"/>
        </w:rPr>
        <w:t>Não-Alinhados</w:t>
      </w:r>
      <w:r w:rsidRPr="00D853D0">
        <w:rPr>
          <w:rFonts w:ascii="Arial" w:hAnsi="Arial" w:cs="Arial"/>
          <w:sz w:val="24"/>
          <w:szCs w:val="24"/>
        </w:rPr>
        <w:t xml:space="preserve"> e das lições da cooperação Sul-Sul em políticas públicas concretas dentro dos países membros. Longe de ser um processo automático, a implementação de conceitos como soberania sanitária, equidade no acesso ou integração de saberes tradicionais requer um esforço deliberado de </w:t>
      </w:r>
      <w:r w:rsidRPr="00D853D0">
        <w:rPr>
          <w:rFonts w:ascii="Arial" w:hAnsi="Arial" w:cs="Arial"/>
          <w:i/>
          <w:iCs/>
          <w:sz w:val="24"/>
          <w:szCs w:val="24"/>
        </w:rPr>
        <w:t>policy learning</w:t>
      </w:r>
      <w:r w:rsidRPr="00D853D0">
        <w:rPr>
          <w:rFonts w:ascii="Arial" w:hAnsi="Arial" w:cs="Arial"/>
          <w:sz w:val="24"/>
          <w:szCs w:val="24"/>
        </w:rPr>
        <w:t xml:space="preserve"> e adaptação contextual. </w:t>
      </w:r>
    </w:p>
    <w:p w14:paraId="4E2D4E65" w14:textId="15BA8D10" w:rsidR="00455D7C" w:rsidRPr="00D853D0" w:rsidRDefault="00455D7C" w:rsidP="00455D7C">
      <w:pPr>
        <w:spacing w:after="0" w:line="360" w:lineRule="auto"/>
        <w:ind w:firstLine="709"/>
        <w:jc w:val="both"/>
        <w:rPr>
          <w:rFonts w:ascii="Arial" w:hAnsi="Arial" w:cs="Arial"/>
          <w:sz w:val="24"/>
          <w:szCs w:val="24"/>
        </w:rPr>
      </w:pPr>
      <w:r w:rsidRPr="00D853D0">
        <w:rPr>
          <w:rFonts w:ascii="Arial" w:hAnsi="Arial" w:cs="Arial"/>
          <w:sz w:val="24"/>
          <w:szCs w:val="24"/>
        </w:rPr>
        <w:t xml:space="preserve">O Centro pode facilitar este processo promovendo o intercâmbio de melhores práticas entre os países do Sul, oferecendo capacitação técnica para gestores e formuladores de políticas sobre como integrar considerações de equidade e autonomia em estratégias nacionais de saúde, planos de desenvolvimento setorial e marcos regulatórios internos. Pode atuar no suporte com países para desenvolvimento de capacidades locais de produção de insumos de saúde, a fortalecerem sistemas de atenção primária baseados na comunidade, ou a negociarem contratos mais justos com empresas farmacêuticas multinacionais, sempre à luz dos princípios de solidariedade e autonomia mútua. Funciona, assim, como uma ponte essencial entre o debate normativo global e a práxis política nacional, garantindo que os ideais </w:t>
      </w:r>
      <w:r w:rsidR="00687FBC" w:rsidRPr="00D853D0">
        <w:rPr>
          <w:rFonts w:ascii="Arial" w:hAnsi="Arial" w:cs="Arial"/>
          <w:sz w:val="24"/>
          <w:szCs w:val="24"/>
        </w:rPr>
        <w:t>Não-Alinhados</w:t>
      </w:r>
      <w:r w:rsidRPr="00D853D0">
        <w:rPr>
          <w:rFonts w:ascii="Arial" w:hAnsi="Arial" w:cs="Arial"/>
          <w:sz w:val="24"/>
          <w:szCs w:val="24"/>
        </w:rPr>
        <w:t xml:space="preserve"> informem ações concretas que melhorem a saúde e o bem-estar das populações.</w:t>
      </w:r>
    </w:p>
    <w:p w14:paraId="5F294AC9" w14:textId="77777777" w:rsidR="004176C9" w:rsidRPr="00D853D0" w:rsidRDefault="004176C9" w:rsidP="004176C9">
      <w:pPr>
        <w:spacing w:after="0" w:line="360" w:lineRule="auto"/>
        <w:jc w:val="both"/>
        <w:rPr>
          <w:rFonts w:ascii="Arial" w:hAnsi="Arial" w:cs="Arial"/>
          <w:sz w:val="24"/>
          <w:szCs w:val="24"/>
        </w:rPr>
      </w:pPr>
    </w:p>
    <w:p w14:paraId="19E0C3FC" w14:textId="2D22F994" w:rsidR="004176C9" w:rsidRPr="00D853D0" w:rsidRDefault="004176C9" w:rsidP="004176C9">
      <w:pPr>
        <w:pStyle w:val="Ttulo1"/>
        <w:numPr>
          <w:ilvl w:val="0"/>
          <w:numId w:val="2"/>
        </w:numPr>
        <w:rPr>
          <w:rFonts w:ascii="Arial" w:hAnsi="Arial" w:cs="Arial"/>
        </w:rPr>
      </w:pPr>
      <w:r w:rsidRPr="00D853D0">
        <w:rPr>
          <w:rFonts w:ascii="Arial" w:hAnsi="Arial" w:cs="Arial"/>
        </w:rPr>
        <w:t>CONCLUSÃO</w:t>
      </w:r>
    </w:p>
    <w:p w14:paraId="466CFBA6" w14:textId="77777777" w:rsidR="004176C9" w:rsidRPr="00D853D0" w:rsidRDefault="004176C9" w:rsidP="00455D7C">
      <w:pPr>
        <w:spacing w:after="0" w:line="360" w:lineRule="auto"/>
        <w:ind w:firstLine="709"/>
        <w:jc w:val="both"/>
        <w:rPr>
          <w:rFonts w:ascii="Arial" w:hAnsi="Arial" w:cs="Arial"/>
          <w:sz w:val="24"/>
          <w:szCs w:val="24"/>
        </w:rPr>
      </w:pPr>
    </w:p>
    <w:p w14:paraId="3B25462B" w14:textId="4E26ED5E" w:rsidR="00455D7C" w:rsidRPr="00D853D0" w:rsidRDefault="00455D7C" w:rsidP="00455D7C">
      <w:pPr>
        <w:spacing w:after="0" w:line="360" w:lineRule="auto"/>
        <w:ind w:firstLine="709"/>
        <w:jc w:val="both"/>
        <w:rPr>
          <w:rFonts w:ascii="Arial" w:hAnsi="Arial" w:cs="Arial"/>
          <w:sz w:val="24"/>
          <w:szCs w:val="24"/>
        </w:rPr>
      </w:pPr>
      <w:r w:rsidRPr="00D853D0">
        <w:rPr>
          <w:rFonts w:ascii="Arial" w:hAnsi="Arial" w:cs="Arial"/>
          <w:sz w:val="24"/>
          <w:szCs w:val="24"/>
        </w:rPr>
        <w:t xml:space="preserve">Desta forma, a dedicação do Centro de Estudos de Belgrado à pesquisa e educação sobre a história e os princípios do MNA configura-se não como um fim em si mesmo, mas como a fundação indispensável sobre a qual se pode edificar sua missão contemporânea e estratégica no campo da saúde global. Ao investigar </w:t>
      </w:r>
      <w:r w:rsidRPr="00D853D0">
        <w:rPr>
          <w:rFonts w:ascii="Arial" w:hAnsi="Arial" w:cs="Arial"/>
          <w:sz w:val="24"/>
          <w:szCs w:val="24"/>
        </w:rPr>
        <w:lastRenderedPageBreak/>
        <w:t xml:space="preserve">criticamente as dinâmicas de poder, ao amplificar as vozes e perspectivas do Sul Global, ao nutrir a cooperação Sul-Sul com análise robusta e ao oferecer um quadro normativo coerente para a ação, o Centro posiciona-se para ir além da preservação da memória, tornando-se um agente ativo na construção de um futuro diferente. </w:t>
      </w:r>
    </w:p>
    <w:p w14:paraId="0B287D89" w14:textId="77777777" w:rsidR="00D853D0" w:rsidRPr="00D853D0" w:rsidRDefault="00455D7C" w:rsidP="00455D7C">
      <w:pPr>
        <w:spacing w:after="0" w:line="360" w:lineRule="auto"/>
        <w:ind w:firstLine="709"/>
        <w:jc w:val="both"/>
        <w:rPr>
          <w:rFonts w:ascii="Arial" w:hAnsi="Arial" w:cs="Arial"/>
          <w:sz w:val="24"/>
          <w:szCs w:val="24"/>
        </w:rPr>
      </w:pPr>
      <w:r w:rsidRPr="00D853D0">
        <w:rPr>
          <w:rFonts w:ascii="Arial" w:hAnsi="Arial" w:cs="Arial"/>
          <w:sz w:val="24"/>
          <w:szCs w:val="24"/>
        </w:rPr>
        <w:t xml:space="preserve">Os desafios inerentes à complexidade da conjuntura internacional e à própria diversidade interna do MNA são reais e não devem ser subestimados. Exigem do Centro uma navegação estratégica, recursos adequados e a contínua construção de legitimidade junto aos seus stakeholders. </w:t>
      </w:r>
    </w:p>
    <w:p w14:paraId="2001B26B" w14:textId="63E60A5D" w:rsidR="00455D7C" w:rsidRPr="00D853D0" w:rsidRDefault="00455D7C" w:rsidP="00455D7C">
      <w:pPr>
        <w:spacing w:after="0" w:line="360" w:lineRule="auto"/>
        <w:ind w:firstLine="709"/>
        <w:jc w:val="both"/>
        <w:rPr>
          <w:rFonts w:ascii="Arial" w:hAnsi="Arial" w:cs="Arial"/>
          <w:sz w:val="24"/>
          <w:szCs w:val="24"/>
        </w:rPr>
      </w:pPr>
      <w:r w:rsidRPr="00D853D0">
        <w:rPr>
          <w:rFonts w:ascii="Arial" w:hAnsi="Arial" w:cs="Arial"/>
          <w:sz w:val="24"/>
          <w:szCs w:val="24"/>
        </w:rPr>
        <w:t xml:space="preserve">No entanto, o potencial transformador de sua atuação na vital arena da saúde global, um campo onde as questões de justiça, equidade e poder se manifestam de forma tão premente, justifica plenamente o investimento em sua revitalização e fortalecimento. Honrar o legado histórico do Movimento dos </w:t>
      </w:r>
      <w:r w:rsidR="00687FBC" w:rsidRPr="00D853D0">
        <w:rPr>
          <w:rFonts w:ascii="Arial" w:hAnsi="Arial" w:cs="Arial"/>
          <w:sz w:val="24"/>
          <w:szCs w:val="24"/>
        </w:rPr>
        <w:t>Não-Alinhados</w:t>
      </w:r>
      <w:r w:rsidRPr="00D853D0">
        <w:rPr>
          <w:rFonts w:ascii="Arial" w:hAnsi="Arial" w:cs="Arial"/>
          <w:sz w:val="24"/>
          <w:szCs w:val="24"/>
        </w:rPr>
        <w:t>, neste contexto, significa afirmar sua relevância indispensável não apenas como objeto de estudo, mas como bússola ética e política para a ação coletiva em prol de um futuro global mais saudável, justo e verdadeiramente multilateral.</w:t>
      </w:r>
    </w:p>
    <w:p w14:paraId="34A7D131" w14:textId="77777777" w:rsidR="004176C9" w:rsidRPr="00D853D0" w:rsidRDefault="004176C9" w:rsidP="004176C9">
      <w:pPr>
        <w:spacing w:after="0" w:line="360" w:lineRule="auto"/>
        <w:jc w:val="both"/>
        <w:rPr>
          <w:rFonts w:ascii="Arial" w:hAnsi="Arial" w:cs="Arial"/>
          <w:sz w:val="24"/>
          <w:szCs w:val="24"/>
        </w:rPr>
      </w:pPr>
    </w:p>
    <w:p w14:paraId="1A19AA8D" w14:textId="19E3075B" w:rsidR="004176C9" w:rsidRPr="00D853D0" w:rsidRDefault="004176C9" w:rsidP="004176C9">
      <w:pPr>
        <w:pStyle w:val="Ttulo1"/>
        <w:rPr>
          <w:rFonts w:ascii="Arial" w:hAnsi="Arial" w:cs="Arial"/>
        </w:rPr>
      </w:pPr>
      <w:r w:rsidRPr="00D853D0">
        <w:rPr>
          <w:rFonts w:ascii="Arial" w:hAnsi="Arial" w:cs="Arial"/>
        </w:rPr>
        <w:t>REFERÊNCIAS</w:t>
      </w:r>
    </w:p>
    <w:p w14:paraId="0E682E8A" w14:textId="77777777" w:rsidR="00D853D0" w:rsidRPr="00D853D0" w:rsidRDefault="00D853D0" w:rsidP="00D853D0">
      <w:pPr>
        <w:rPr>
          <w:rFonts w:ascii="Arial" w:hAnsi="Arial" w:cs="Arial"/>
          <w:lang w:val="it-IT" w:eastAsia="en-US"/>
        </w:rPr>
      </w:pPr>
    </w:p>
    <w:p w14:paraId="7F3955CF" w14:textId="77777777" w:rsidR="00D853D0" w:rsidRPr="00D853D0" w:rsidRDefault="00D853D0" w:rsidP="00D853D0">
      <w:pPr>
        <w:spacing w:after="240" w:line="240" w:lineRule="auto"/>
        <w:rPr>
          <w:rFonts w:ascii="Arial" w:hAnsi="Arial" w:cs="Arial"/>
          <w:sz w:val="24"/>
          <w:szCs w:val="24"/>
          <w:lang w:val="en-US"/>
        </w:rPr>
      </w:pPr>
      <w:r w:rsidRPr="00D853D0">
        <w:rPr>
          <w:rFonts w:ascii="Arial" w:hAnsi="Arial" w:cs="Arial"/>
          <w:sz w:val="24"/>
          <w:szCs w:val="24"/>
          <w:lang w:val="en-US"/>
        </w:rPr>
        <w:t>ACHARYA, A. </w:t>
      </w:r>
      <w:r w:rsidRPr="00D853D0">
        <w:rPr>
          <w:rFonts w:ascii="Arial" w:hAnsi="Arial" w:cs="Arial"/>
          <w:b/>
          <w:bCs/>
          <w:sz w:val="24"/>
          <w:szCs w:val="24"/>
          <w:lang w:val="en-US"/>
        </w:rPr>
        <w:t>The end of American world order</w:t>
      </w:r>
      <w:r w:rsidRPr="00D853D0">
        <w:rPr>
          <w:rFonts w:ascii="Arial" w:hAnsi="Arial" w:cs="Arial"/>
          <w:sz w:val="24"/>
          <w:szCs w:val="24"/>
          <w:lang w:val="en-US"/>
        </w:rPr>
        <w:t>. Cambridge: Polity Press, 2022.</w:t>
      </w:r>
    </w:p>
    <w:p w14:paraId="559DF0BE" w14:textId="77777777" w:rsidR="00D853D0" w:rsidRPr="00D853D0" w:rsidRDefault="00D853D0" w:rsidP="00D853D0">
      <w:pPr>
        <w:spacing w:after="240" w:line="240" w:lineRule="auto"/>
        <w:rPr>
          <w:rFonts w:ascii="Arial" w:hAnsi="Arial" w:cs="Arial"/>
          <w:sz w:val="24"/>
          <w:szCs w:val="24"/>
          <w:lang w:val="en-US"/>
        </w:rPr>
      </w:pPr>
      <w:r w:rsidRPr="00D853D0">
        <w:rPr>
          <w:rFonts w:ascii="Arial" w:hAnsi="Arial" w:cs="Arial"/>
          <w:sz w:val="24"/>
          <w:szCs w:val="24"/>
          <w:lang w:val="en-US"/>
        </w:rPr>
        <w:t>BANDYOPADHYAY, M.; BANDOPADHYAY, A. The NAM S&amp;T Centre – a successful mechanism for capacity building in science, technology and innovation and achieving sustainable development goals in the Global South. </w:t>
      </w:r>
      <w:r w:rsidRPr="00D853D0">
        <w:rPr>
          <w:rFonts w:ascii="Arial" w:hAnsi="Arial" w:cs="Arial"/>
          <w:i/>
          <w:iCs/>
          <w:sz w:val="24"/>
          <w:szCs w:val="24"/>
          <w:lang w:val="en-US"/>
        </w:rPr>
        <w:t>In</w:t>
      </w:r>
      <w:r w:rsidRPr="00D853D0">
        <w:rPr>
          <w:rFonts w:ascii="Arial" w:hAnsi="Arial" w:cs="Arial"/>
          <w:sz w:val="24"/>
          <w:szCs w:val="24"/>
          <w:lang w:val="en-US"/>
        </w:rPr>
        <w:t>: DIMITRIJEVIĆ, D.; ČAVOŠKI, J. (ed.). </w:t>
      </w:r>
      <w:r w:rsidRPr="00D853D0">
        <w:rPr>
          <w:rFonts w:ascii="Arial" w:hAnsi="Arial" w:cs="Arial"/>
          <w:b/>
          <w:bCs/>
          <w:sz w:val="24"/>
          <w:szCs w:val="24"/>
          <w:lang w:val="en-US"/>
        </w:rPr>
        <w:t>The 60th anniversary of the Non-Aligned Movement</w:t>
      </w:r>
      <w:r w:rsidRPr="00D853D0">
        <w:rPr>
          <w:rFonts w:ascii="Arial" w:hAnsi="Arial" w:cs="Arial"/>
          <w:sz w:val="24"/>
          <w:szCs w:val="24"/>
          <w:lang w:val="en-US"/>
        </w:rPr>
        <w:t>. Belgrade: Institute of International Politics and Economics, 2021. p. 483-510.</w:t>
      </w:r>
    </w:p>
    <w:p w14:paraId="27297D52" w14:textId="77777777" w:rsidR="00D853D0" w:rsidRPr="00D853D0" w:rsidRDefault="00D853D0" w:rsidP="00D853D0">
      <w:pPr>
        <w:spacing w:after="240" w:line="240" w:lineRule="auto"/>
        <w:rPr>
          <w:rFonts w:ascii="Arial" w:hAnsi="Arial" w:cs="Arial"/>
          <w:sz w:val="24"/>
          <w:szCs w:val="24"/>
          <w:lang w:val="en-US"/>
        </w:rPr>
      </w:pPr>
      <w:r w:rsidRPr="00D853D0">
        <w:rPr>
          <w:rFonts w:ascii="Arial" w:hAnsi="Arial" w:cs="Arial"/>
          <w:sz w:val="24"/>
          <w:szCs w:val="24"/>
          <w:lang w:val="en-US"/>
        </w:rPr>
        <w:t>DIMITRIJEVIĆ, D.; ČAVOŠKI, J. (ed.). </w:t>
      </w:r>
      <w:r w:rsidRPr="00D853D0">
        <w:rPr>
          <w:rFonts w:ascii="Arial" w:hAnsi="Arial" w:cs="Arial"/>
          <w:b/>
          <w:bCs/>
          <w:sz w:val="24"/>
          <w:szCs w:val="24"/>
          <w:lang w:val="en-US"/>
        </w:rPr>
        <w:t>The 60th anniversary of the Non-Aligned Movement</w:t>
      </w:r>
      <w:r w:rsidRPr="00D853D0">
        <w:rPr>
          <w:rFonts w:ascii="Arial" w:hAnsi="Arial" w:cs="Arial"/>
          <w:sz w:val="24"/>
          <w:szCs w:val="24"/>
          <w:lang w:val="en-US"/>
        </w:rPr>
        <w:t>. Belgrade: Institute of International Politics and Economics, 2021.</w:t>
      </w:r>
    </w:p>
    <w:p w14:paraId="7DB97386" w14:textId="3F04DDF1" w:rsidR="00D853D0" w:rsidRPr="00D853D0" w:rsidRDefault="00D853D0" w:rsidP="00D853D0">
      <w:pPr>
        <w:spacing w:after="240" w:line="240" w:lineRule="auto"/>
        <w:rPr>
          <w:rFonts w:ascii="Arial" w:hAnsi="Arial" w:cs="Arial"/>
          <w:sz w:val="24"/>
          <w:szCs w:val="24"/>
          <w:lang w:val="en-US"/>
        </w:rPr>
      </w:pPr>
      <w:r w:rsidRPr="00D853D0">
        <w:rPr>
          <w:rFonts w:ascii="Arial" w:hAnsi="Arial" w:cs="Arial"/>
          <w:sz w:val="24"/>
          <w:szCs w:val="24"/>
          <w:lang w:val="en-US"/>
        </w:rPr>
        <w:t>GOVERNMENT OF SERBIA. </w:t>
      </w:r>
      <w:r w:rsidRPr="00D853D0">
        <w:rPr>
          <w:rFonts w:ascii="Arial" w:hAnsi="Arial" w:cs="Arial"/>
          <w:b/>
          <w:bCs/>
          <w:sz w:val="24"/>
          <w:szCs w:val="24"/>
          <w:lang w:val="en-US"/>
        </w:rPr>
        <w:t>Foreign policy</w:t>
      </w:r>
      <w:r w:rsidRPr="00D853D0">
        <w:rPr>
          <w:rFonts w:ascii="Arial" w:hAnsi="Arial" w:cs="Arial"/>
          <w:sz w:val="24"/>
          <w:szCs w:val="24"/>
          <w:lang w:val="en-US"/>
        </w:rPr>
        <w:t xml:space="preserve">. [Belgrade]: Government of Serbia. </w:t>
      </w:r>
      <w:r w:rsidRPr="00D853D0">
        <w:rPr>
          <w:rFonts w:ascii="Arial" w:hAnsi="Arial" w:cs="Arial"/>
          <w:sz w:val="24"/>
          <w:szCs w:val="24"/>
        </w:rPr>
        <w:t>Disponível em: </w:t>
      </w:r>
      <w:hyperlink r:id="rId8" w:tgtFrame="_blank" w:history="1">
        <w:r w:rsidRPr="00D853D0">
          <w:rPr>
            <w:rStyle w:val="Hyperlink"/>
            <w:rFonts w:ascii="Arial" w:hAnsi="Arial" w:cs="Arial"/>
            <w:color w:val="auto"/>
            <w:sz w:val="24"/>
            <w:szCs w:val="24"/>
            <w:u w:val="none"/>
          </w:rPr>
          <w:t>https://www.srbija.gov.rs/sekcija/en/foreign-policy</w:t>
        </w:r>
      </w:hyperlink>
      <w:r w:rsidRPr="00D853D0">
        <w:rPr>
          <w:rFonts w:ascii="Arial" w:hAnsi="Arial" w:cs="Arial"/>
          <w:sz w:val="24"/>
          <w:szCs w:val="24"/>
        </w:rPr>
        <w:t xml:space="preserve">. </w:t>
      </w:r>
      <w:r w:rsidRPr="00D853D0">
        <w:rPr>
          <w:rFonts w:ascii="Arial" w:hAnsi="Arial" w:cs="Arial"/>
          <w:sz w:val="24"/>
          <w:szCs w:val="24"/>
          <w:lang w:val="en-US"/>
        </w:rPr>
        <w:t>Acesso em: 10 maio 2025.</w:t>
      </w:r>
    </w:p>
    <w:p w14:paraId="4E91D97C" w14:textId="77777777" w:rsidR="00D853D0" w:rsidRPr="00D853D0" w:rsidRDefault="00D853D0" w:rsidP="00D853D0">
      <w:pPr>
        <w:spacing w:after="240" w:line="240" w:lineRule="auto"/>
        <w:rPr>
          <w:rFonts w:ascii="Arial" w:hAnsi="Arial" w:cs="Arial"/>
          <w:sz w:val="24"/>
          <w:szCs w:val="24"/>
          <w:lang w:val="en-US"/>
        </w:rPr>
      </w:pPr>
      <w:r w:rsidRPr="00D853D0">
        <w:rPr>
          <w:rFonts w:ascii="Arial" w:hAnsi="Arial" w:cs="Arial"/>
          <w:sz w:val="24"/>
          <w:szCs w:val="24"/>
          <w:lang w:val="en-US"/>
        </w:rPr>
        <w:t>KATZ, R. </w:t>
      </w:r>
      <w:r w:rsidRPr="00D853D0">
        <w:rPr>
          <w:rFonts w:ascii="Arial" w:hAnsi="Arial" w:cs="Arial"/>
          <w:i/>
          <w:iCs/>
          <w:sz w:val="24"/>
          <w:szCs w:val="24"/>
          <w:lang w:val="en-US"/>
        </w:rPr>
        <w:t>et al</w:t>
      </w:r>
      <w:r w:rsidRPr="00D853D0">
        <w:rPr>
          <w:rFonts w:ascii="Arial" w:hAnsi="Arial" w:cs="Arial"/>
          <w:sz w:val="24"/>
          <w:szCs w:val="24"/>
          <w:lang w:val="en-US"/>
        </w:rPr>
        <w:t>. Defining health diplomacy: changing demands in the era of globalization. </w:t>
      </w:r>
      <w:r w:rsidRPr="00D853D0">
        <w:rPr>
          <w:rFonts w:ascii="Arial" w:hAnsi="Arial" w:cs="Arial"/>
          <w:b/>
          <w:bCs/>
          <w:sz w:val="24"/>
          <w:szCs w:val="24"/>
          <w:lang w:val="en-US"/>
        </w:rPr>
        <w:t>Milbank Quarterly</w:t>
      </w:r>
      <w:r w:rsidRPr="00D853D0">
        <w:rPr>
          <w:rFonts w:ascii="Arial" w:hAnsi="Arial" w:cs="Arial"/>
          <w:sz w:val="24"/>
          <w:szCs w:val="24"/>
          <w:lang w:val="en-US"/>
        </w:rPr>
        <w:t>, New York, v. 89, n. 3, p. 503-523, 2011.</w:t>
      </w:r>
    </w:p>
    <w:p w14:paraId="4C5142FD" w14:textId="77777777" w:rsidR="00D853D0" w:rsidRPr="00D853D0" w:rsidRDefault="00D853D0" w:rsidP="00D853D0">
      <w:pPr>
        <w:spacing w:after="240" w:line="240" w:lineRule="auto"/>
        <w:rPr>
          <w:rFonts w:ascii="Arial" w:hAnsi="Arial" w:cs="Arial"/>
          <w:sz w:val="24"/>
          <w:szCs w:val="24"/>
          <w:lang w:val="en-US"/>
        </w:rPr>
      </w:pPr>
      <w:r w:rsidRPr="00D853D0">
        <w:rPr>
          <w:rFonts w:ascii="Arial" w:hAnsi="Arial" w:cs="Arial"/>
          <w:sz w:val="24"/>
          <w:szCs w:val="24"/>
          <w:lang w:val="en-US"/>
        </w:rPr>
        <w:t>KEETHAPONCALAN, S. I. Reshaping the Non-Aligned Movement: challenges and vision. </w:t>
      </w:r>
      <w:r w:rsidRPr="00D853D0">
        <w:rPr>
          <w:rFonts w:ascii="Arial" w:hAnsi="Arial" w:cs="Arial"/>
          <w:b/>
          <w:bCs/>
          <w:sz w:val="24"/>
          <w:szCs w:val="24"/>
          <w:lang w:val="en-US"/>
        </w:rPr>
        <w:t>Bandung: Journal of the Global South</w:t>
      </w:r>
      <w:r w:rsidRPr="00D853D0">
        <w:rPr>
          <w:rFonts w:ascii="Arial" w:hAnsi="Arial" w:cs="Arial"/>
          <w:sz w:val="24"/>
          <w:szCs w:val="24"/>
          <w:lang w:val="en-US"/>
        </w:rPr>
        <w:t>, v. 3, n. 1, p. 1-14, Dec. 2016.</w:t>
      </w:r>
    </w:p>
    <w:p w14:paraId="6483AEB0" w14:textId="77777777" w:rsidR="00D853D0" w:rsidRPr="00D853D0" w:rsidRDefault="00D853D0" w:rsidP="00D853D0">
      <w:pPr>
        <w:spacing w:after="240" w:line="240" w:lineRule="auto"/>
        <w:rPr>
          <w:rFonts w:ascii="Arial" w:hAnsi="Arial" w:cs="Arial"/>
          <w:sz w:val="24"/>
          <w:szCs w:val="24"/>
          <w:lang w:val="en-US"/>
        </w:rPr>
      </w:pPr>
      <w:r w:rsidRPr="00D853D0">
        <w:rPr>
          <w:rFonts w:ascii="Arial" w:hAnsi="Arial" w:cs="Arial"/>
          <w:sz w:val="24"/>
          <w:szCs w:val="24"/>
        </w:rPr>
        <w:t>KICKBUSH, I.; BERGER, C. Diplomacia da saúde global. </w:t>
      </w:r>
      <w:r w:rsidRPr="00D853D0">
        <w:rPr>
          <w:rFonts w:ascii="Arial" w:hAnsi="Arial" w:cs="Arial"/>
          <w:b/>
          <w:bCs/>
          <w:sz w:val="24"/>
          <w:szCs w:val="24"/>
          <w:lang w:val="en-US"/>
        </w:rPr>
        <w:t>RECIIS</w:t>
      </w:r>
      <w:r w:rsidRPr="00D853D0">
        <w:rPr>
          <w:rFonts w:ascii="Arial" w:hAnsi="Arial" w:cs="Arial"/>
          <w:sz w:val="24"/>
          <w:szCs w:val="24"/>
          <w:lang w:val="en-US"/>
        </w:rPr>
        <w:t>, v. 4, n. 1, p. 342/494, 2010.</w:t>
      </w:r>
    </w:p>
    <w:p w14:paraId="2AD17A6B" w14:textId="77777777" w:rsidR="00D853D0" w:rsidRPr="00D853D0" w:rsidRDefault="00D853D0" w:rsidP="00D853D0">
      <w:pPr>
        <w:spacing w:after="240" w:line="240" w:lineRule="auto"/>
        <w:rPr>
          <w:rFonts w:ascii="Arial" w:hAnsi="Arial" w:cs="Arial"/>
          <w:sz w:val="24"/>
          <w:szCs w:val="24"/>
          <w:lang w:val="en-US"/>
        </w:rPr>
      </w:pPr>
      <w:r w:rsidRPr="00D853D0">
        <w:rPr>
          <w:rFonts w:ascii="Arial" w:hAnsi="Arial" w:cs="Arial"/>
          <w:sz w:val="24"/>
          <w:szCs w:val="24"/>
          <w:lang w:val="en-US"/>
        </w:rPr>
        <w:lastRenderedPageBreak/>
        <w:t>MIŠKOVIĆ, N. </w:t>
      </w:r>
      <w:r w:rsidRPr="00D853D0">
        <w:rPr>
          <w:rFonts w:ascii="Arial" w:hAnsi="Arial" w:cs="Arial"/>
          <w:i/>
          <w:iCs/>
          <w:sz w:val="24"/>
          <w:szCs w:val="24"/>
          <w:lang w:val="en-US"/>
        </w:rPr>
        <w:t>et al</w:t>
      </w:r>
      <w:r w:rsidRPr="00D853D0">
        <w:rPr>
          <w:rFonts w:ascii="Arial" w:hAnsi="Arial" w:cs="Arial"/>
          <w:sz w:val="24"/>
          <w:szCs w:val="24"/>
          <w:lang w:val="en-US"/>
        </w:rPr>
        <w:t>. (ed.). </w:t>
      </w:r>
      <w:r w:rsidRPr="00D853D0">
        <w:rPr>
          <w:rFonts w:ascii="Arial" w:hAnsi="Arial" w:cs="Arial"/>
          <w:b/>
          <w:bCs/>
          <w:sz w:val="24"/>
          <w:szCs w:val="24"/>
          <w:lang w:val="en-US"/>
        </w:rPr>
        <w:t>The Non-Aligned Movement and the Cold War: Delhi - Bandung - Belgrade</w:t>
      </w:r>
      <w:r w:rsidRPr="00D853D0">
        <w:rPr>
          <w:rFonts w:ascii="Arial" w:hAnsi="Arial" w:cs="Arial"/>
          <w:sz w:val="24"/>
          <w:szCs w:val="24"/>
          <w:lang w:val="en-US"/>
        </w:rPr>
        <w:t>. London: Routledge, 2014.</w:t>
      </w:r>
    </w:p>
    <w:p w14:paraId="4152249A" w14:textId="77777777" w:rsidR="00D853D0" w:rsidRPr="00D853D0" w:rsidRDefault="00D853D0" w:rsidP="00D853D0">
      <w:pPr>
        <w:spacing w:after="240" w:line="240" w:lineRule="auto"/>
        <w:rPr>
          <w:rFonts w:ascii="Arial" w:hAnsi="Arial" w:cs="Arial"/>
          <w:sz w:val="24"/>
          <w:szCs w:val="24"/>
          <w:lang w:val="en-US"/>
        </w:rPr>
      </w:pPr>
      <w:r w:rsidRPr="00D853D0">
        <w:rPr>
          <w:rFonts w:ascii="Arial" w:hAnsi="Arial" w:cs="Arial"/>
          <w:sz w:val="24"/>
          <w:szCs w:val="24"/>
          <w:lang w:val="en-US"/>
        </w:rPr>
        <w:t xml:space="preserve">TROŠIĆ, S. J. The Non-Aligned Movement </w:t>
      </w:r>
      <w:proofErr w:type="gramStart"/>
      <w:r w:rsidRPr="00D853D0">
        <w:rPr>
          <w:rFonts w:ascii="Arial" w:hAnsi="Arial" w:cs="Arial"/>
          <w:sz w:val="24"/>
          <w:szCs w:val="24"/>
          <w:lang w:val="en-US"/>
        </w:rPr>
        <w:t>fight</w:t>
      </w:r>
      <w:proofErr w:type="gramEnd"/>
      <w:r w:rsidRPr="00D853D0">
        <w:rPr>
          <w:rFonts w:ascii="Arial" w:hAnsi="Arial" w:cs="Arial"/>
          <w:sz w:val="24"/>
          <w:szCs w:val="24"/>
          <w:lang w:val="en-US"/>
        </w:rPr>
        <w:t xml:space="preserve"> for the new international economic order. </w:t>
      </w:r>
      <w:r w:rsidRPr="00D853D0">
        <w:rPr>
          <w:rFonts w:ascii="Arial" w:hAnsi="Arial" w:cs="Arial"/>
          <w:i/>
          <w:iCs/>
          <w:sz w:val="24"/>
          <w:szCs w:val="24"/>
          <w:lang w:val="en-US"/>
        </w:rPr>
        <w:t>In</w:t>
      </w:r>
      <w:r w:rsidRPr="00D853D0">
        <w:rPr>
          <w:rFonts w:ascii="Arial" w:hAnsi="Arial" w:cs="Arial"/>
          <w:sz w:val="24"/>
          <w:szCs w:val="24"/>
          <w:lang w:val="en-US"/>
        </w:rPr>
        <w:t>: DIMITRIJEVIĆ, D.; ČAVOŠKI, J. (ed.). </w:t>
      </w:r>
      <w:r w:rsidRPr="00D853D0">
        <w:rPr>
          <w:rFonts w:ascii="Arial" w:hAnsi="Arial" w:cs="Arial"/>
          <w:b/>
          <w:bCs/>
          <w:sz w:val="24"/>
          <w:szCs w:val="24"/>
          <w:lang w:val="en-US"/>
        </w:rPr>
        <w:t>The 60th anniversary of the Non-Aligned Movement</w:t>
      </w:r>
      <w:r w:rsidRPr="00D853D0">
        <w:rPr>
          <w:rFonts w:ascii="Arial" w:hAnsi="Arial" w:cs="Arial"/>
          <w:sz w:val="24"/>
          <w:szCs w:val="24"/>
          <w:lang w:val="en-US"/>
        </w:rPr>
        <w:t>. Belgrade: Institute of International Politics and Economics, 2021. p. 193-209.</w:t>
      </w:r>
    </w:p>
    <w:p w14:paraId="0752F799" w14:textId="77777777" w:rsidR="00D853D0" w:rsidRPr="00D853D0" w:rsidRDefault="00D853D0" w:rsidP="00D853D0">
      <w:pPr>
        <w:spacing w:after="240" w:line="240" w:lineRule="auto"/>
        <w:rPr>
          <w:rFonts w:ascii="Arial" w:hAnsi="Arial" w:cs="Arial"/>
          <w:sz w:val="24"/>
          <w:szCs w:val="24"/>
          <w:lang w:val="en-US"/>
        </w:rPr>
      </w:pPr>
      <w:r w:rsidRPr="00D853D0">
        <w:rPr>
          <w:rFonts w:ascii="Arial" w:hAnsi="Arial" w:cs="Arial"/>
          <w:sz w:val="24"/>
          <w:szCs w:val="24"/>
          <w:lang w:val="en-US"/>
        </w:rPr>
        <w:t>UNESCO. </w:t>
      </w:r>
      <w:r w:rsidRPr="00D853D0">
        <w:rPr>
          <w:rFonts w:ascii="Arial" w:hAnsi="Arial" w:cs="Arial"/>
          <w:b/>
          <w:bCs/>
          <w:sz w:val="24"/>
          <w:szCs w:val="24"/>
          <w:lang w:val="en-US"/>
        </w:rPr>
        <w:t>Memory of the World Register: archives of the First Conference of Heads of State or Government of Non-Aligned Countries</w:t>
      </w:r>
      <w:r w:rsidRPr="00D853D0">
        <w:rPr>
          <w:rFonts w:ascii="Arial" w:hAnsi="Arial" w:cs="Arial"/>
          <w:sz w:val="24"/>
          <w:szCs w:val="24"/>
          <w:lang w:val="en-US"/>
        </w:rPr>
        <w:t xml:space="preserve">. </w:t>
      </w:r>
      <w:r w:rsidRPr="00D853D0">
        <w:rPr>
          <w:rFonts w:ascii="Arial" w:hAnsi="Arial" w:cs="Arial"/>
          <w:sz w:val="24"/>
          <w:szCs w:val="24"/>
        </w:rPr>
        <w:t>2023. Disponível em: </w:t>
      </w:r>
      <w:hyperlink r:id="rId9" w:tgtFrame="_blank" w:history="1">
        <w:r w:rsidRPr="00D853D0">
          <w:rPr>
            <w:rStyle w:val="Hyperlink"/>
            <w:rFonts w:ascii="Arial" w:hAnsi="Arial" w:cs="Arial"/>
            <w:color w:val="auto"/>
            <w:sz w:val="24"/>
            <w:szCs w:val="24"/>
            <w:u w:val="none"/>
          </w:rPr>
          <w:t>https://www.unesco.org/en/memory-world/first-summit-meeting-non-aligned-movement-archives</w:t>
        </w:r>
      </w:hyperlink>
      <w:r w:rsidRPr="00D853D0">
        <w:rPr>
          <w:rFonts w:ascii="Arial" w:hAnsi="Arial" w:cs="Arial"/>
          <w:sz w:val="24"/>
          <w:szCs w:val="24"/>
        </w:rPr>
        <w:t xml:space="preserve">. </w:t>
      </w:r>
      <w:r w:rsidRPr="00D853D0">
        <w:rPr>
          <w:rFonts w:ascii="Arial" w:hAnsi="Arial" w:cs="Arial"/>
          <w:sz w:val="24"/>
          <w:szCs w:val="24"/>
          <w:lang w:val="en-US"/>
        </w:rPr>
        <w:t>Acesso em: 10 maio 2025.</w:t>
      </w:r>
    </w:p>
    <w:p w14:paraId="59A3322E" w14:textId="271511E0" w:rsidR="00D853D0" w:rsidRPr="00D853D0" w:rsidRDefault="00D853D0" w:rsidP="00D853D0">
      <w:pPr>
        <w:spacing w:after="240" w:line="240" w:lineRule="auto"/>
        <w:rPr>
          <w:rFonts w:ascii="Arial" w:hAnsi="Arial" w:cs="Arial"/>
          <w:sz w:val="24"/>
          <w:szCs w:val="24"/>
          <w:lang w:val="it-IT"/>
        </w:rPr>
      </w:pPr>
      <w:r w:rsidRPr="00D853D0">
        <w:rPr>
          <w:rFonts w:ascii="Arial" w:hAnsi="Arial" w:cs="Arial"/>
          <w:sz w:val="24"/>
          <w:szCs w:val="24"/>
          <w:lang w:val="en-US"/>
        </w:rPr>
        <w:t>WORLD TRADE ORGANIZATION (WTO). Council for Trade-Related Aspects of Intellectual Property Rights. </w:t>
      </w:r>
      <w:r w:rsidRPr="00D853D0">
        <w:rPr>
          <w:rFonts w:ascii="Arial" w:hAnsi="Arial" w:cs="Arial"/>
          <w:b/>
          <w:bCs/>
          <w:sz w:val="24"/>
          <w:szCs w:val="24"/>
          <w:lang w:val="en-US"/>
        </w:rPr>
        <w:t>Waiver from certain provisions of the TRIPS agreement for the prevention, containment and treatment of COVID-19: revised decision text: communication from the African Group, the Plurinational State of Bolivia, Egypt, Eswatini, Fiji, India, Indonesia, Kenya, the LDC Group, Maldives, Mozambique, Mongolia, Namibia, Pakistan, South Africa, Vanuatu, the Bolivarian Republic of Venezuela and Zimbabwe</w:t>
      </w:r>
      <w:r w:rsidRPr="00D853D0">
        <w:rPr>
          <w:rFonts w:ascii="Arial" w:hAnsi="Arial" w:cs="Arial"/>
          <w:sz w:val="24"/>
          <w:szCs w:val="24"/>
          <w:lang w:val="en-US"/>
        </w:rPr>
        <w:t>. Geneva: WTO, 25 May 2021. Document IP/C/W/669/Rev.1. Disponível em: </w:t>
      </w:r>
      <w:hyperlink r:id="rId10" w:tgtFrame="_blank" w:history="1">
        <w:r w:rsidRPr="00D853D0">
          <w:rPr>
            <w:rStyle w:val="Hyperlink"/>
            <w:rFonts w:ascii="Arial" w:hAnsi="Arial" w:cs="Arial"/>
            <w:color w:val="auto"/>
            <w:sz w:val="24"/>
            <w:szCs w:val="24"/>
            <w:u w:val="none"/>
            <w:lang w:val="en-US"/>
          </w:rPr>
          <w:t>https://docs.wto.org/dol2fe/Pages/SS/directdoc.aspx?filename=q:/IP/C/W669R1.pdf&amp;Open=True</w:t>
        </w:r>
      </w:hyperlink>
      <w:r w:rsidRPr="00D853D0">
        <w:rPr>
          <w:rFonts w:ascii="Arial" w:hAnsi="Arial" w:cs="Arial"/>
          <w:sz w:val="24"/>
          <w:szCs w:val="24"/>
          <w:lang w:val="en-US"/>
        </w:rPr>
        <w:t xml:space="preserve">. </w:t>
      </w:r>
      <w:r w:rsidRPr="00D853D0">
        <w:rPr>
          <w:rFonts w:ascii="Arial" w:hAnsi="Arial" w:cs="Arial"/>
          <w:sz w:val="24"/>
          <w:szCs w:val="24"/>
          <w:lang w:val="it-IT"/>
        </w:rPr>
        <w:t>Acesso em: 10 nov. 2024.</w:t>
      </w:r>
    </w:p>
    <w:sectPr w:rsidR="00D853D0" w:rsidRPr="00D853D0" w:rsidSect="00967E68">
      <w:headerReference w:type="default" r:id="rId11"/>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9BF9F" w14:textId="77777777" w:rsidR="00B40E67" w:rsidRDefault="00B40E67" w:rsidP="00DB322C">
      <w:pPr>
        <w:spacing w:after="0" w:line="240" w:lineRule="auto"/>
      </w:pPr>
      <w:r>
        <w:separator/>
      </w:r>
    </w:p>
  </w:endnote>
  <w:endnote w:type="continuationSeparator" w:id="0">
    <w:p w14:paraId="362D2BAD" w14:textId="77777777" w:rsidR="00B40E67" w:rsidRDefault="00B40E67" w:rsidP="00DB3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346B9" w14:textId="77777777" w:rsidR="00B40E67" w:rsidRDefault="00B40E67" w:rsidP="00DB322C">
      <w:pPr>
        <w:spacing w:after="0" w:line="240" w:lineRule="auto"/>
      </w:pPr>
      <w:r>
        <w:separator/>
      </w:r>
    </w:p>
  </w:footnote>
  <w:footnote w:type="continuationSeparator" w:id="0">
    <w:p w14:paraId="0A1CBBD0" w14:textId="77777777" w:rsidR="00B40E67" w:rsidRDefault="00B40E67" w:rsidP="00DB322C">
      <w:pPr>
        <w:spacing w:after="0" w:line="240" w:lineRule="auto"/>
      </w:pPr>
      <w:r>
        <w:continuationSeparator/>
      </w:r>
    </w:p>
  </w:footnote>
  <w:footnote w:id="1">
    <w:p w14:paraId="272F21DC" w14:textId="77777777" w:rsidR="0000406B" w:rsidRPr="0000406B" w:rsidRDefault="0000406B" w:rsidP="0000406B">
      <w:pPr>
        <w:pStyle w:val="Textodenotaderodap"/>
        <w:rPr>
          <w:rFonts w:ascii="Arial" w:hAnsi="Arial" w:cs="Arial"/>
          <w:lang w:val="pt-BR"/>
        </w:rPr>
      </w:pPr>
      <w:r>
        <w:rPr>
          <w:rStyle w:val="Refdenotaderodap"/>
        </w:rPr>
        <w:footnoteRef/>
      </w:r>
      <w:r w:rsidRPr="0000406B">
        <w:rPr>
          <w:lang w:val="pt-BR"/>
        </w:rPr>
        <w:t xml:space="preserve"> </w:t>
      </w:r>
      <w:r w:rsidRPr="0000406B">
        <w:rPr>
          <w:rFonts w:ascii="Arial" w:hAnsi="Arial" w:cs="Arial"/>
          <w:lang w:val="pt-BR"/>
        </w:rPr>
        <w:t xml:space="preserve">Bacharel em enfermagem, especialista em Relações Internacionais, pesquisador em Cooperação Sul-Sul no Observatório do Centro de Relações Internacionais em Saúde da Fundação Oswaldo Cruz e Trainee de Gestão Pública na Escola de Saúde Pública do Estado do Maranhão. </w:t>
      </w:r>
    </w:p>
    <w:p w14:paraId="403E85D9" w14:textId="60047CA8" w:rsidR="0000406B" w:rsidRPr="0000406B" w:rsidRDefault="0000406B" w:rsidP="0000406B">
      <w:pPr>
        <w:pStyle w:val="Textodenotaderodap"/>
        <w:rPr>
          <w:i/>
          <w:iCs/>
          <w:lang w:val="pt-BR"/>
        </w:rPr>
      </w:pPr>
      <w:r w:rsidRPr="0000406B">
        <w:rPr>
          <w:rFonts w:ascii="Arial" w:hAnsi="Arial" w:cs="Arial"/>
          <w:i/>
          <w:iCs/>
          <w:lang w:val="pt-BR"/>
        </w:rPr>
        <w:t>ybyranguara@gmail.com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2B118" w14:textId="139D139F" w:rsidR="00DB322C" w:rsidRDefault="00DB322C" w:rsidP="00DB322C">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40119"/>
    <w:multiLevelType w:val="hybridMultilevel"/>
    <w:tmpl w:val="EFDC8BF8"/>
    <w:lvl w:ilvl="0" w:tplc="0EE603FE">
      <w:start w:val="1"/>
      <w:numFmt w:val="decimal"/>
      <w:lvlText w:val="%1."/>
      <w:lvlJc w:val="left"/>
      <w:pPr>
        <w:ind w:left="720" w:hanging="360"/>
      </w:pPr>
      <w:rPr>
        <w:rFonts w:ascii="Arial" w:hAnsi="Arial" w:cs="Arial"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98851CB"/>
    <w:multiLevelType w:val="multilevel"/>
    <w:tmpl w:val="2576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7308683">
    <w:abstractNumId w:val="1"/>
  </w:num>
  <w:num w:numId="2" w16cid:durableId="2120483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22C"/>
    <w:rsid w:val="0000406B"/>
    <w:rsid w:val="001726C7"/>
    <w:rsid w:val="001C20D5"/>
    <w:rsid w:val="002136F5"/>
    <w:rsid w:val="00282F42"/>
    <w:rsid w:val="00361FA7"/>
    <w:rsid w:val="003D4A32"/>
    <w:rsid w:val="00404845"/>
    <w:rsid w:val="004176C9"/>
    <w:rsid w:val="00430223"/>
    <w:rsid w:val="00452971"/>
    <w:rsid w:val="00455D7C"/>
    <w:rsid w:val="004613ED"/>
    <w:rsid w:val="00535BC4"/>
    <w:rsid w:val="0056485D"/>
    <w:rsid w:val="00687FBC"/>
    <w:rsid w:val="006B3872"/>
    <w:rsid w:val="007B4781"/>
    <w:rsid w:val="008D23FC"/>
    <w:rsid w:val="0092680F"/>
    <w:rsid w:val="00967E68"/>
    <w:rsid w:val="009A6634"/>
    <w:rsid w:val="009E0C44"/>
    <w:rsid w:val="00AA602A"/>
    <w:rsid w:val="00B31A6A"/>
    <w:rsid w:val="00B40E67"/>
    <w:rsid w:val="00B9394D"/>
    <w:rsid w:val="00BB5215"/>
    <w:rsid w:val="00C306F1"/>
    <w:rsid w:val="00C323E4"/>
    <w:rsid w:val="00D853D0"/>
    <w:rsid w:val="00D86E27"/>
    <w:rsid w:val="00DB322C"/>
    <w:rsid w:val="00DF0E26"/>
    <w:rsid w:val="00E3381B"/>
    <w:rsid w:val="00EF0DBE"/>
    <w:rsid w:val="00F36319"/>
    <w:rsid w:val="00F660FD"/>
    <w:rsid w:val="00FD70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70E3B"/>
  <w15:chartTrackingRefBased/>
  <w15:docId w15:val="{DB71DCF0-B702-48E3-808E-6D6AD677E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22C"/>
    <w:pPr>
      <w:spacing w:after="200" w:line="276" w:lineRule="auto"/>
    </w:pPr>
    <w:rPr>
      <w:rFonts w:eastAsiaTheme="minorEastAsia"/>
      <w:kern w:val="0"/>
      <w:lang w:val="pt-BR" w:eastAsia="pt-BR"/>
      <w14:ligatures w14:val="none"/>
    </w:rPr>
  </w:style>
  <w:style w:type="paragraph" w:styleId="Ttulo1">
    <w:name w:val="heading 1"/>
    <w:basedOn w:val="Ttulo2"/>
    <w:next w:val="Normal"/>
    <w:link w:val="Ttulo1Char"/>
    <w:autoRedefine/>
    <w:uiPriority w:val="9"/>
    <w:qFormat/>
    <w:rsid w:val="00687FBC"/>
    <w:pPr>
      <w:spacing w:before="0" w:after="0" w:line="360" w:lineRule="auto"/>
      <w:ind w:left="708"/>
      <w:jc w:val="both"/>
      <w:outlineLvl w:val="0"/>
    </w:pPr>
    <w:rPr>
      <w:rFonts w:ascii="Times New Roman" w:hAnsi="Times New Roman"/>
      <w:b/>
      <w:color w:val="000000" w:themeColor="text1"/>
      <w:sz w:val="24"/>
      <w:szCs w:val="40"/>
    </w:rPr>
  </w:style>
  <w:style w:type="paragraph" w:styleId="Ttulo2">
    <w:name w:val="heading 2"/>
    <w:basedOn w:val="Normal"/>
    <w:next w:val="Normal"/>
    <w:link w:val="Ttulo2Char"/>
    <w:uiPriority w:val="9"/>
    <w:semiHidden/>
    <w:unhideWhenUsed/>
    <w:qFormat/>
    <w:rsid w:val="00DB322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it-IT" w:eastAsia="en-US"/>
      <w14:ligatures w14:val="standardContextual"/>
    </w:rPr>
  </w:style>
  <w:style w:type="paragraph" w:styleId="Ttulo3">
    <w:name w:val="heading 3"/>
    <w:basedOn w:val="Normal"/>
    <w:next w:val="Normal"/>
    <w:link w:val="Ttulo3Char"/>
    <w:uiPriority w:val="9"/>
    <w:semiHidden/>
    <w:unhideWhenUsed/>
    <w:qFormat/>
    <w:rsid w:val="00DB322C"/>
    <w:pPr>
      <w:keepNext/>
      <w:keepLines/>
      <w:spacing w:before="160" w:after="80" w:line="259" w:lineRule="auto"/>
      <w:outlineLvl w:val="2"/>
    </w:pPr>
    <w:rPr>
      <w:rFonts w:eastAsiaTheme="majorEastAsia" w:cstheme="majorBidi"/>
      <w:color w:val="0F4761" w:themeColor="accent1" w:themeShade="BF"/>
      <w:kern w:val="2"/>
      <w:sz w:val="28"/>
      <w:szCs w:val="28"/>
      <w:lang w:val="it-IT" w:eastAsia="en-US"/>
      <w14:ligatures w14:val="standardContextual"/>
    </w:rPr>
  </w:style>
  <w:style w:type="paragraph" w:styleId="Ttulo4">
    <w:name w:val="heading 4"/>
    <w:basedOn w:val="Normal"/>
    <w:next w:val="Normal"/>
    <w:link w:val="Ttulo4Char"/>
    <w:uiPriority w:val="9"/>
    <w:semiHidden/>
    <w:unhideWhenUsed/>
    <w:qFormat/>
    <w:rsid w:val="00DB322C"/>
    <w:pPr>
      <w:keepNext/>
      <w:keepLines/>
      <w:spacing w:before="80" w:after="40" w:line="259" w:lineRule="auto"/>
      <w:outlineLvl w:val="3"/>
    </w:pPr>
    <w:rPr>
      <w:rFonts w:eastAsiaTheme="majorEastAsia" w:cstheme="majorBidi"/>
      <w:i/>
      <w:iCs/>
      <w:color w:val="0F4761" w:themeColor="accent1" w:themeShade="BF"/>
      <w:kern w:val="2"/>
      <w:lang w:val="it-IT" w:eastAsia="en-US"/>
      <w14:ligatures w14:val="standardContextual"/>
    </w:rPr>
  </w:style>
  <w:style w:type="paragraph" w:styleId="Ttulo5">
    <w:name w:val="heading 5"/>
    <w:basedOn w:val="Normal"/>
    <w:next w:val="Normal"/>
    <w:link w:val="Ttulo5Char"/>
    <w:uiPriority w:val="9"/>
    <w:semiHidden/>
    <w:unhideWhenUsed/>
    <w:qFormat/>
    <w:rsid w:val="00DB322C"/>
    <w:pPr>
      <w:keepNext/>
      <w:keepLines/>
      <w:spacing w:before="80" w:after="40" w:line="259" w:lineRule="auto"/>
      <w:outlineLvl w:val="4"/>
    </w:pPr>
    <w:rPr>
      <w:rFonts w:eastAsiaTheme="majorEastAsia" w:cstheme="majorBidi"/>
      <w:color w:val="0F4761" w:themeColor="accent1" w:themeShade="BF"/>
      <w:kern w:val="2"/>
      <w:lang w:val="it-IT" w:eastAsia="en-US"/>
      <w14:ligatures w14:val="standardContextual"/>
    </w:rPr>
  </w:style>
  <w:style w:type="paragraph" w:styleId="Ttulo6">
    <w:name w:val="heading 6"/>
    <w:basedOn w:val="Normal"/>
    <w:next w:val="Normal"/>
    <w:link w:val="Ttulo6Char"/>
    <w:uiPriority w:val="9"/>
    <w:semiHidden/>
    <w:unhideWhenUsed/>
    <w:qFormat/>
    <w:rsid w:val="00DB322C"/>
    <w:pPr>
      <w:keepNext/>
      <w:keepLines/>
      <w:spacing w:before="40" w:after="0" w:line="259" w:lineRule="auto"/>
      <w:outlineLvl w:val="5"/>
    </w:pPr>
    <w:rPr>
      <w:rFonts w:eastAsiaTheme="majorEastAsia" w:cstheme="majorBidi"/>
      <w:i/>
      <w:iCs/>
      <w:color w:val="595959" w:themeColor="text1" w:themeTint="A6"/>
      <w:kern w:val="2"/>
      <w:lang w:val="it-IT" w:eastAsia="en-US"/>
      <w14:ligatures w14:val="standardContextual"/>
    </w:rPr>
  </w:style>
  <w:style w:type="paragraph" w:styleId="Ttulo7">
    <w:name w:val="heading 7"/>
    <w:basedOn w:val="Normal"/>
    <w:next w:val="Normal"/>
    <w:link w:val="Ttulo7Char"/>
    <w:uiPriority w:val="9"/>
    <w:semiHidden/>
    <w:unhideWhenUsed/>
    <w:qFormat/>
    <w:rsid w:val="00DB322C"/>
    <w:pPr>
      <w:keepNext/>
      <w:keepLines/>
      <w:spacing w:before="40" w:after="0" w:line="259" w:lineRule="auto"/>
      <w:outlineLvl w:val="6"/>
    </w:pPr>
    <w:rPr>
      <w:rFonts w:eastAsiaTheme="majorEastAsia" w:cstheme="majorBidi"/>
      <w:color w:val="595959" w:themeColor="text1" w:themeTint="A6"/>
      <w:kern w:val="2"/>
      <w:lang w:val="it-IT" w:eastAsia="en-US"/>
      <w14:ligatures w14:val="standardContextual"/>
    </w:rPr>
  </w:style>
  <w:style w:type="paragraph" w:styleId="Ttulo8">
    <w:name w:val="heading 8"/>
    <w:basedOn w:val="Normal"/>
    <w:next w:val="Normal"/>
    <w:link w:val="Ttulo8Char"/>
    <w:uiPriority w:val="9"/>
    <w:semiHidden/>
    <w:unhideWhenUsed/>
    <w:qFormat/>
    <w:rsid w:val="00DB322C"/>
    <w:pPr>
      <w:keepNext/>
      <w:keepLines/>
      <w:spacing w:after="0" w:line="259" w:lineRule="auto"/>
      <w:outlineLvl w:val="7"/>
    </w:pPr>
    <w:rPr>
      <w:rFonts w:eastAsiaTheme="majorEastAsia" w:cstheme="majorBidi"/>
      <w:i/>
      <w:iCs/>
      <w:color w:val="272727" w:themeColor="text1" w:themeTint="D8"/>
      <w:kern w:val="2"/>
      <w:lang w:val="it-IT" w:eastAsia="en-US"/>
      <w14:ligatures w14:val="standardContextual"/>
    </w:rPr>
  </w:style>
  <w:style w:type="paragraph" w:styleId="Ttulo9">
    <w:name w:val="heading 9"/>
    <w:basedOn w:val="Normal"/>
    <w:next w:val="Normal"/>
    <w:link w:val="Ttulo9Char"/>
    <w:uiPriority w:val="9"/>
    <w:semiHidden/>
    <w:unhideWhenUsed/>
    <w:qFormat/>
    <w:rsid w:val="00DB322C"/>
    <w:pPr>
      <w:keepNext/>
      <w:keepLines/>
      <w:spacing w:after="0" w:line="259" w:lineRule="auto"/>
      <w:outlineLvl w:val="8"/>
    </w:pPr>
    <w:rPr>
      <w:rFonts w:eastAsiaTheme="majorEastAsia" w:cstheme="majorBidi"/>
      <w:color w:val="272727" w:themeColor="text1" w:themeTint="D8"/>
      <w:kern w:val="2"/>
      <w:lang w:val="it-IT" w:eastAsia="en-US"/>
      <w14:ligatures w14:val="standardContextual"/>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87FBC"/>
    <w:rPr>
      <w:rFonts w:ascii="Times New Roman" w:eastAsiaTheme="majorEastAsia" w:hAnsi="Times New Roman" w:cstheme="majorBidi"/>
      <w:b/>
      <w:color w:val="000000" w:themeColor="text1"/>
      <w:sz w:val="24"/>
      <w:szCs w:val="40"/>
    </w:rPr>
  </w:style>
  <w:style w:type="character" w:customStyle="1" w:styleId="Ttulo2Char">
    <w:name w:val="Título 2 Char"/>
    <w:basedOn w:val="Fontepargpadro"/>
    <w:link w:val="Ttulo2"/>
    <w:uiPriority w:val="9"/>
    <w:semiHidden/>
    <w:rsid w:val="00DB322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DB322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DB322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DB322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DB322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B322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B322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B322C"/>
    <w:rPr>
      <w:rFonts w:eastAsiaTheme="majorEastAsia" w:cstheme="majorBidi"/>
      <w:color w:val="272727" w:themeColor="text1" w:themeTint="D8"/>
    </w:rPr>
  </w:style>
  <w:style w:type="paragraph" w:styleId="Ttulo">
    <w:name w:val="Title"/>
    <w:basedOn w:val="Normal"/>
    <w:next w:val="Normal"/>
    <w:link w:val="TtuloChar"/>
    <w:uiPriority w:val="10"/>
    <w:qFormat/>
    <w:rsid w:val="00DB322C"/>
    <w:pPr>
      <w:spacing w:after="80" w:line="240" w:lineRule="auto"/>
      <w:contextualSpacing/>
    </w:pPr>
    <w:rPr>
      <w:rFonts w:asciiTheme="majorHAnsi" w:eastAsiaTheme="majorEastAsia" w:hAnsiTheme="majorHAnsi" w:cstheme="majorBidi"/>
      <w:spacing w:val="-10"/>
      <w:kern w:val="28"/>
      <w:sz w:val="56"/>
      <w:szCs w:val="56"/>
      <w:lang w:val="it-IT" w:eastAsia="en-US"/>
      <w14:ligatures w14:val="standardContextual"/>
    </w:rPr>
  </w:style>
  <w:style w:type="character" w:customStyle="1" w:styleId="TtuloChar">
    <w:name w:val="Título Char"/>
    <w:basedOn w:val="Fontepargpadro"/>
    <w:link w:val="Ttulo"/>
    <w:uiPriority w:val="10"/>
    <w:rsid w:val="00DB322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B322C"/>
    <w:pPr>
      <w:numPr>
        <w:ilvl w:val="1"/>
      </w:numPr>
      <w:spacing w:after="160" w:line="259" w:lineRule="auto"/>
    </w:pPr>
    <w:rPr>
      <w:rFonts w:eastAsiaTheme="majorEastAsia" w:cstheme="majorBidi"/>
      <w:color w:val="595959" w:themeColor="text1" w:themeTint="A6"/>
      <w:spacing w:val="15"/>
      <w:kern w:val="2"/>
      <w:sz w:val="28"/>
      <w:szCs w:val="28"/>
      <w:lang w:val="it-IT" w:eastAsia="en-US"/>
      <w14:ligatures w14:val="standardContextual"/>
    </w:rPr>
  </w:style>
  <w:style w:type="character" w:customStyle="1" w:styleId="SubttuloChar">
    <w:name w:val="Subtítulo Char"/>
    <w:basedOn w:val="Fontepargpadro"/>
    <w:link w:val="Subttulo"/>
    <w:uiPriority w:val="11"/>
    <w:rsid w:val="00DB322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B322C"/>
    <w:pPr>
      <w:spacing w:before="160" w:after="160" w:line="259" w:lineRule="auto"/>
      <w:jc w:val="center"/>
    </w:pPr>
    <w:rPr>
      <w:rFonts w:eastAsiaTheme="minorHAnsi"/>
      <w:i/>
      <w:iCs/>
      <w:color w:val="404040" w:themeColor="text1" w:themeTint="BF"/>
      <w:kern w:val="2"/>
      <w:lang w:val="it-IT" w:eastAsia="en-US"/>
      <w14:ligatures w14:val="standardContextual"/>
    </w:rPr>
  </w:style>
  <w:style w:type="character" w:customStyle="1" w:styleId="CitaoChar">
    <w:name w:val="Citação Char"/>
    <w:basedOn w:val="Fontepargpadro"/>
    <w:link w:val="Citao"/>
    <w:uiPriority w:val="29"/>
    <w:rsid w:val="00DB322C"/>
    <w:rPr>
      <w:i/>
      <w:iCs/>
      <w:color w:val="404040" w:themeColor="text1" w:themeTint="BF"/>
    </w:rPr>
  </w:style>
  <w:style w:type="paragraph" w:styleId="PargrafodaLista">
    <w:name w:val="List Paragraph"/>
    <w:basedOn w:val="Normal"/>
    <w:uiPriority w:val="34"/>
    <w:qFormat/>
    <w:rsid w:val="00DB322C"/>
    <w:pPr>
      <w:spacing w:after="160" w:line="259" w:lineRule="auto"/>
      <w:ind w:left="720"/>
      <w:contextualSpacing/>
    </w:pPr>
    <w:rPr>
      <w:rFonts w:eastAsiaTheme="minorHAnsi"/>
      <w:kern w:val="2"/>
      <w:lang w:val="it-IT" w:eastAsia="en-US"/>
      <w14:ligatures w14:val="standardContextual"/>
    </w:rPr>
  </w:style>
  <w:style w:type="character" w:styleId="nfaseIntensa">
    <w:name w:val="Intense Emphasis"/>
    <w:basedOn w:val="Fontepargpadro"/>
    <w:uiPriority w:val="21"/>
    <w:qFormat/>
    <w:rsid w:val="00DB322C"/>
    <w:rPr>
      <w:i/>
      <w:iCs/>
      <w:color w:val="0F4761" w:themeColor="accent1" w:themeShade="BF"/>
    </w:rPr>
  </w:style>
  <w:style w:type="paragraph" w:styleId="CitaoIntensa">
    <w:name w:val="Intense Quote"/>
    <w:basedOn w:val="Normal"/>
    <w:next w:val="Normal"/>
    <w:link w:val="CitaoIntensaChar"/>
    <w:uiPriority w:val="30"/>
    <w:qFormat/>
    <w:rsid w:val="00DB322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lang w:val="it-IT" w:eastAsia="en-US"/>
      <w14:ligatures w14:val="standardContextual"/>
    </w:rPr>
  </w:style>
  <w:style w:type="character" w:customStyle="1" w:styleId="CitaoIntensaChar">
    <w:name w:val="Citação Intensa Char"/>
    <w:basedOn w:val="Fontepargpadro"/>
    <w:link w:val="CitaoIntensa"/>
    <w:uiPriority w:val="30"/>
    <w:rsid w:val="00DB322C"/>
    <w:rPr>
      <w:i/>
      <w:iCs/>
      <w:color w:val="0F4761" w:themeColor="accent1" w:themeShade="BF"/>
    </w:rPr>
  </w:style>
  <w:style w:type="character" w:styleId="RefernciaIntensa">
    <w:name w:val="Intense Reference"/>
    <w:basedOn w:val="Fontepargpadro"/>
    <w:uiPriority w:val="32"/>
    <w:qFormat/>
    <w:rsid w:val="00DB322C"/>
    <w:rPr>
      <w:b/>
      <w:bCs/>
      <w:smallCaps/>
      <w:color w:val="0F4761" w:themeColor="accent1" w:themeShade="BF"/>
      <w:spacing w:val="5"/>
    </w:rPr>
  </w:style>
  <w:style w:type="paragraph" w:styleId="Cabealho">
    <w:name w:val="header"/>
    <w:basedOn w:val="Normal"/>
    <w:link w:val="CabealhoChar"/>
    <w:uiPriority w:val="99"/>
    <w:unhideWhenUsed/>
    <w:rsid w:val="00DB322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B322C"/>
    <w:rPr>
      <w:rFonts w:eastAsiaTheme="minorEastAsia"/>
      <w:kern w:val="0"/>
      <w:lang w:val="pt-BR" w:eastAsia="pt-BR"/>
      <w14:ligatures w14:val="none"/>
    </w:rPr>
  </w:style>
  <w:style w:type="paragraph" w:styleId="Rodap">
    <w:name w:val="footer"/>
    <w:basedOn w:val="Normal"/>
    <w:link w:val="RodapChar"/>
    <w:uiPriority w:val="99"/>
    <w:unhideWhenUsed/>
    <w:rsid w:val="00DB322C"/>
    <w:pPr>
      <w:tabs>
        <w:tab w:val="center" w:pos="4252"/>
        <w:tab w:val="right" w:pos="8504"/>
      </w:tabs>
      <w:spacing w:after="0" w:line="240" w:lineRule="auto"/>
    </w:pPr>
  </w:style>
  <w:style w:type="character" w:customStyle="1" w:styleId="RodapChar">
    <w:name w:val="Rodapé Char"/>
    <w:basedOn w:val="Fontepargpadro"/>
    <w:link w:val="Rodap"/>
    <w:uiPriority w:val="99"/>
    <w:rsid w:val="00DB322C"/>
    <w:rPr>
      <w:rFonts w:eastAsiaTheme="minorEastAsia"/>
      <w:kern w:val="0"/>
      <w:lang w:val="pt-BR" w:eastAsia="pt-BR"/>
      <w14:ligatures w14:val="none"/>
    </w:rPr>
  </w:style>
  <w:style w:type="paragraph" w:styleId="NormalWeb">
    <w:name w:val="Normal (Web)"/>
    <w:basedOn w:val="Normal"/>
    <w:uiPriority w:val="99"/>
    <w:semiHidden/>
    <w:unhideWhenUsed/>
    <w:rsid w:val="009A6634"/>
    <w:rPr>
      <w:rFonts w:ascii="Times New Roman" w:hAnsi="Times New Roman" w:cs="Times New Roman"/>
      <w:sz w:val="24"/>
      <w:szCs w:val="24"/>
    </w:rPr>
  </w:style>
  <w:style w:type="character" w:styleId="Hyperlink">
    <w:name w:val="Hyperlink"/>
    <w:basedOn w:val="Fontepargpadro"/>
    <w:uiPriority w:val="99"/>
    <w:unhideWhenUsed/>
    <w:rsid w:val="009A6634"/>
    <w:rPr>
      <w:color w:val="467886" w:themeColor="hyperlink"/>
      <w:u w:val="single"/>
    </w:rPr>
  </w:style>
  <w:style w:type="character" w:styleId="MenoPendente">
    <w:name w:val="Unresolved Mention"/>
    <w:basedOn w:val="Fontepargpadro"/>
    <w:uiPriority w:val="99"/>
    <w:semiHidden/>
    <w:unhideWhenUsed/>
    <w:rsid w:val="009A6634"/>
    <w:rPr>
      <w:color w:val="605E5C"/>
      <w:shd w:val="clear" w:color="auto" w:fill="E1DFDD"/>
    </w:rPr>
  </w:style>
  <w:style w:type="paragraph" w:styleId="Textodenotaderodap">
    <w:name w:val="footnote text"/>
    <w:basedOn w:val="Normal"/>
    <w:link w:val="TextodenotaderodapChar"/>
    <w:uiPriority w:val="99"/>
    <w:semiHidden/>
    <w:unhideWhenUsed/>
    <w:rsid w:val="00455D7C"/>
    <w:pPr>
      <w:spacing w:after="0" w:line="240" w:lineRule="auto"/>
    </w:pPr>
    <w:rPr>
      <w:rFonts w:eastAsiaTheme="minorHAnsi"/>
      <w:kern w:val="2"/>
      <w:sz w:val="20"/>
      <w:szCs w:val="20"/>
      <w:lang w:val="it-IT" w:eastAsia="en-US"/>
      <w14:ligatures w14:val="standardContextual"/>
    </w:rPr>
  </w:style>
  <w:style w:type="character" w:customStyle="1" w:styleId="TextodenotaderodapChar">
    <w:name w:val="Texto de nota de rodapé Char"/>
    <w:basedOn w:val="Fontepargpadro"/>
    <w:link w:val="Textodenotaderodap"/>
    <w:uiPriority w:val="99"/>
    <w:semiHidden/>
    <w:rsid w:val="00455D7C"/>
    <w:rPr>
      <w:sz w:val="20"/>
      <w:szCs w:val="20"/>
    </w:rPr>
  </w:style>
  <w:style w:type="character" w:styleId="Refdenotaderodap">
    <w:name w:val="footnote reference"/>
    <w:basedOn w:val="Fontepargpadro"/>
    <w:uiPriority w:val="99"/>
    <w:semiHidden/>
    <w:unhideWhenUsed/>
    <w:rsid w:val="00455D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86007">
      <w:bodyDiv w:val="1"/>
      <w:marLeft w:val="0"/>
      <w:marRight w:val="0"/>
      <w:marTop w:val="0"/>
      <w:marBottom w:val="0"/>
      <w:divBdr>
        <w:top w:val="none" w:sz="0" w:space="0" w:color="auto"/>
        <w:left w:val="none" w:sz="0" w:space="0" w:color="auto"/>
        <w:bottom w:val="none" w:sz="0" w:space="0" w:color="auto"/>
        <w:right w:val="none" w:sz="0" w:space="0" w:color="auto"/>
      </w:divBdr>
    </w:div>
    <w:div w:id="471756778">
      <w:bodyDiv w:val="1"/>
      <w:marLeft w:val="0"/>
      <w:marRight w:val="0"/>
      <w:marTop w:val="0"/>
      <w:marBottom w:val="0"/>
      <w:divBdr>
        <w:top w:val="none" w:sz="0" w:space="0" w:color="auto"/>
        <w:left w:val="none" w:sz="0" w:space="0" w:color="auto"/>
        <w:bottom w:val="none" w:sz="0" w:space="0" w:color="auto"/>
        <w:right w:val="none" w:sz="0" w:space="0" w:color="auto"/>
      </w:divBdr>
      <w:divsChild>
        <w:div w:id="1003046330">
          <w:blockQuote w:val="1"/>
          <w:marLeft w:val="720"/>
          <w:marRight w:val="720"/>
          <w:marTop w:val="100"/>
          <w:marBottom w:val="100"/>
          <w:divBdr>
            <w:top w:val="none" w:sz="0" w:space="0" w:color="auto"/>
            <w:left w:val="single" w:sz="24" w:space="15" w:color="56687A"/>
            <w:bottom w:val="none" w:sz="0" w:space="0" w:color="auto"/>
            <w:right w:val="none" w:sz="0" w:space="0" w:color="auto"/>
          </w:divBdr>
        </w:div>
      </w:divsChild>
    </w:div>
    <w:div w:id="737940645">
      <w:bodyDiv w:val="1"/>
      <w:marLeft w:val="0"/>
      <w:marRight w:val="0"/>
      <w:marTop w:val="0"/>
      <w:marBottom w:val="0"/>
      <w:divBdr>
        <w:top w:val="none" w:sz="0" w:space="0" w:color="auto"/>
        <w:left w:val="none" w:sz="0" w:space="0" w:color="auto"/>
        <w:bottom w:val="none" w:sz="0" w:space="0" w:color="auto"/>
        <w:right w:val="none" w:sz="0" w:space="0" w:color="auto"/>
      </w:divBdr>
      <w:divsChild>
        <w:div w:id="256795332">
          <w:blockQuote w:val="1"/>
          <w:marLeft w:val="720"/>
          <w:marRight w:val="720"/>
          <w:marTop w:val="100"/>
          <w:marBottom w:val="100"/>
          <w:divBdr>
            <w:top w:val="none" w:sz="0" w:space="0" w:color="auto"/>
            <w:left w:val="single" w:sz="24" w:space="15" w:color="56687A"/>
            <w:bottom w:val="none" w:sz="0" w:space="0" w:color="auto"/>
            <w:right w:val="none" w:sz="0" w:space="0" w:color="auto"/>
          </w:divBdr>
        </w:div>
      </w:divsChild>
    </w:div>
    <w:div w:id="1046368272">
      <w:bodyDiv w:val="1"/>
      <w:marLeft w:val="0"/>
      <w:marRight w:val="0"/>
      <w:marTop w:val="0"/>
      <w:marBottom w:val="0"/>
      <w:divBdr>
        <w:top w:val="none" w:sz="0" w:space="0" w:color="auto"/>
        <w:left w:val="none" w:sz="0" w:space="0" w:color="auto"/>
        <w:bottom w:val="none" w:sz="0" w:space="0" w:color="auto"/>
        <w:right w:val="none" w:sz="0" w:space="0" w:color="auto"/>
      </w:divBdr>
    </w:div>
    <w:div w:id="1125389989">
      <w:bodyDiv w:val="1"/>
      <w:marLeft w:val="0"/>
      <w:marRight w:val="0"/>
      <w:marTop w:val="0"/>
      <w:marBottom w:val="0"/>
      <w:divBdr>
        <w:top w:val="none" w:sz="0" w:space="0" w:color="auto"/>
        <w:left w:val="none" w:sz="0" w:space="0" w:color="auto"/>
        <w:bottom w:val="none" w:sz="0" w:space="0" w:color="auto"/>
        <w:right w:val="none" w:sz="0" w:space="0" w:color="auto"/>
      </w:divBdr>
    </w:div>
    <w:div w:id="1193374187">
      <w:bodyDiv w:val="1"/>
      <w:marLeft w:val="0"/>
      <w:marRight w:val="0"/>
      <w:marTop w:val="0"/>
      <w:marBottom w:val="0"/>
      <w:divBdr>
        <w:top w:val="none" w:sz="0" w:space="0" w:color="auto"/>
        <w:left w:val="none" w:sz="0" w:space="0" w:color="auto"/>
        <w:bottom w:val="none" w:sz="0" w:space="0" w:color="auto"/>
        <w:right w:val="none" w:sz="0" w:space="0" w:color="auto"/>
      </w:divBdr>
    </w:div>
    <w:div w:id="1486240905">
      <w:bodyDiv w:val="1"/>
      <w:marLeft w:val="0"/>
      <w:marRight w:val="0"/>
      <w:marTop w:val="0"/>
      <w:marBottom w:val="0"/>
      <w:divBdr>
        <w:top w:val="none" w:sz="0" w:space="0" w:color="auto"/>
        <w:left w:val="none" w:sz="0" w:space="0" w:color="auto"/>
        <w:bottom w:val="none" w:sz="0" w:space="0" w:color="auto"/>
        <w:right w:val="none" w:sz="0" w:space="0" w:color="auto"/>
      </w:divBdr>
    </w:div>
    <w:div w:id="1768040308">
      <w:bodyDiv w:val="1"/>
      <w:marLeft w:val="0"/>
      <w:marRight w:val="0"/>
      <w:marTop w:val="0"/>
      <w:marBottom w:val="0"/>
      <w:divBdr>
        <w:top w:val="none" w:sz="0" w:space="0" w:color="auto"/>
        <w:left w:val="none" w:sz="0" w:space="0" w:color="auto"/>
        <w:bottom w:val="none" w:sz="0" w:space="0" w:color="auto"/>
        <w:right w:val="none" w:sz="0" w:space="0" w:color="auto"/>
      </w:divBdr>
    </w:div>
    <w:div w:id="1797944266">
      <w:bodyDiv w:val="1"/>
      <w:marLeft w:val="0"/>
      <w:marRight w:val="0"/>
      <w:marTop w:val="0"/>
      <w:marBottom w:val="0"/>
      <w:divBdr>
        <w:top w:val="none" w:sz="0" w:space="0" w:color="auto"/>
        <w:left w:val="none" w:sz="0" w:space="0" w:color="auto"/>
        <w:bottom w:val="none" w:sz="0" w:space="0" w:color="auto"/>
        <w:right w:val="none" w:sz="0" w:space="0" w:color="auto"/>
      </w:divBdr>
    </w:div>
    <w:div w:id="191798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E&amp;q=https%3A%2F%2Fwww.srbija.gov.rs%2Fsekcija%2Fen%2Fforeign-polic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oogle.com/url?sa=E&amp;q=https%3A%2F%2Fdocs.wto.org%2Fdol2fe%2FPages%2FSS%2Fdirectdoc.aspx%3Ffilename%3Dq%3A%2FIP%2FC%2FW669R1.pdf%26Open%3DTrue" TargetMode="External"/><Relationship Id="rId4" Type="http://schemas.openxmlformats.org/officeDocument/2006/relationships/settings" Target="settings.xml"/><Relationship Id="rId9" Type="http://schemas.openxmlformats.org/officeDocument/2006/relationships/hyperlink" Target="https://www.google.com/url?sa=E&amp;q=https%3A%2F%2Fwww.unesco.org%2Fen%2Fmemory-world%2Ffirst-summit-meeting-non-aligned-movement-archives"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C54BD-E5D3-49F8-B74C-C7EC832A4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Pages>
  <Words>3784</Words>
  <Characters>21573</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 - Rychard De Lima Monteiro</dc:creator>
  <cp:keywords/>
  <dc:description/>
  <cp:lastModifiedBy>RYCHARD DE LIMA MONTEIRO - 08970842411</cp:lastModifiedBy>
  <cp:revision>14</cp:revision>
  <cp:lastPrinted>2025-06-03T15:42:00Z</cp:lastPrinted>
  <dcterms:created xsi:type="dcterms:W3CDTF">2025-03-13T11:35:00Z</dcterms:created>
  <dcterms:modified xsi:type="dcterms:W3CDTF">2025-06-03T15:48:00Z</dcterms:modified>
</cp:coreProperties>
</file>