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360" w:lineRule="auto"/>
        <w:jc w:val="center"/>
        <w:rPr>
          <w:sz w:val="24"/>
          <w:szCs w:val="24"/>
        </w:rPr>
      </w:pPr>
      <w:r w:rsidDel="00000000" w:rsidR="00000000" w:rsidRPr="00000000">
        <w:rPr>
          <w:b w:val="1"/>
          <w:sz w:val="24"/>
          <w:szCs w:val="24"/>
          <w:rtl w:val="0"/>
        </w:rPr>
        <w:t xml:space="preserve">O ACESSO À PROTEÇÃO SOCIAL PÚBLICA POR PESCADORES(AS) ARTESANAIS: </w:t>
      </w:r>
      <w:r w:rsidDel="00000000" w:rsidR="00000000" w:rsidRPr="00000000">
        <w:rPr>
          <w:sz w:val="24"/>
          <w:szCs w:val="24"/>
          <w:rtl w:val="0"/>
        </w:rPr>
        <w:t xml:space="preserve">um desafio estrutural no Brasil</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Ângela Elizabeth Ferreira de Assis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Melissa Mayumi Shirai Martins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Francisca Rejane Bezerra Andrade</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Rafael Arredondo Quijada</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ind w:left="2834.645669291339" w:firstLine="0"/>
        <w:jc w:val="both"/>
        <w:rPr>
          <w:sz w:val="20"/>
          <w:szCs w:val="20"/>
          <w:vertAlign w:val="baseline"/>
        </w:rPr>
      </w:pPr>
      <w:r w:rsidDel="00000000" w:rsidR="00000000" w:rsidRPr="00000000">
        <w:rPr>
          <w:sz w:val="20"/>
          <w:szCs w:val="20"/>
          <w:rtl w:val="0"/>
        </w:rPr>
        <w:t xml:space="preserve">O presente artigo discute as barreiras estruturais que limitam o acesso dos(as) pescadores(as) artesanais à proteção social pública no Brasil. A partir de uma revisão de literatura, destaca-se modalidades distintas de proteção social, cuja abrangência e efetividade variam conforme os contextos econômico, sócio-histórico e político. Verificou-se que, diante de um modelo de sociedade neoliberal, a proteção social está condicionada ao valor produtivo que os indivíduos possuem para reprodução do capitalismo, e não visa suprir integralmente às necessidades básicas dos(as) trabalhadores(as) da pesca artesanal. Pontua-se que o acesso às políticas sociais, neste caso, ocorre de maneira restrita e residual, condicionado pelas dinâmicas locais de inserção na atividade pesqueira, marcado pela informalidade e fragilidade das políticas públicas voltadas ao setor.</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Pesca Artesanal; Proteção Social; Políticas Sociais; Políticas Públicas</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article discusses the structural barriers that limit artisanal fishermen's access to public social protection in Brazil. Based on a literature review, it highlights different forms of social protection, whose scope and effectiveness vary according to economic, socio-historical and political contexts. It was found that, in the face of a neoliberal model of society, social protection is conditioned to the productive value that individuals have for the reproduction of capitalism, and does not aim to fully meet the basic needs of artisanal fishing workers. In this case, access to social policies is restricted and residual, conditioned by the local dynamics of inclusion in the fishing industry, marked by informality and the fragility of public policies aimed at the sector.</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Artisanal Fishing; Social Protection; Social Policies; Public Policies.</w:t>
      </w:r>
    </w:p>
    <w:p w:rsidR="00000000" w:rsidDel="00000000" w:rsidP="00000000" w:rsidRDefault="00000000" w:rsidRPr="00000000" w14:paraId="0000000F">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b w:val="1"/>
          <w:sz w:val="24"/>
          <w:szCs w:val="24"/>
          <w:vertAlign w:val="baseline"/>
          <w:rtl w:val="0"/>
        </w:rPr>
        <w:t xml:space="preserve">1</w:t>
        <w:tab/>
        <w:t xml:space="preserve">INTRODUÇÃO </w:t>
      </w: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after="200" w:line="360" w:lineRule="auto"/>
        <w:ind w:firstLine="708"/>
        <w:jc w:val="both"/>
        <w:rPr>
          <w:sz w:val="24"/>
          <w:szCs w:val="24"/>
        </w:rPr>
      </w:pPr>
      <w:r w:rsidDel="00000000" w:rsidR="00000000" w:rsidRPr="00000000">
        <w:rPr>
          <w:sz w:val="24"/>
          <w:szCs w:val="24"/>
          <w:rtl w:val="0"/>
        </w:rPr>
        <w:t xml:space="preserve">Para Esping-Andersen (1991; 1995), o Estado tem a capacidade de afetar a situação social dos indivíduos, famílias e grupos sociais, induzindo melhorias na qualidade de vida da população e buscando dar respostas às demandas sociais que podem ou não estar inscritas nos direitos sociais, as quais dizem respeito às contingências, necessidades e riscos que afetam vários dos componentes das condições de vida da população.</w:t>
      </w:r>
    </w:p>
    <w:p w:rsidR="00000000" w:rsidDel="00000000" w:rsidP="00000000" w:rsidRDefault="00000000" w:rsidRPr="00000000" w14:paraId="00000014">
      <w:pPr>
        <w:spacing w:after="200" w:line="360" w:lineRule="auto"/>
        <w:ind w:firstLine="708"/>
        <w:jc w:val="both"/>
        <w:rPr>
          <w:sz w:val="24"/>
          <w:szCs w:val="24"/>
        </w:rPr>
      </w:pPr>
      <w:r w:rsidDel="00000000" w:rsidR="00000000" w:rsidRPr="00000000">
        <w:rPr>
          <w:sz w:val="24"/>
          <w:szCs w:val="24"/>
          <w:rtl w:val="0"/>
        </w:rPr>
        <w:t xml:space="preserve">Neste caso, a proteção social pública, com base em Esping-Andersen (1991; 1995); Pochmann (2004) e Pereira (2011; 2013), constitui um dos pilares fundamentais para a promoção da cidadania e da justiça social, especialmente em contextos marcados por desigualdades estruturais. No Brasil, esse sistema se materializa por meio de políticas públicas que buscam suprir as necessidades básicas como garantia de direitos básicos como saúde, assistência social, previdência e segurança do trabalho (Pereira, 2011). No entanto, o acesso efetivo a esses direitos ainda é marcado por profundas disparidades, especialmente entre trabalhadores(as) inseridos(as) em formas de ocupação consideradas informais ou periféricas, como os(as) pescadores(as) artesanais. </w:t>
      </w:r>
    </w:p>
    <w:p w:rsidR="00000000" w:rsidDel="00000000" w:rsidP="00000000" w:rsidRDefault="00000000" w:rsidRPr="00000000" w14:paraId="00000015">
      <w:pPr>
        <w:spacing w:after="200" w:line="360" w:lineRule="auto"/>
        <w:ind w:firstLine="708"/>
        <w:jc w:val="both"/>
        <w:rPr>
          <w:sz w:val="24"/>
          <w:szCs w:val="24"/>
        </w:rPr>
      </w:pPr>
      <w:r w:rsidDel="00000000" w:rsidR="00000000" w:rsidRPr="00000000">
        <w:rPr>
          <w:sz w:val="24"/>
          <w:szCs w:val="24"/>
          <w:rtl w:val="0"/>
        </w:rPr>
        <w:t xml:space="preserve">Apesar da relevância socioeconômica da pesca artesanal, pescadores(as) artesanais foram deixados de lado na formulação e implementação de políticas sociais e continuam enfrentando cotidianamente as expressões da questão social</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com a precarização das condições de vida e trabalho e as múltiplas formas de desigualdades, o que exige das instituições modernas uma postura responsiva e interventiva que seja orientada por uma análise crítica e contextualizada da realidade social.</w:t>
      </w:r>
    </w:p>
    <w:p w:rsidR="00000000" w:rsidDel="00000000" w:rsidP="00000000" w:rsidRDefault="00000000" w:rsidRPr="00000000" w14:paraId="00000016">
      <w:pPr>
        <w:spacing w:after="200" w:line="360" w:lineRule="auto"/>
        <w:ind w:firstLine="708"/>
        <w:jc w:val="both"/>
        <w:rPr>
          <w:sz w:val="24"/>
          <w:szCs w:val="24"/>
        </w:rPr>
      </w:pPr>
      <w:r w:rsidDel="00000000" w:rsidR="00000000" w:rsidRPr="00000000">
        <w:rPr>
          <w:sz w:val="24"/>
          <w:szCs w:val="24"/>
          <w:rtl w:val="0"/>
        </w:rPr>
        <w:t xml:space="preserve">Sob a perspectiva do materialismo histórico-dialético, </w:t>
      </w:r>
      <w:r w:rsidDel="00000000" w:rsidR="00000000" w:rsidRPr="00000000">
        <w:rPr>
          <w:sz w:val="24"/>
          <w:szCs w:val="24"/>
          <w:rtl w:val="0"/>
        </w:rPr>
        <w:t xml:space="preserve">a partir do marxismo clássico</w:t>
      </w:r>
      <w:r w:rsidDel="00000000" w:rsidR="00000000" w:rsidRPr="00000000">
        <w:rPr>
          <w:sz w:val="24"/>
          <w:szCs w:val="24"/>
          <w:rtl w:val="0"/>
        </w:rPr>
        <w:t xml:space="preserve"> com base em Marx e Engels (2001), compreende-se que os(as) pescadores(as) artesanais estão inseridos(as) em uma totalidade social, marcada pela contradição entre o capital e o trabalho. Sendo assim, a proteção social pública corresponde às formas de aliviar os males decorrentes do sistema capitalista, administrar os bens coletivos e o poder em si, o que acarreta contradições inerentes ao modelo de Estado que se constitui a partir do modo de produção capitalista. </w:t>
      </w:r>
    </w:p>
    <w:p w:rsidR="00000000" w:rsidDel="00000000" w:rsidP="00000000" w:rsidRDefault="00000000" w:rsidRPr="00000000" w14:paraId="00000017">
      <w:pPr>
        <w:spacing w:after="200" w:line="360" w:lineRule="auto"/>
        <w:ind w:firstLine="708.6614173228347"/>
        <w:jc w:val="both"/>
        <w:rPr>
          <w:sz w:val="24"/>
          <w:szCs w:val="24"/>
        </w:rPr>
      </w:pPr>
      <w:r w:rsidDel="00000000" w:rsidR="00000000" w:rsidRPr="00000000">
        <w:rPr>
          <w:sz w:val="24"/>
          <w:szCs w:val="24"/>
          <w:rtl w:val="0"/>
        </w:rPr>
        <w:t xml:space="preserve">A partir dessa perspectiva crítica, este artigo propõe-se a discutir as barreiras estruturais que limitam o acesso dos(as) pescadores(as) artesanais à proteção social pública no Brasil. Por meio de uma revisão de literatura, busca-se compreender como a proteção social tem sido concebida e aplicada em contextos diversos, e de que maneira essa configuração afeta trabalhadores(as) da pesca artesanal, o que </w:t>
      </w:r>
      <w:r w:rsidDel="00000000" w:rsidR="00000000" w:rsidRPr="00000000">
        <w:rPr>
          <w:color w:val="100f0d"/>
          <w:sz w:val="24"/>
          <w:szCs w:val="24"/>
          <w:rtl w:val="0"/>
        </w:rPr>
        <w:t xml:space="preserve">dará suporte à tese de doutoramento no âmbito do Programa de Pós-graduação em Políticas Públicas da Universidade Estadual do Ceará (PPGPP/UECE), bem como ao trabalho monográfico desenvolvido no Curso de Serviço Social da mesma instituição.</w:t>
      </w:r>
      <w:r w:rsidDel="00000000" w:rsidR="00000000" w:rsidRPr="00000000">
        <w:rPr>
          <w:rtl w:val="0"/>
        </w:rPr>
      </w:r>
    </w:p>
    <w:p w:rsidR="00000000" w:rsidDel="00000000" w:rsidP="00000000" w:rsidRDefault="00000000" w:rsidRPr="00000000" w14:paraId="00000018">
      <w:pPr>
        <w:spacing w:after="200" w:line="360" w:lineRule="auto"/>
        <w:ind w:firstLine="708.6614173228347"/>
        <w:jc w:val="both"/>
        <w:rPr>
          <w:sz w:val="24"/>
          <w:szCs w:val="24"/>
        </w:rPr>
      </w:pPr>
      <w:r w:rsidDel="00000000" w:rsidR="00000000" w:rsidRPr="00000000">
        <w:rPr>
          <w:sz w:val="24"/>
          <w:szCs w:val="24"/>
          <w:rtl w:val="0"/>
        </w:rPr>
        <w:t xml:space="preserve">Nos tópicos a seguir, a análise revela que a proteção social no Brasil assume diferentes formas conforme os contextos sócio-históricos, econômicos e políticos, e que, no caso da pesca artesanal, ela se apresenta de modo restrito e muitas vezes residual. Tal configuração evidencia barreiras estruturais relacionadas à falta de reconhecimento da atividade pesqueira, à fragilidade institucional das políticas públicas e à lógica seletiva do Estado capitalista, que condiciona o acesso aos direitos sociais ao valor produtivo dos sujeitos. Nesse cenário, o acesso aos mecanismos de proteção social se dá de maneira desigual e descontínua, ora se expandindo, ora se restringindo, a depender das condições materiais, políticas e institucionais disponíveis.</w:t>
      </w:r>
      <w:r w:rsidDel="00000000" w:rsidR="00000000" w:rsidRPr="00000000">
        <w:rPr>
          <w:rtl w:val="0"/>
        </w:rPr>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360" w:lineRule="auto"/>
        <w:jc w:val="both"/>
        <w:rPr>
          <w:b w:val="1"/>
          <w:sz w:val="24"/>
          <w:szCs w:val="24"/>
        </w:rPr>
      </w:pPr>
      <w:r w:rsidDel="00000000" w:rsidR="00000000" w:rsidRPr="00000000">
        <w:rPr>
          <w:b w:val="1"/>
          <w:sz w:val="24"/>
          <w:szCs w:val="24"/>
          <w:vertAlign w:val="baseline"/>
          <w:rtl w:val="0"/>
        </w:rPr>
        <w:t xml:space="preserve">2</w:t>
        <w:tab/>
        <w:t xml:space="preserve">MEDIDAS DE </w:t>
      </w:r>
      <w:r w:rsidDel="00000000" w:rsidR="00000000" w:rsidRPr="00000000">
        <w:rPr>
          <w:b w:val="1"/>
          <w:sz w:val="24"/>
          <w:szCs w:val="24"/>
          <w:rtl w:val="0"/>
        </w:rPr>
        <w:t xml:space="preserve">PROTEÇÃO SOCIAL PÚBLICA NO BRASIL</w:t>
      </w:r>
    </w:p>
    <w:p w:rsidR="00000000" w:rsidDel="00000000" w:rsidP="00000000" w:rsidRDefault="00000000" w:rsidRPr="00000000" w14:paraId="0000001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C">
      <w:pPr>
        <w:shd w:fill="ffffff" w:val="clear"/>
        <w:spacing w:after="200" w:line="360" w:lineRule="auto"/>
        <w:ind w:firstLine="708.6614173228347"/>
        <w:jc w:val="both"/>
        <w:rPr>
          <w:sz w:val="24"/>
          <w:szCs w:val="24"/>
        </w:rPr>
      </w:pPr>
      <w:r w:rsidDel="00000000" w:rsidR="00000000" w:rsidRPr="00000000">
        <w:rPr>
          <w:sz w:val="24"/>
          <w:szCs w:val="24"/>
          <w:rtl w:val="0"/>
        </w:rPr>
        <w:t xml:space="preserve">Os sistemas de proteção social, com base em Esping-Andersen (1991; 1995); Pochmann (2004); Pereira (2011; 2012; 2013),</w:t>
      </w:r>
      <w:r w:rsidDel="00000000" w:rsidR="00000000" w:rsidRPr="00000000">
        <w:rPr>
          <w:sz w:val="24"/>
          <w:szCs w:val="24"/>
          <w:rtl w:val="0"/>
        </w:rPr>
        <w:t xml:space="preserve"> </w:t>
      </w:r>
      <w:r w:rsidDel="00000000" w:rsidR="00000000" w:rsidRPr="00000000">
        <w:rPr>
          <w:sz w:val="24"/>
          <w:szCs w:val="24"/>
          <w:rtl w:val="0"/>
        </w:rPr>
        <w:t xml:space="preserve">visam proteger parte ou o conjunto de membros de uma mesma sociedade diante de adversidades enfrentadas ao longo da vida. Porém, para compreender como essas políticas ou sistemas estão estruturados para tornar a proteção social eficaz em cada país, é necessário considerar que esta concepção pode variar dependendo das condições sociais, históricas, econômicas, culturais e aspectos sociais e políticos da própria formação de cada sociedade e da posição que esta ocupa no capitalismo mundial.</w:t>
      </w:r>
    </w:p>
    <w:p w:rsidR="00000000" w:rsidDel="00000000" w:rsidP="00000000" w:rsidRDefault="00000000" w:rsidRPr="00000000" w14:paraId="0000001D">
      <w:pPr>
        <w:spacing w:after="200" w:line="360" w:lineRule="auto"/>
        <w:ind w:firstLine="709"/>
        <w:jc w:val="both"/>
        <w:rPr>
          <w:sz w:val="24"/>
          <w:szCs w:val="24"/>
        </w:rPr>
      </w:pPr>
      <w:r w:rsidDel="00000000" w:rsidR="00000000" w:rsidRPr="00000000">
        <w:rPr>
          <w:sz w:val="24"/>
          <w:szCs w:val="24"/>
          <w:rtl w:val="0"/>
        </w:rPr>
        <w:t xml:space="preserve">Ao refletir sobre a proteção social no Brasil, Pochmann (2004) remete ao contexto da ascensão da burguesia industrial e da modernização, como também situa a emergência das classes trabalhadoras urbanas como novos atores responsáveis, crescentemente, pelo aparecimento de uma agenda política direcionada à regulação das livres forças do mercado.</w:t>
      </w:r>
    </w:p>
    <w:p w:rsidR="00000000" w:rsidDel="00000000" w:rsidP="00000000" w:rsidRDefault="00000000" w:rsidRPr="00000000" w14:paraId="0000001E">
      <w:pPr>
        <w:spacing w:after="200" w:line="360" w:lineRule="auto"/>
        <w:ind w:firstLine="708"/>
        <w:jc w:val="both"/>
        <w:rPr>
          <w:sz w:val="24"/>
          <w:szCs w:val="24"/>
        </w:rPr>
      </w:pPr>
      <w:r w:rsidDel="00000000" w:rsidR="00000000" w:rsidRPr="00000000">
        <w:rPr>
          <w:sz w:val="24"/>
          <w:szCs w:val="24"/>
          <w:rtl w:val="0"/>
        </w:rPr>
        <w:t xml:space="preserve">O fim da Ditadura Militar e o processo de redemocratização criaram um contexto favorável à implementação de um sistema de proteção social, ainda que com fragilidades, a custo de lutas sociais que contaram com a expressiva participação de pescadores(as) artesanais. Por conseguinte, a Constituição Federal (CF) de 1988 e o surgimento de novas agendas políticas e econômicas deram origem ao que hoje denomina-se como Seguridade Social no país. Através da Lei Orgânica da Seguridade Social (LOSS) – Lei nº 8.212, de 24 de julho de 1991 –, ela institui-se como o tripé da proteção social brasileira.</w:t>
      </w:r>
    </w:p>
    <w:p w:rsidR="00000000" w:rsidDel="00000000" w:rsidP="00000000" w:rsidRDefault="00000000" w:rsidRPr="00000000" w14:paraId="0000001F">
      <w:pPr>
        <w:spacing w:after="200" w:line="360" w:lineRule="auto"/>
        <w:ind w:firstLine="708"/>
        <w:jc w:val="both"/>
        <w:rPr>
          <w:sz w:val="24"/>
          <w:szCs w:val="24"/>
        </w:rPr>
      </w:pPr>
      <w:r w:rsidDel="00000000" w:rsidR="00000000" w:rsidRPr="00000000">
        <w:rPr>
          <w:sz w:val="24"/>
          <w:szCs w:val="24"/>
          <w:rtl w:val="0"/>
        </w:rPr>
        <w:t xml:space="preserve">Neste caso, a lei refere-se a</w:t>
      </w:r>
      <w:r w:rsidDel="00000000" w:rsidR="00000000" w:rsidRPr="00000000">
        <w:rPr>
          <w:sz w:val="24"/>
          <w:szCs w:val="24"/>
          <w:rtl w:val="0"/>
        </w:rPr>
        <w:t xml:space="preserve">o direito à previdência social através do Instituto Nacional do Seguro Social (INSS), consolidado a partir da Lei Eloy Chaves</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também conhecida como Decreto nº 4.682/23, publicado em 24 de janeiro de 1923, mas incorporado à seguridade com a LOSS, embora nem todos os(as) trabalhadores(as) tenham sido igualmente incorporados; direito à saúde, através do Sistema Único de Saúde (SUS) criado com a  Lei nº 8080/1990; e à assistência social, por meio do Sistema Único de Assistência Social (SUAS), criado tardiamente em 15 de julho de 2005, por meio de uma resolução do Conselho Nacional da Assistência Social. </w:t>
      </w:r>
    </w:p>
    <w:p w:rsidR="00000000" w:rsidDel="00000000" w:rsidP="00000000" w:rsidRDefault="00000000" w:rsidRPr="00000000" w14:paraId="00000020">
      <w:pPr>
        <w:spacing w:after="200" w:line="360" w:lineRule="auto"/>
        <w:ind w:firstLine="708"/>
        <w:jc w:val="both"/>
        <w:rPr>
          <w:sz w:val="24"/>
          <w:szCs w:val="24"/>
        </w:rPr>
      </w:pPr>
      <w:r w:rsidDel="00000000" w:rsidR="00000000" w:rsidRPr="00000000">
        <w:rPr>
          <w:sz w:val="24"/>
          <w:szCs w:val="24"/>
          <w:rtl w:val="0"/>
        </w:rPr>
        <w:t xml:space="preserve">Observa-se que os modelos adotados no Brasil para a formulação e viabilização dessas políticas foram diferenciados. Sob influência do modelo alemão bismarckiano, o acesso aos direitos da previdência social </w:t>
      </w:r>
      <w:r w:rsidDel="00000000" w:rsidR="00000000" w:rsidRPr="00000000">
        <w:rPr>
          <w:sz w:val="24"/>
          <w:szCs w:val="24"/>
          <w:rtl w:val="0"/>
        </w:rPr>
        <w:t xml:space="preserve">ocorre</w:t>
      </w:r>
      <w:r w:rsidDel="00000000" w:rsidR="00000000" w:rsidRPr="00000000">
        <w:rPr>
          <w:sz w:val="24"/>
          <w:szCs w:val="24"/>
          <w:rtl w:val="0"/>
        </w:rPr>
        <w:t xml:space="preserve"> mediante a contribuição anterior. Enquanto as políticas de assistência social e saúde seguem o sistema inglês beveridgiano, não contributivo, com a ressalva de que no território brasileiro a assistência social será apenas para aqueles(as) que necessitam assegurar as necessidades básicas, enquanto o acesso aos serviços de saúde é universal (Behring e Boschetti, 2007).</w:t>
      </w:r>
    </w:p>
    <w:p w:rsidR="00000000" w:rsidDel="00000000" w:rsidP="00000000" w:rsidRDefault="00000000" w:rsidRPr="00000000" w14:paraId="00000021">
      <w:pPr>
        <w:spacing w:after="200" w:line="360" w:lineRule="auto"/>
        <w:ind w:firstLine="708"/>
        <w:jc w:val="both"/>
        <w:rPr>
          <w:sz w:val="24"/>
          <w:szCs w:val="24"/>
        </w:rPr>
      </w:pPr>
      <w:r w:rsidDel="00000000" w:rsidR="00000000" w:rsidRPr="00000000">
        <w:rPr>
          <w:sz w:val="24"/>
          <w:szCs w:val="24"/>
          <w:rtl w:val="0"/>
        </w:rPr>
        <w:t xml:space="preserve">Complementarmente, a discussão sobre os gastos orçamentários é relevante para a compreensão da realidade do tripé da seguridade social no Brasil. Conforme Salvador (2012), o orçamento público define a forma de ação do Estado e suas prioridades nas políticas públicas, compondo um espaço de interesses de classes pelo fundo público. Em um contexto neoliberal, são realizadas “reformas” no orçamento para a acumulação do capital e um subsequente enfraquecimento das políticas sociais, restringindo a cobertura da proteção social. Compreendendo que os(as) pescadores(as) contribuem com impostos e tributos indiretos e, assim, para os recursos do fundo público, a extração da mais-valia socialmente produzida por essas comunidades pouco garante o acesso aos direitos previdenciários, assistência social e saúde, diante da limitação que é estabelecida na Lei Orçamentária Anual (LOA) para a seguridade social. </w:t>
      </w:r>
    </w:p>
    <w:p w:rsidR="00000000" w:rsidDel="00000000" w:rsidP="00000000" w:rsidRDefault="00000000" w:rsidRPr="00000000" w14:paraId="00000022">
      <w:pPr>
        <w:spacing w:after="200" w:line="360" w:lineRule="auto"/>
        <w:ind w:firstLine="708"/>
        <w:jc w:val="both"/>
        <w:rPr>
          <w:sz w:val="24"/>
          <w:szCs w:val="24"/>
        </w:rPr>
      </w:pPr>
      <w:r w:rsidDel="00000000" w:rsidR="00000000" w:rsidRPr="00000000">
        <w:rPr>
          <w:sz w:val="24"/>
          <w:szCs w:val="24"/>
          <w:rtl w:val="0"/>
        </w:rPr>
        <w:t xml:space="preserve">Com isso, pontua-se que, apesar dos</w:t>
      </w:r>
      <w:r w:rsidDel="00000000" w:rsidR="00000000" w:rsidRPr="00000000">
        <w:rPr>
          <w:sz w:val="24"/>
          <w:szCs w:val="24"/>
          <w:rtl w:val="0"/>
        </w:rPr>
        <w:t xml:space="preserve"> avanços em termos de garantias estatais, a implementação do modelo de proteção social pública no Brasil foi atravessada por contradições estruturais que revelam as limitações de um Estado comprometido com a acumulação capitalista, conforme apontado por Pochmann (2004). Essas medidas se consolidaram sob a ótica de interesses privados, ou seja, gestões estatais sintonizadas com interesses particulares, “[...] nem sempre tendo como prioridade o atendimento das demandas e a garantia dos direitos sociais em sua totalidade” (Idem, p. 7). Admite-se assim que, em virtude de suas características específicas de país periférico e sua posição no capitalismo dependente, o Brasil avançou em “[...] várias medidas de proteção social sem que houvesse ruptura com as causas da exclusão social e da miséria”. (Ibidem). </w:t>
      </w:r>
    </w:p>
    <w:p w:rsidR="00000000" w:rsidDel="00000000" w:rsidP="00000000" w:rsidRDefault="00000000" w:rsidRPr="00000000" w14:paraId="00000023">
      <w:pPr>
        <w:shd w:fill="ffffff" w:val="clear"/>
        <w:spacing w:after="200" w:line="360" w:lineRule="auto"/>
        <w:ind w:firstLine="708"/>
        <w:jc w:val="both"/>
        <w:rPr>
          <w:sz w:val="24"/>
          <w:szCs w:val="24"/>
        </w:rPr>
      </w:pPr>
      <w:r w:rsidDel="00000000" w:rsidR="00000000" w:rsidRPr="00000000">
        <w:rPr>
          <w:sz w:val="24"/>
          <w:szCs w:val="24"/>
          <w:rtl w:val="0"/>
        </w:rPr>
        <w:t xml:space="preserve">Sob a perspectiva neoliberal, esse modelo de proteção social retoma a maximização de valores individualistas que, segundo Dardot e Laval (2016), fortalecem o poder estrutural do capital, através de estratégias como: o incentivo a auto satisfazer as necessidades e a concepção de que é da natureza humana o ímpeto para maximizar o prazer por meio da competição e do consumo constante. Deste modo, adota-se o entendimento de que não há instituição mais eficiente, eficaz e democrática de provisão do bem-estar humano do que o mercado, e que não há melhor fonte de bem-estar humano do que o trabalho, visto que, por meio deste, se criam os meios dignos de autossustentação.</w:t>
      </w:r>
    </w:p>
    <w:p w:rsidR="00000000" w:rsidDel="00000000" w:rsidP="00000000" w:rsidRDefault="00000000" w:rsidRPr="00000000" w14:paraId="00000024">
      <w:pPr>
        <w:widowControl w:val="0"/>
        <w:spacing w:after="200" w:line="360" w:lineRule="auto"/>
        <w:ind w:firstLine="708"/>
        <w:jc w:val="both"/>
        <w:rPr>
          <w:sz w:val="24"/>
          <w:szCs w:val="24"/>
        </w:rPr>
      </w:pPr>
      <w:r w:rsidDel="00000000" w:rsidR="00000000" w:rsidRPr="00000000">
        <w:rPr>
          <w:sz w:val="24"/>
          <w:szCs w:val="24"/>
          <w:rtl w:val="0"/>
        </w:rPr>
        <w:t xml:space="preserve">Nesse entendimento, aqueles(as) que sobrevivem da pesca artesanal configuram um dos segmentos que evidencia as incongruências entre o ideal de universalização inscrito na CF/1988 e a realidade concreta das políticas públicas no Brasil. São trabalhadores(as) que fizeram parte da construção dos direitos sociais, mas, como apresenta-se a seguir, lidam com inúmeros obstáculos estruturais e institucionais que limitam seu acesso aos bens e serviços públicos, fazendo com que permaneçam à deriva das garantias estatais.</w:t>
      </w:r>
    </w:p>
    <w:p w:rsidR="00000000" w:rsidDel="00000000" w:rsidP="00000000" w:rsidRDefault="00000000" w:rsidRPr="00000000" w14:paraId="0000002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rtl w:val="0"/>
        </w:rPr>
        <w:t xml:space="preserve">3</w:t>
        <w:tab/>
        <w:t xml:space="preserve">O ACESSO ÀS MEDIDAS DE PROTEÇÃO SOCIAL PÚBLICA POR PESCADORES(AS) NO BRASIL </w:t>
      </w:r>
    </w:p>
    <w:p w:rsidR="00000000" w:rsidDel="00000000" w:rsidP="00000000" w:rsidRDefault="00000000" w:rsidRPr="00000000" w14:paraId="0000002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8">
      <w:pPr>
        <w:spacing w:after="240" w:before="0" w:line="360" w:lineRule="auto"/>
        <w:ind w:left="0" w:firstLine="708.6614173228347"/>
        <w:jc w:val="both"/>
        <w:rPr>
          <w:sz w:val="24"/>
          <w:szCs w:val="24"/>
        </w:rPr>
      </w:pPr>
      <w:r w:rsidDel="00000000" w:rsidR="00000000" w:rsidRPr="00000000">
        <w:rPr>
          <w:sz w:val="24"/>
          <w:szCs w:val="24"/>
          <w:rtl w:val="0"/>
        </w:rPr>
        <w:t xml:space="preserve">Do ponto de vista da base do materialismo histórico-dialético, compreende-se que o acesso aos direitos sociais não se dá de forma universal ou neutra, mas é condicionado por mediações estruturais como classe, território, gênero e raça (Iamamoto, 2008; Netto, 2011). Nesse sentido, os(as) pescadores(as) artesanais ocupam uma posição periférica dentro da lógica de reconhecimento estatal, uma vez que a atividade pesqueira artesanal, marcada pela informalidade e pela reprodução familiar do trabalho, não se adequa aos moldes tradicionais do trabalho assalariado, parâmetro historicamente utilizado para a concessão da proteção social pública (Castel, 1998; Pochmann, 2004).</w:t>
      </w:r>
    </w:p>
    <w:p w:rsidR="00000000" w:rsidDel="00000000" w:rsidP="00000000" w:rsidRDefault="00000000" w:rsidRPr="00000000" w14:paraId="00000029">
      <w:pPr>
        <w:spacing w:after="240" w:before="0" w:line="360" w:lineRule="auto"/>
        <w:ind w:left="0" w:firstLine="708.6614173228347"/>
        <w:jc w:val="both"/>
        <w:rPr>
          <w:sz w:val="24"/>
          <w:szCs w:val="24"/>
        </w:rPr>
      </w:pPr>
      <w:r w:rsidDel="00000000" w:rsidR="00000000" w:rsidRPr="00000000">
        <w:rPr>
          <w:sz w:val="24"/>
          <w:szCs w:val="24"/>
          <w:rtl w:val="0"/>
        </w:rPr>
        <w:t xml:space="preserve">A ausência de políticas públicas efetivas é agravada por uma série de barreiras estruturais. Entre elas, destaca-se as especificidades da atividade pesqueira, visto que pescadores(as) artesanais realizam longas jornadas de trabalho como forma de sobrevivência na informalidade, podendo ultrapassar 100 horas semanais, sem descanso semanal e sem férias remuneradas (Ministério da Saúde, 2018). A sobrecarga de trabalho pode desencadear doenças e acidentes ocupacionais, como Lesões por Esforços Repetitivos (LER), câncer de pele, dores na coluna, afogamentos, cortes, quedas, entre outros. Essas questões de saúde devem ser acompanhadas nos Centros de Referência em Saúde do Trabalhador (CEREST) e por outras unidades públicas de saúde, mas sobretudo notificadas através dos atendimentos como decorrente da exaustão do trabalho pesqueiro, para que as políticas de saúde sejam assertivas nos monitoramentos dos riscos e formas de prevenção a esses trabalhadores(as). </w:t>
      </w:r>
    </w:p>
    <w:p w:rsidR="00000000" w:rsidDel="00000000" w:rsidP="00000000" w:rsidRDefault="00000000" w:rsidRPr="00000000" w14:paraId="0000002A">
      <w:pPr>
        <w:spacing w:after="240" w:before="0" w:line="360" w:lineRule="auto"/>
        <w:ind w:left="0" w:firstLine="708.6614173228347"/>
        <w:jc w:val="both"/>
        <w:rPr>
          <w:sz w:val="24"/>
          <w:szCs w:val="24"/>
        </w:rPr>
      </w:pPr>
      <w:r w:rsidDel="00000000" w:rsidR="00000000" w:rsidRPr="00000000">
        <w:rPr>
          <w:sz w:val="24"/>
          <w:szCs w:val="24"/>
          <w:rtl w:val="0"/>
        </w:rPr>
        <w:t xml:space="preserve">Ainda com base nas condições de trabalho, sublinha-se a burocracia e a informalidade, com dificuldades recorrentes na comprovação do exercício da atividade para acessar benefícios como o Seguro Defeso e a aposentadoria por tempo de serviço. Soma-se a isso a falta de reconhecimento e visibilidade institucional, que exclui os(as) pescadores(as) de políticas sociais por não considerar o trabalho artesanal como produtivo ou formal, reforçando sua marginalização. Além disso,historicamente os(as) pescadores(as) fazem parte de grupos oprimidos desde o Brasil Colônia, como comunidades indígenas e negros (Silva, 1988). Esse fato pode colaborar para a compreensão sobre essa exclusão e, consequentemente, os desafios em acessar direitos sociais em plena contemporaneidade. </w:t>
      </w:r>
    </w:p>
    <w:p w:rsidR="00000000" w:rsidDel="00000000" w:rsidP="00000000" w:rsidRDefault="00000000" w:rsidRPr="00000000" w14:paraId="0000002B">
      <w:pPr>
        <w:spacing w:after="240" w:before="0" w:line="360" w:lineRule="auto"/>
        <w:ind w:left="0" w:firstLine="708.6614173228347"/>
        <w:jc w:val="both"/>
        <w:rPr>
          <w:sz w:val="24"/>
          <w:szCs w:val="24"/>
        </w:rPr>
      </w:pPr>
      <w:r w:rsidDel="00000000" w:rsidR="00000000" w:rsidRPr="00000000">
        <w:rPr>
          <w:sz w:val="24"/>
          <w:szCs w:val="24"/>
          <w:rtl w:val="0"/>
        </w:rPr>
        <w:t xml:space="preserve">Outro elemento central é a desigualdade regional e territorial, marcada pela ausência do Estado em comunidades tradicionais, especialmente em áreas ribeirinhas, manguezais e regiões de difícil acesso. Nesses territórios, a precariedade de infraestrutura e a escassez de serviços públicos inviabilizam a garantia de direitos e favorecem dinâmicas de vulnerabilidade social.</w:t>
      </w:r>
    </w:p>
    <w:p w:rsidR="00000000" w:rsidDel="00000000" w:rsidP="00000000" w:rsidRDefault="00000000" w:rsidRPr="00000000" w14:paraId="0000002C">
      <w:pPr>
        <w:spacing w:after="240" w:before="0" w:line="360" w:lineRule="auto"/>
        <w:ind w:left="0" w:firstLine="708.6614173228347"/>
        <w:jc w:val="both"/>
        <w:rPr>
          <w:sz w:val="24"/>
          <w:szCs w:val="24"/>
        </w:rPr>
      </w:pPr>
      <w:r w:rsidDel="00000000" w:rsidR="00000000" w:rsidRPr="00000000">
        <w:rPr>
          <w:sz w:val="24"/>
          <w:szCs w:val="24"/>
          <w:rtl w:val="0"/>
        </w:rPr>
        <w:t xml:space="preserve">As questões de gênero e interseccionalidade também merecem destaque, visto que mulheres pescadoras, indígenas, quilombolas e integrantes de povos e comunidades tradicionais enfrentam obstáculos múltiplos e específicos para acessar políticas públicas, sendo frequentemente invisibilizadas nas normativas e nos instrumentos de registro (Siliprandi, 2015; FAO, 2020). Por tanto, a divisão sexual do trabalho, aliada à desvalorização das atividades realizadas pelas mulheres, como beneficiamento, coleta e comercialização, reforça a exclusão e dificulta o acesso à previdência e aos benefícios assistenciais.</w:t>
      </w:r>
    </w:p>
    <w:p w:rsidR="00000000" w:rsidDel="00000000" w:rsidP="00000000" w:rsidRDefault="00000000" w:rsidRPr="00000000" w14:paraId="0000002D">
      <w:pPr>
        <w:spacing w:after="240" w:before="0" w:line="360" w:lineRule="auto"/>
        <w:ind w:left="0" w:firstLine="708.6614173228347"/>
        <w:jc w:val="both"/>
        <w:rPr>
          <w:sz w:val="24"/>
          <w:szCs w:val="24"/>
        </w:rPr>
      </w:pPr>
      <w:r w:rsidDel="00000000" w:rsidR="00000000" w:rsidRPr="00000000">
        <w:rPr>
          <w:sz w:val="24"/>
          <w:szCs w:val="24"/>
          <w:rtl w:val="0"/>
        </w:rPr>
        <w:t xml:space="preserve">A participação política dessa população através de movimentos sociais e organizações da sociedade civil, por exemplo, podem tensionar o Estado para a concessão de direitos sociais e interesses coletivos, como o Movimento de Pescadores e Pescadoras Artesanais (MPA), a Articulação Nacional das Pescadoras (ANP), a Comissão da Pastoral dos Pescadores (CPP), entre outros. O Grito da Pesca exemplifica como uma mobilização nacional, que ocorre anualmente em Brasília(DF), expressa reivindicações e resistência (Ministério da Pesca e Aquicultura, 2024). </w:t>
      </w:r>
    </w:p>
    <w:p w:rsidR="00000000" w:rsidDel="00000000" w:rsidP="00000000" w:rsidRDefault="00000000" w:rsidRPr="00000000" w14:paraId="0000002E">
      <w:pPr>
        <w:spacing w:after="240" w:before="0" w:line="360" w:lineRule="auto"/>
        <w:ind w:left="0" w:firstLine="708.6614173228347"/>
        <w:jc w:val="both"/>
        <w:rPr>
          <w:sz w:val="24"/>
          <w:szCs w:val="24"/>
        </w:rPr>
      </w:pPr>
      <w:r w:rsidDel="00000000" w:rsidR="00000000" w:rsidRPr="00000000">
        <w:rPr>
          <w:sz w:val="24"/>
          <w:szCs w:val="24"/>
          <w:rtl w:val="0"/>
        </w:rPr>
        <w:t xml:space="preserve">No entanto, observa-se a criminalização desses movimentos, atrelados aos conflitos fundiários como fatores que evidenciam as disputas por direito ao território e à prática da pesca tradicional. A expansão do agronegócio, a implementação de empreendimentos turísticos e industriais e a criação de unidades de conservação sem participação das comunidades têm contribuído para o cerceamento das práticas pesqueiras, a expropriação dos territórios e a criminalização das formas de uso tradicional dos recursos naturais (Acselrad, 2010).</w:t>
      </w:r>
    </w:p>
    <w:p w:rsidR="00000000" w:rsidDel="00000000" w:rsidP="00000000" w:rsidRDefault="00000000" w:rsidRPr="00000000" w14:paraId="0000002F">
      <w:pPr>
        <w:spacing w:after="240" w:before="0" w:line="360" w:lineRule="auto"/>
        <w:ind w:left="0" w:firstLine="708.6614173228347"/>
        <w:jc w:val="both"/>
        <w:rPr>
          <w:sz w:val="24"/>
          <w:szCs w:val="24"/>
        </w:rPr>
      </w:pPr>
      <w:r w:rsidDel="00000000" w:rsidR="00000000" w:rsidRPr="00000000">
        <w:rPr>
          <w:sz w:val="24"/>
          <w:szCs w:val="24"/>
          <w:rtl w:val="0"/>
        </w:rPr>
        <w:t xml:space="preserve">Ainda que o marco legal reconheça esses sujeitos como parte dos Povos e Comunidades Tradicionais (PCTs), com direitos específicos assegurados em normas como o Decreto nº 6.040/2007 e diretrizes da Política Nacional de Assistência Social (PNAS), a distância entre a legislação e a efetividade concreta desses direitos é profunda. Mesmo com o reconhecimento formal, o acesso à seguridade social permanece limitado e condicionado por uma lógica meritocrática, produtivista e, muitas vezes, punitiva – que retoma práticas assistenciais arcaicas baseadas no controle e na culpabilização da pobreza, como denunciado por Pochmann (2004) e Pereira (2013).</w:t>
      </w:r>
    </w:p>
    <w:p w:rsidR="00000000" w:rsidDel="00000000" w:rsidP="00000000" w:rsidRDefault="00000000" w:rsidRPr="00000000" w14:paraId="00000030">
      <w:pPr>
        <w:spacing w:after="240" w:before="0" w:line="360" w:lineRule="auto"/>
        <w:ind w:left="0" w:firstLine="708.6614173228347"/>
        <w:jc w:val="both"/>
        <w:rPr>
          <w:rFonts w:ascii="Times New Roman" w:cs="Times New Roman" w:eastAsia="Times New Roman" w:hAnsi="Times New Roman"/>
          <w:sz w:val="24"/>
          <w:szCs w:val="24"/>
        </w:rPr>
      </w:pPr>
      <w:r w:rsidDel="00000000" w:rsidR="00000000" w:rsidRPr="00000000">
        <w:rPr>
          <w:sz w:val="24"/>
          <w:szCs w:val="24"/>
          <w:rtl w:val="0"/>
        </w:rPr>
        <w:t xml:space="preserve">Dessa forma, os(as) pescadores(as) artesanais são empurrados(as) para uma condição de cidadania fragmentada, onde os direitos são negociados de maneira precária, dependentes da comprovação de produtividade e adaptabilidade aos critérios impostos pelo Estado. Esse cenário revela a urgência de repensar a proteção social não como privilégio condicionado ao trabalho formal, mas como direito universal orientado pela dignidade humana, pela justiça social e pelo respeito à diversidade dos modos de vida.</w:t>
      </w:r>
      <w:r w:rsidDel="00000000" w:rsidR="00000000" w:rsidRPr="00000000">
        <w:rPr>
          <w:rtl w:val="0"/>
        </w:rPr>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3">
      <w:pPr>
        <w:spacing w:after="240" w:before="240" w:line="360" w:lineRule="auto"/>
        <w:ind w:left="0" w:firstLine="708.6614173228347"/>
        <w:jc w:val="both"/>
        <w:rPr>
          <w:sz w:val="24"/>
          <w:szCs w:val="24"/>
        </w:rPr>
      </w:pPr>
      <w:r w:rsidDel="00000000" w:rsidR="00000000" w:rsidRPr="00000000">
        <w:rPr>
          <w:sz w:val="24"/>
          <w:szCs w:val="24"/>
          <w:rtl w:val="0"/>
        </w:rPr>
        <w:t xml:space="preserve">O acesso à proteção social pública por pescadores(as) artesanais no Brasil é limitado por barreiras estruturais persistentes, como a informalidade do trabalho, a invisibilidade institucional e a prevalência de uma lógica neoliberal que condiciona direitos ao desempenho produtivo. Nesse cenário, os direitos sociais deixam de ser garantias universais e passam a ser distribuídos de maneira seletiva e residual, desconsiderando as especificidades desses(as) trabalhadores(as).</w:t>
      </w:r>
    </w:p>
    <w:p w:rsidR="00000000" w:rsidDel="00000000" w:rsidP="00000000" w:rsidRDefault="00000000" w:rsidRPr="00000000" w14:paraId="00000034">
      <w:pPr>
        <w:spacing w:after="240" w:before="240" w:line="360" w:lineRule="auto"/>
        <w:ind w:left="0" w:firstLine="708.6614173228347"/>
        <w:jc w:val="both"/>
        <w:rPr>
          <w:sz w:val="24"/>
          <w:szCs w:val="24"/>
        </w:rPr>
      </w:pPr>
      <w:r w:rsidDel="00000000" w:rsidR="00000000" w:rsidRPr="00000000">
        <w:rPr>
          <w:sz w:val="24"/>
          <w:szCs w:val="24"/>
          <w:rtl w:val="0"/>
        </w:rPr>
        <w:t xml:space="preserve">Diante desses desafios, propõe-se o aprofundamento de pesquisas empíricas que dialoguem diretamente com os(as) trabalhadores(as) da pesca artesanal, com foco nas diferentes realidades regionais, nas desigualdades de gênero e nas estratégias locais de resistência e cuidado. Investigações futuras podem contribuir para identificar boas práticas, avaliar os impactos das políticas existentes e propor novos modelos de proteção social mais justos e inclusivos.</w:t>
      </w:r>
    </w:p>
    <w:p w:rsidR="00000000" w:rsidDel="00000000" w:rsidP="00000000" w:rsidRDefault="00000000" w:rsidRPr="00000000" w14:paraId="00000035">
      <w:pPr>
        <w:spacing w:after="240" w:before="240" w:line="360" w:lineRule="auto"/>
        <w:ind w:left="0" w:firstLine="708.6614173228347"/>
        <w:jc w:val="both"/>
        <w:rPr>
          <w:sz w:val="24"/>
          <w:szCs w:val="24"/>
        </w:rPr>
      </w:pPr>
      <w:r w:rsidDel="00000000" w:rsidR="00000000" w:rsidRPr="00000000">
        <w:rPr>
          <w:sz w:val="24"/>
          <w:szCs w:val="24"/>
          <w:rtl w:val="0"/>
        </w:rPr>
        <w:t xml:space="preserve">Por fim, compreende-se a necessidade de repensar a proteção social como direito humano incondicional, superando a lógica produtivista e reconhecendo a dignidade e a diversidade do trabalho vivido nos territórios tradicionais. A inclusão plena de pescadores(as) artesanais no sistema de proteção social não deve ser tratada como exceção, mas como expressão concreta de justiça social. O que exige uma atuação integrada entre Estado, organizações da sociedade civil e movimentos sociais, com políticas que priorizem o reconhecimento da pesca artesanal como atividade fundamental para a soberania alimentar, a cultura local e a economia solidária.</w:t>
      </w:r>
    </w:p>
    <w:p w:rsidR="00000000" w:rsidDel="00000000" w:rsidP="00000000" w:rsidRDefault="00000000" w:rsidRPr="00000000" w14:paraId="00000036">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37">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8">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9">
      <w:pPr>
        <w:spacing w:after="240" w:before="240" w:line="240" w:lineRule="auto"/>
        <w:jc w:val="both"/>
        <w:rPr>
          <w:sz w:val="24"/>
          <w:szCs w:val="24"/>
        </w:rPr>
      </w:pPr>
      <w:r w:rsidDel="00000000" w:rsidR="00000000" w:rsidRPr="00000000">
        <w:rPr>
          <w:sz w:val="24"/>
          <w:szCs w:val="24"/>
          <w:rtl w:val="0"/>
        </w:rPr>
        <w:t xml:space="preserve">ACSELRAD, Henri. Ambientalização das lutas sociais: o caso do movimento por justiça ambiental. </w:t>
      </w:r>
      <w:r w:rsidDel="00000000" w:rsidR="00000000" w:rsidRPr="00000000">
        <w:rPr>
          <w:b w:val="1"/>
          <w:sz w:val="24"/>
          <w:szCs w:val="24"/>
          <w:rtl w:val="0"/>
        </w:rPr>
        <w:t xml:space="preserve">Estudos Avançados</w:t>
      </w:r>
      <w:r w:rsidDel="00000000" w:rsidR="00000000" w:rsidRPr="00000000">
        <w:rPr>
          <w:sz w:val="24"/>
          <w:szCs w:val="24"/>
          <w:rtl w:val="0"/>
        </w:rPr>
        <w:t xml:space="preserve">, São Paulo, v. 24, n. 68, p. 103–119, maio/ago. 2010.</w:t>
      </w:r>
    </w:p>
    <w:p w:rsidR="00000000" w:rsidDel="00000000" w:rsidP="00000000" w:rsidRDefault="00000000" w:rsidRPr="00000000" w14:paraId="0000003A">
      <w:pPr>
        <w:spacing w:after="240" w:before="240" w:line="240" w:lineRule="auto"/>
        <w:jc w:val="both"/>
        <w:rPr>
          <w:sz w:val="24"/>
          <w:szCs w:val="24"/>
        </w:rPr>
      </w:pPr>
      <w:r w:rsidDel="00000000" w:rsidR="00000000" w:rsidRPr="00000000">
        <w:rPr>
          <w:sz w:val="24"/>
          <w:szCs w:val="24"/>
          <w:rtl w:val="0"/>
        </w:rPr>
        <w:t xml:space="preserve">BRASIL. Ministério da Saúde. Secretária de Gestão Estratégica e Participativa. </w:t>
      </w:r>
      <w:r w:rsidDel="00000000" w:rsidR="00000000" w:rsidRPr="00000000">
        <w:rPr>
          <w:b w:val="1"/>
          <w:sz w:val="24"/>
          <w:szCs w:val="24"/>
          <w:rtl w:val="0"/>
        </w:rPr>
        <w:t xml:space="preserve">A saúde das pescadoras artesanais.</w:t>
      </w:r>
      <w:r w:rsidDel="00000000" w:rsidR="00000000" w:rsidRPr="00000000">
        <w:rPr>
          <w:sz w:val="24"/>
          <w:szCs w:val="24"/>
          <w:rtl w:val="0"/>
        </w:rPr>
        <w:t xml:space="preserve"> Brasília, DF: Ministério da Saúde, 2018. </w:t>
      </w:r>
    </w:p>
    <w:p w:rsidR="00000000" w:rsidDel="00000000" w:rsidP="00000000" w:rsidRDefault="00000000" w:rsidRPr="00000000" w14:paraId="0000003B">
      <w:pPr>
        <w:spacing w:after="240" w:before="240" w:line="240" w:lineRule="auto"/>
        <w:jc w:val="both"/>
        <w:rPr>
          <w:sz w:val="24"/>
          <w:szCs w:val="24"/>
        </w:rPr>
      </w:pPr>
      <w:r w:rsidDel="00000000" w:rsidR="00000000" w:rsidRPr="00000000">
        <w:rPr>
          <w:sz w:val="24"/>
          <w:szCs w:val="24"/>
          <w:rtl w:val="0"/>
        </w:rPr>
        <w:t xml:space="preserve">BRASIL. Ministério da Pesca e Aquicultura. </w:t>
      </w:r>
      <w:r w:rsidDel="00000000" w:rsidR="00000000" w:rsidRPr="00000000">
        <w:rPr>
          <w:b w:val="1"/>
          <w:sz w:val="24"/>
          <w:szCs w:val="24"/>
          <w:rtl w:val="0"/>
        </w:rPr>
        <w:t xml:space="preserve">MPA fortalece compromissos com o Movimento de Pescadores e Pescadoras Artesanais</w:t>
      </w:r>
      <w:r w:rsidDel="00000000" w:rsidR="00000000" w:rsidRPr="00000000">
        <w:rPr>
          <w:sz w:val="24"/>
          <w:szCs w:val="24"/>
          <w:rtl w:val="0"/>
        </w:rPr>
        <w:t xml:space="preserve">, 18 jan. 2024. Disponível em: https://www.gov.br/mpa/pt-br/assuntos/noticias/mpa-fortalece-compromissos-com-omovimento-de-pescadores-e-pescadoras-artesanais. Acesso em: 8 abr. 2025.</w:t>
      </w:r>
    </w:p>
    <w:p w:rsidR="00000000" w:rsidDel="00000000" w:rsidP="00000000" w:rsidRDefault="00000000" w:rsidRPr="00000000" w14:paraId="0000003C">
      <w:pPr>
        <w:spacing w:after="240" w:before="240" w:line="240" w:lineRule="auto"/>
        <w:jc w:val="both"/>
        <w:rPr>
          <w:sz w:val="24"/>
          <w:szCs w:val="24"/>
        </w:rPr>
      </w:pPr>
      <w:r w:rsidDel="00000000" w:rsidR="00000000" w:rsidRPr="00000000">
        <w:rPr>
          <w:sz w:val="24"/>
          <w:szCs w:val="24"/>
          <w:rtl w:val="0"/>
        </w:rPr>
        <w:t xml:space="preserve">BEHRING, Elaine Rossetti; BOSCHETTI, Ivanete. </w:t>
      </w:r>
      <w:r w:rsidDel="00000000" w:rsidR="00000000" w:rsidRPr="00000000">
        <w:rPr>
          <w:b w:val="1"/>
          <w:sz w:val="24"/>
          <w:szCs w:val="24"/>
          <w:rtl w:val="0"/>
        </w:rPr>
        <w:t xml:space="preserve">Política Social: </w:t>
      </w:r>
      <w:r w:rsidDel="00000000" w:rsidR="00000000" w:rsidRPr="00000000">
        <w:rPr>
          <w:sz w:val="24"/>
          <w:szCs w:val="24"/>
          <w:rtl w:val="0"/>
        </w:rPr>
        <w:t xml:space="preserve">fundamentos e história. 2º edição. São Paulo: Cortez, 2007. </w:t>
      </w:r>
    </w:p>
    <w:p w:rsidR="00000000" w:rsidDel="00000000" w:rsidP="00000000" w:rsidRDefault="00000000" w:rsidRPr="00000000" w14:paraId="0000003D">
      <w:pPr>
        <w:spacing w:after="200" w:line="240" w:lineRule="auto"/>
        <w:jc w:val="both"/>
        <w:rPr>
          <w:sz w:val="24"/>
          <w:szCs w:val="24"/>
        </w:rPr>
      </w:pPr>
      <w:r w:rsidDel="00000000" w:rsidR="00000000" w:rsidRPr="00000000">
        <w:rPr>
          <w:sz w:val="24"/>
          <w:szCs w:val="24"/>
          <w:highlight w:val="white"/>
          <w:rtl w:val="0"/>
        </w:rPr>
        <w:t xml:space="preserve">DARDOT, Pierre; LAVAL, Christian. </w:t>
      </w:r>
      <w:r w:rsidDel="00000000" w:rsidR="00000000" w:rsidRPr="00000000">
        <w:rPr>
          <w:b w:val="1"/>
          <w:sz w:val="24"/>
          <w:szCs w:val="24"/>
          <w:highlight w:val="white"/>
          <w:rtl w:val="0"/>
        </w:rPr>
        <w:t xml:space="preserve">A nova razão do mundo. </w:t>
      </w:r>
      <w:r w:rsidDel="00000000" w:rsidR="00000000" w:rsidRPr="00000000">
        <w:rPr>
          <w:sz w:val="24"/>
          <w:szCs w:val="24"/>
          <w:highlight w:val="white"/>
          <w:rtl w:val="0"/>
        </w:rPr>
        <w:t xml:space="preserve">São Paulo: Boitempo, 2016.</w:t>
      </w:r>
      <w:r w:rsidDel="00000000" w:rsidR="00000000" w:rsidRPr="00000000">
        <w:rPr>
          <w:rtl w:val="0"/>
        </w:rPr>
      </w:r>
    </w:p>
    <w:p w:rsidR="00000000" w:rsidDel="00000000" w:rsidP="00000000" w:rsidRDefault="00000000" w:rsidRPr="00000000" w14:paraId="0000003E">
      <w:pPr>
        <w:numPr>
          <w:ilvl w:val="0"/>
          <w:numId w:val="1"/>
        </w:numPr>
        <w:spacing w:after="200" w:before="280" w:line="240" w:lineRule="auto"/>
        <w:jc w:val="both"/>
        <w:rPr>
          <w:rFonts w:ascii="Calibri" w:cs="Calibri" w:eastAsia="Calibri" w:hAnsi="Calibri"/>
          <w:sz w:val="24"/>
          <w:szCs w:val="24"/>
        </w:rPr>
      </w:pPr>
      <w:r w:rsidDel="00000000" w:rsidR="00000000" w:rsidRPr="00000000">
        <w:rPr>
          <w:sz w:val="24"/>
          <w:szCs w:val="24"/>
          <w:rtl w:val="0"/>
        </w:rPr>
        <w:t xml:space="preserve">ESPING-ANDERSEN, Gosta. As três economias políticas do Welfare State. </w:t>
      </w:r>
      <w:r w:rsidDel="00000000" w:rsidR="00000000" w:rsidRPr="00000000">
        <w:rPr>
          <w:b w:val="1"/>
          <w:sz w:val="24"/>
          <w:szCs w:val="24"/>
          <w:rtl w:val="0"/>
        </w:rPr>
        <w:t xml:space="preserve">Lua Nova,</w:t>
      </w:r>
      <w:r w:rsidDel="00000000" w:rsidR="00000000" w:rsidRPr="00000000">
        <w:rPr>
          <w:sz w:val="24"/>
          <w:szCs w:val="24"/>
          <w:rtl w:val="0"/>
        </w:rPr>
        <w:t xml:space="preserve"> n.º 24, set., p. 85-116. 1991. Disponível em: https://www.scielo.br/j/ln/a/99DPRg4vVqLrQ4XbpBRHc5H. Acesso em: 8 abr. 2025.</w:t>
      </w:r>
      <w:r w:rsidDel="00000000" w:rsidR="00000000" w:rsidRPr="00000000">
        <w:rPr>
          <w:rtl w:val="0"/>
        </w:rPr>
      </w:r>
    </w:p>
    <w:p w:rsidR="00000000" w:rsidDel="00000000" w:rsidP="00000000" w:rsidRDefault="00000000" w:rsidRPr="00000000" w14:paraId="0000003F">
      <w:pPr>
        <w:numPr>
          <w:ilvl w:val="0"/>
          <w:numId w:val="1"/>
        </w:numPr>
        <w:spacing w:after="200" w:line="240" w:lineRule="auto"/>
        <w:jc w:val="both"/>
        <w:rPr>
          <w:rFonts w:ascii="Calibri" w:cs="Calibri" w:eastAsia="Calibri" w:hAnsi="Calibri"/>
          <w:sz w:val="24"/>
          <w:szCs w:val="24"/>
        </w:rPr>
      </w:pPr>
      <w:r w:rsidDel="00000000" w:rsidR="00000000" w:rsidRPr="00000000">
        <w:rPr>
          <w:sz w:val="24"/>
          <w:szCs w:val="24"/>
          <w:rtl w:val="0"/>
        </w:rPr>
        <w:t xml:space="preserve">ESPING-ANDERSEN, Gosta. O futuro do </w:t>
      </w:r>
      <w:r w:rsidDel="00000000" w:rsidR="00000000" w:rsidRPr="00000000">
        <w:rPr>
          <w:i w:val="1"/>
          <w:sz w:val="24"/>
          <w:szCs w:val="24"/>
          <w:rtl w:val="0"/>
        </w:rPr>
        <w:t xml:space="preserve">Welfare State</w:t>
      </w:r>
      <w:r w:rsidDel="00000000" w:rsidR="00000000" w:rsidRPr="00000000">
        <w:rPr>
          <w:sz w:val="24"/>
          <w:szCs w:val="24"/>
          <w:rtl w:val="0"/>
        </w:rPr>
        <w:t xml:space="preserve"> na nova ordem mundial.</w:t>
      </w:r>
      <w:r w:rsidDel="00000000" w:rsidR="00000000" w:rsidRPr="00000000">
        <w:rPr>
          <w:b w:val="1"/>
          <w:sz w:val="24"/>
          <w:szCs w:val="24"/>
          <w:rtl w:val="0"/>
        </w:rPr>
        <w:t xml:space="preserve"> Lua Nova,</w:t>
      </w:r>
      <w:r w:rsidDel="00000000" w:rsidR="00000000" w:rsidRPr="00000000">
        <w:rPr>
          <w:sz w:val="24"/>
          <w:szCs w:val="24"/>
          <w:rtl w:val="0"/>
        </w:rPr>
        <w:t xml:space="preserve"> n.º 35, p. 73-111. 1995. Disponível em: https://www.scielo.br/j/ln/a/8y4pY8qDFzGt5gXqhFhwvXx/abstract/?lang=pt. Acesso em: 8 abr. 2025.</w:t>
      </w:r>
      <w:r w:rsidDel="00000000" w:rsidR="00000000" w:rsidRPr="00000000">
        <w:rPr>
          <w:rtl w:val="0"/>
        </w:rPr>
      </w:r>
    </w:p>
    <w:p w:rsidR="00000000" w:rsidDel="00000000" w:rsidP="00000000" w:rsidRDefault="00000000" w:rsidRPr="00000000" w14:paraId="00000040">
      <w:pPr>
        <w:spacing w:after="240" w:before="240" w:line="240" w:lineRule="auto"/>
        <w:jc w:val="both"/>
        <w:rPr>
          <w:sz w:val="24"/>
          <w:szCs w:val="24"/>
        </w:rPr>
      </w:pPr>
      <w:r w:rsidDel="00000000" w:rsidR="00000000" w:rsidRPr="00000000">
        <w:rPr>
          <w:sz w:val="24"/>
          <w:szCs w:val="24"/>
          <w:rtl w:val="0"/>
        </w:rPr>
        <w:t xml:space="preserve">FAO – ORGANIZAÇÃO DAS NAÇÕES UNIDAS PARA A ALIMENTAÇÃO </w:t>
      </w:r>
      <w:r w:rsidDel="00000000" w:rsidR="00000000" w:rsidRPr="00000000">
        <w:rPr>
          <w:sz w:val="24"/>
          <w:szCs w:val="24"/>
          <w:rtl w:val="0"/>
        </w:rPr>
        <w:t xml:space="preserve">E A AGRICULTURA</w:t>
      </w:r>
      <w:r w:rsidDel="00000000" w:rsidR="00000000" w:rsidRPr="00000000">
        <w:rPr>
          <w:sz w:val="24"/>
          <w:szCs w:val="24"/>
          <w:rtl w:val="0"/>
        </w:rPr>
        <w:t xml:space="preserve">. </w:t>
      </w:r>
      <w:r w:rsidDel="00000000" w:rsidR="00000000" w:rsidRPr="00000000">
        <w:rPr>
          <w:b w:val="1"/>
          <w:sz w:val="24"/>
          <w:szCs w:val="24"/>
          <w:rtl w:val="0"/>
        </w:rPr>
        <w:t xml:space="preserve">Iluminando as capturas ocultas – ICO/Pesca artesanal costeira no Brasil</w:t>
      </w:r>
      <w:r w:rsidDel="00000000" w:rsidR="00000000" w:rsidRPr="00000000">
        <w:rPr>
          <w:sz w:val="24"/>
          <w:szCs w:val="24"/>
          <w:rtl w:val="0"/>
        </w:rPr>
        <w:t xml:space="preserve">. Brasília: FAO Brasil, 2020. Disponível em: https://maramar.org.br/estudo-da-fao-no-brasil-revela-dados-ocultos-da-pesca-artesanal-no-pais/. Acesso em: 20 maio 2025.</w:t>
      </w:r>
    </w:p>
    <w:p w:rsidR="00000000" w:rsidDel="00000000" w:rsidP="00000000" w:rsidRDefault="00000000" w:rsidRPr="00000000" w14:paraId="00000041">
      <w:pPr>
        <w:spacing w:after="240" w:before="240" w:line="240" w:lineRule="auto"/>
        <w:jc w:val="both"/>
        <w:rPr>
          <w:sz w:val="24"/>
          <w:szCs w:val="24"/>
        </w:rPr>
      </w:pPr>
      <w:r w:rsidDel="00000000" w:rsidR="00000000" w:rsidRPr="00000000">
        <w:rPr>
          <w:sz w:val="24"/>
          <w:szCs w:val="24"/>
          <w:rtl w:val="0"/>
        </w:rPr>
        <w:t xml:space="preserve">IAMAMOTO, Marilda Vilela. </w:t>
      </w:r>
      <w:r w:rsidDel="00000000" w:rsidR="00000000" w:rsidRPr="00000000">
        <w:rPr>
          <w:b w:val="1"/>
          <w:sz w:val="24"/>
          <w:szCs w:val="24"/>
          <w:rtl w:val="0"/>
        </w:rPr>
        <w:t xml:space="preserve">Serviço social em tempo de capital fetiche: </w:t>
      </w:r>
      <w:r w:rsidDel="00000000" w:rsidR="00000000" w:rsidRPr="00000000">
        <w:rPr>
          <w:sz w:val="24"/>
          <w:szCs w:val="24"/>
          <w:rtl w:val="0"/>
        </w:rPr>
        <w:t xml:space="preserve">capital financeiro, trabalho e questão social. 2. ed. São Paulo: Cortez, 2008.</w:t>
      </w:r>
    </w:p>
    <w:p w:rsidR="00000000" w:rsidDel="00000000" w:rsidP="00000000" w:rsidRDefault="00000000" w:rsidRPr="00000000" w14:paraId="00000042">
      <w:pPr>
        <w:spacing w:after="240" w:before="240" w:line="240" w:lineRule="auto"/>
        <w:jc w:val="both"/>
        <w:rPr>
          <w:sz w:val="24"/>
          <w:szCs w:val="24"/>
        </w:rPr>
      </w:pPr>
      <w:r w:rsidDel="00000000" w:rsidR="00000000" w:rsidRPr="00000000">
        <w:rPr>
          <w:sz w:val="24"/>
          <w:szCs w:val="24"/>
          <w:highlight w:val="white"/>
          <w:rtl w:val="0"/>
        </w:rPr>
        <w:t xml:space="preserve">IAMAMOTO, Marilda Vilela; CARVALHO, Raul. </w:t>
      </w:r>
      <w:r w:rsidDel="00000000" w:rsidR="00000000" w:rsidRPr="00000000">
        <w:rPr>
          <w:b w:val="1"/>
          <w:sz w:val="24"/>
          <w:szCs w:val="24"/>
          <w:highlight w:val="white"/>
          <w:rtl w:val="0"/>
        </w:rPr>
        <w:t xml:space="preserve">Relações Sociais e Serviço Social no Brasil: </w:t>
      </w:r>
      <w:r w:rsidDel="00000000" w:rsidR="00000000" w:rsidRPr="00000000">
        <w:rPr>
          <w:sz w:val="24"/>
          <w:szCs w:val="24"/>
          <w:highlight w:val="white"/>
          <w:rtl w:val="0"/>
        </w:rPr>
        <w:t xml:space="preserve">esboço de uma interpretação histórico-metodológica. São Paulo, Cortez, 1983.</w:t>
      </w:r>
      <w:r w:rsidDel="00000000" w:rsidR="00000000" w:rsidRPr="00000000">
        <w:rPr>
          <w:rtl w:val="0"/>
        </w:rPr>
      </w:r>
    </w:p>
    <w:p w:rsidR="00000000" w:rsidDel="00000000" w:rsidP="00000000" w:rsidRDefault="00000000" w:rsidRPr="00000000" w14:paraId="00000043">
      <w:pPr>
        <w:shd w:fill="ffffff" w:val="clear"/>
        <w:spacing w:after="200" w:line="240" w:lineRule="auto"/>
        <w:jc w:val="both"/>
        <w:rPr>
          <w:sz w:val="24"/>
          <w:szCs w:val="24"/>
        </w:rPr>
      </w:pPr>
      <w:r w:rsidDel="00000000" w:rsidR="00000000" w:rsidRPr="00000000">
        <w:rPr>
          <w:sz w:val="24"/>
          <w:szCs w:val="24"/>
          <w:highlight w:val="white"/>
          <w:rtl w:val="0"/>
        </w:rPr>
        <w:t xml:space="preserve">MARX, Karl; ENGELS, Friedrich. </w:t>
      </w:r>
      <w:r w:rsidDel="00000000" w:rsidR="00000000" w:rsidRPr="00000000">
        <w:rPr>
          <w:b w:val="1"/>
          <w:sz w:val="24"/>
          <w:szCs w:val="24"/>
          <w:highlight w:val="white"/>
          <w:rtl w:val="0"/>
        </w:rPr>
        <w:t xml:space="preserve">A ideologia alemã</w:t>
      </w:r>
      <w:r w:rsidDel="00000000" w:rsidR="00000000" w:rsidRPr="00000000">
        <w:rPr>
          <w:sz w:val="24"/>
          <w:szCs w:val="24"/>
          <w:highlight w:val="white"/>
          <w:rtl w:val="0"/>
        </w:rPr>
        <w:t xml:space="preserve">, São Paulo: Martins Fontes, 2001.</w:t>
      </w:r>
      <w:r w:rsidDel="00000000" w:rsidR="00000000" w:rsidRPr="00000000">
        <w:rPr>
          <w:rtl w:val="0"/>
        </w:rPr>
      </w:r>
    </w:p>
    <w:p w:rsidR="00000000" w:rsidDel="00000000" w:rsidP="00000000" w:rsidRDefault="00000000" w:rsidRPr="00000000" w14:paraId="00000044">
      <w:pPr>
        <w:spacing w:after="240" w:before="240" w:line="240" w:lineRule="auto"/>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Capitalismo monopolista e serviço social</w:t>
      </w:r>
      <w:r w:rsidDel="00000000" w:rsidR="00000000" w:rsidRPr="00000000">
        <w:rPr>
          <w:sz w:val="24"/>
          <w:szCs w:val="24"/>
          <w:rtl w:val="0"/>
        </w:rPr>
        <w:t xml:space="preserve">. 4. ed. São Paulo: Cortez, 2011.</w:t>
      </w:r>
    </w:p>
    <w:p w:rsidR="00000000" w:rsidDel="00000000" w:rsidP="00000000" w:rsidRDefault="00000000" w:rsidRPr="00000000" w14:paraId="00000045">
      <w:pPr>
        <w:spacing w:after="200" w:line="240" w:lineRule="auto"/>
        <w:jc w:val="both"/>
        <w:rPr>
          <w:sz w:val="24"/>
          <w:szCs w:val="24"/>
        </w:rPr>
      </w:pPr>
      <w:r w:rsidDel="00000000" w:rsidR="00000000" w:rsidRPr="00000000">
        <w:rPr>
          <w:sz w:val="24"/>
          <w:szCs w:val="24"/>
          <w:rtl w:val="0"/>
        </w:rPr>
        <w:t xml:space="preserve">POCHMANN, Marcio. Proteção social na periferia do capitalismo: considerações sobre o Brasil.</w:t>
      </w:r>
      <w:r w:rsidDel="00000000" w:rsidR="00000000" w:rsidRPr="00000000">
        <w:rPr>
          <w:b w:val="1"/>
          <w:sz w:val="24"/>
          <w:szCs w:val="24"/>
          <w:rtl w:val="0"/>
        </w:rPr>
        <w:t xml:space="preserve"> São Paulo em Perspectiva.</w:t>
      </w:r>
      <w:r w:rsidDel="00000000" w:rsidR="00000000" w:rsidRPr="00000000">
        <w:rPr>
          <w:sz w:val="24"/>
          <w:szCs w:val="24"/>
          <w:rtl w:val="0"/>
        </w:rPr>
        <w:t xml:space="preserve"> São Paulo, v. 18, n. 2, p. 3-16, 2004. Disponível em: https://www.scielo.br/j/spp/a/w7TFW3zmWHPwPQrQ4fZbbhh/?lang=pt&amp;format=pdf. Acesso em: 17 abr. 2025.</w:t>
      </w:r>
      <w:r w:rsidDel="00000000" w:rsidR="00000000" w:rsidRPr="00000000">
        <w:rPr>
          <w:rtl w:val="0"/>
        </w:rPr>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sz w:val="24"/>
          <w:szCs w:val="24"/>
          <w:rtl w:val="0"/>
        </w:rPr>
        <w:t xml:space="preserve">SALVADOR, </w:t>
      </w:r>
      <w:r w:rsidDel="00000000" w:rsidR="00000000" w:rsidRPr="00000000">
        <w:rPr>
          <w:sz w:val="24"/>
          <w:szCs w:val="24"/>
          <w:rtl w:val="0"/>
        </w:rPr>
        <w:t xml:space="preserve">Evilasio</w:t>
      </w:r>
      <w:r w:rsidDel="00000000" w:rsidR="00000000" w:rsidRPr="00000000">
        <w:rPr>
          <w:sz w:val="24"/>
          <w:szCs w:val="24"/>
          <w:rtl w:val="0"/>
        </w:rPr>
        <w:t xml:space="preserve">. Fundo Público e o Financiamento das Políticas Sociais no Brasil.</w:t>
      </w:r>
      <w:r w:rsidDel="00000000" w:rsidR="00000000" w:rsidRPr="00000000">
        <w:rPr>
          <w:b w:val="1"/>
          <w:sz w:val="24"/>
          <w:szCs w:val="24"/>
          <w:rtl w:val="0"/>
        </w:rPr>
        <w:t xml:space="preserve"> Serviço Social em Revista</w:t>
      </w:r>
      <w:r w:rsidDel="00000000" w:rsidR="00000000" w:rsidRPr="00000000">
        <w:rPr>
          <w:sz w:val="24"/>
          <w:szCs w:val="24"/>
          <w:rtl w:val="0"/>
        </w:rPr>
        <w:t xml:space="preserve">, v. 14, n. 12, p.04-22, jan./jun.2012. Disponível em: https://ojs.uel.br/revistas/uel/index.php/ssrevista/article/view/12263. Acesso em: 8 abr. 2025.</w:t>
      </w:r>
    </w:p>
    <w:p w:rsidR="00000000" w:rsidDel="00000000" w:rsidP="00000000" w:rsidRDefault="00000000" w:rsidRPr="00000000" w14:paraId="00000047">
      <w:pPr>
        <w:spacing w:after="240" w:before="240" w:line="240" w:lineRule="auto"/>
        <w:jc w:val="both"/>
        <w:rPr>
          <w:sz w:val="24"/>
          <w:szCs w:val="24"/>
        </w:rPr>
      </w:pPr>
      <w:r w:rsidDel="00000000" w:rsidR="00000000" w:rsidRPr="00000000">
        <w:rPr>
          <w:sz w:val="24"/>
          <w:szCs w:val="24"/>
          <w:rtl w:val="0"/>
        </w:rPr>
        <w:t xml:space="preserve">SILIPRANDI, Emma. </w:t>
      </w:r>
      <w:r w:rsidDel="00000000" w:rsidR="00000000" w:rsidRPr="00000000">
        <w:rPr>
          <w:b w:val="1"/>
          <w:sz w:val="24"/>
          <w:szCs w:val="24"/>
          <w:rtl w:val="0"/>
        </w:rPr>
        <w:t xml:space="preserve">Mulheres e agroecologia:</w:t>
      </w:r>
      <w:r w:rsidDel="00000000" w:rsidR="00000000" w:rsidRPr="00000000">
        <w:rPr>
          <w:sz w:val="24"/>
          <w:szCs w:val="24"/>
          <w:rtl w:val="0"/>
        </w:rPr>
        <w:t xml:space="preserve"> transformando o campo, as florestas e as pessoas. São Paulo: Expressão Popular, 2015.</w:t>
      </w:r>
    </w:p>
    <w:p w:rsidR="00000000" w:rsidDel="00000000" w:rsidP="00000000" w:rsidRDefault="00000000" w:rsidRPr="00000000" w14:paraId="00000048">
      <w:pPr>
        <w:spacing w:after="240" w:before="240" w:line="240" w:lineRule="auto"/>
        <w:jc w:val="both"/>
        <w:rPr>
          <w:sz w:val="24"/>
          <w:szCs w:val="24"/>
        </w:rPr>
      </w:pPr>
      <w:r w:rsidDel="00000000" w:rsidR="00000000" w:rsidRPr="00000000">
        <w:rPr>
          <w:sz w:val="24"/>
          <w:szCs w:val="24"/>
          <w:rtl w:val="0"/>
        </w:rPr>
        <w:t xml:space="preserve">SILVA, Luiz Geraldo (org.). </w:t>
      </w:r>
      <w:r w:rsidDel="00000000" w:rsidR="00000000" w:rsidRPr="00000000">
        <w:rPr>
          <w:b w:val="1"/>
          <w:sz w:val="24"/>
          <w:szCs w:val="24"/>
          <w:rtl w:val="0"/>
        </w:rPr>
        <w:t xml:space="preserve">Os pescadores na história do Brasil.</w:t>
      </w:r>
      <w:r w:rsidDel="00000000" w:rsidR="00000000" w:rsidRPr="00000000">
        <w:rPr>
          <w:sz w:val="24"/>
          <w:szCs w:val="24"/>
          <w:rtl w:val="0"/>
        </w:rPr>
        <w:t xml:space="preserve"> Vol. 1. Recife: Vozes, 1988. 2</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sectPr>
      <w:headerReference r:id="rId8" w:type="default"/>
      <w:footerReference r:id="rId9"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5">
    <w:p w:rsidR="00000000" w:rsidDel="00000000" w:rsidP="00000000" w:rsidRDefault="00000000" w:rsidRPr="00000000" w14:paraId="0000004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A referida lei  criou as Caixas de Aposentadoria e Pensão (CAPs) para trabalhadores das ferrovias e garantiu benefícios como aposentadoria e pensão por morte ao segmento, posteriormente sendo ampliado a outros setores.</w:t>
      </w:r>
    </w:p>
  </w:footnote>
  <w:footnote w:id="4">
    <w:p w:rsidR="00000000" w:rsidDel="00000000" w:rsidP="00000000" w:rsidRDefault="00000000" w:rsidRPr="00000000" w14:paraId="0000004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Conforme Iamamoto e Carvalho, (1983), refere-se às “expressões do processo de formação e desenvolvimento da classe operária e de seu ingresso no cenário político da sociedade, exigindo seu reconhecimento como classe por parte do empresariado e do Estado” (1983, p.77). Ou seja, “a manifestação, no cotidiano da vida social, da contradição entre o proletariado e a burguesia, a qual passa a exigir outros tipos de intervenção mais além da caridade e repressão” (Idem).</w:t>
      </w:r>
    </w:p>
    <w:p w:rsidR="00000000" w:rsidDel="00000000" w:rsidP="00000000" w:rsidRDefault="00000000" w:rsidRPr="00000000" w14:paraId="0000004D">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4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Doutoranda do Programa de Pós-Graduação em Políticas Públicas da Universidade Estadual do Ceará (UECE), com período sanduíche na Universidade de Málaga (UMA/Espanha), Pesquisadora Bolsista da Fundação Cearense de Apoio ao Desenvolvimento Científico e Tecnológico (FUNCAP), E-mail: angelaefassis@gmail.com.</w:t>
      </w:r>
    </w:p>
  </w:footnote>
  <w:footnote w:id="1">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Estadual do Ceará (UECE), E-mail: </w:t>
      </w:r>
      <w:r w:rsidDel="00000000" w:rsidR="00000000" w:rsidRPr="00000000">
        <w:rPr>
          <w:sz w:val="20"/>
          <w:szCs w:val="20"/>
          <w:highlight w:val="white"/>
          <w:rtl w:val="0"/>
        </w:rPr>
        <w:t xml:space="preserve">mayumishirai9@gmail.com.</w:t>
      </w:r>
      <w:r w:rsidDel="00000000" w:rsidR="00000000" w:rsidRPr="00000000">
        <w:rPr>
          <w:rtl w:val="0"/>
        </w:rPr>
      </w:r>
    </w:p>
  </w:footnote>
  <w:footnote w:id="2">
    <w:p w:rsidR="00000000" w:rsidDel="00000000" w:rsidP="00000000" w:rsidRDefault="00000000" w:rsidRPr="00000000" w14:paraId="0000005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Associada da Universidade Estadual do Ceará (UECE), Doutora em Educação pela Universidade de São Paulo (USP), com Pós-doutorado </w:t>
      </w:r>
      <w:r w:rsidDel="00000000" w:rsidR="00000000" w:rsidRPr="00000000">
        <w:rPr>
          <w:sz w:val="20"/>
          <w:szCs w:val="20"/>
          <w:highlight w:val="white"/>
          <w:rtl w:val="0"/>
        </w:rPr>
        <w:t xml:space="preserve">em Ciências da Educação pela J. W. Goethe Universität Frankfurt Am Main - Alemanha</w:t>
      </w:r>
      <w:r w:rsidDel="00000000" w:rsidR="00000000" w:rsidRPr="00000000">
        <w:rPr>
          <w:sz w:val="20"/>
          <w:szCs w:val="20"/>
          <w:rtl w:val="0"/>
        </w:rPr>
        <w:t xml:space="preserve">, E-mail: rejane.bezerra@uece.br.</w:t>
      </w:r>
    </w:p>
  </w:footnote>
  <w:footnote w:id="3">
    <w:p w:rsidR="00000000" w:rsidDel="00000000" w:rsidP="00000000" w:rsidRDefault="00000000" w:rsidRPr="00000000" w14:paraId="0000005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 da Universidade de Málaga (UMA/Espanha), Assistente Social e Doutor em Psicologia da Intervenção Social pela Universidade de Málaga (UMA/Espanha). E-mail: rafarrqui@uma.es.</w:t>
      </w:r>
    </w:p>
    <w:p w:rsidR="00000000" w:rsidDel="00000000" w:rsidP="00000000" w:rsidRDefault="00000000" w:rsidRPr="00000000" w14:paraId="0000005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442K5XM063weGLLCVL6O6Q6CEw==">CgMxLjA4AHIhMW5hZi1MNDA4Z0ZzSFlva1kyemRTLWktMVlBaVlxZ3Bf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