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NECRONORMATIVIDADE E RACISMO:</w:t>
      </w:r>
      <w:r w:rsidDel="00000000" w:rsidR="00000000" w:rsidRPr="00000000">
        <w:rPr>
          <w:sz w:val="24"/>
          <w:szCs w:val="24"/>
          <w:rtl w:val="0"/>
        </w:rPr>
        <w:t xml:space="preserve"> o linchamento como instrumento da seletividade penal no Brasil atual</w:t>
      </w:r>
    </w:p>
    <w:p w:rsidR="00000000" w:rsidDel="00000000" w:rsidP="00000000" w:rsidRDefault="00000000" w:rsidRPr="00000000" w14:paraId="00000002">
      <w:pPr>
        <w:spacing w:line="360" w:lineRule="auto"/>
        <w:jc w:val="right"/>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Cibele Cristina Ripardo dos Santos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b w:val="0"/>
          <w:sz w:val="20"/>
          <w:szCs w:val="20"/>
          <w:vertAlign w:val="baseline"/>
        </w:rPr>
      </w:pPr>
      <w:r w:rsidDel="00000000" w:rsidR="00000000" w:rsidRPr="00000000">
        <w:rPr>
          <w:sz w:val="24"/>
          <w:szCs w:val="24"/>
          <w:rtl w:val="0"/>
        </w:rPr>
        <w:t xml:space="preserve">Levy Santos Lima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rtl w:val="0"/>
        </w:rPr>
        <w:t xml:space="preserve">Este artigo analisa o linchamento no Brasil como expressão da necropolítica, evidenciando sua conexão com o racismo estrutural, a seletividade penal e a omissão do Estado na proteção das vidas vulnerabilizadas. A partir do referencial teórico da criminologia crítica e dos estudos sobre necropolítica, investiga-se como a prática do linchamento, historicamente dirigida a corpos negros e periféricos, revela a lógica necronormativa do Estado brasileiro, pautada na gestão seletiva da morte. Além disso, propõe-se a reflexão sobre o abolicionismo penal e as alternativas de justiça, especialmente a justiça restaurativa, como caminhos para a superação do paradigma punitivista e a desconstrução do imaginário social que naturaliza a violência extrajudicial. As considerações finais indicam a necessidade urgente de repensar a função do sistema penal e construir políticas públicas que priorizem a dignidade e a proteção das vidas historicamente vulnerabilizadas.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Necropolítica.</w:t>
      </w:r>
      <w:r w:rsidDel="00000000" w:rsidR="00000000" w:rsidRPr="00000000">
        <w:rPr>
          <w:sz w:val="20"/>
          <w:szCs w:val="20"/>
          <w:vertAlign w:val="baseline"/>
          <w:rtl w:val="0"/>
        </w:rPr>
        <w:t xml:space="preserve"> </w:t>
      </w:r>
      <w:r w:rsidDel="00000000" w:rsidR="00000000" w:rsidRPr="00000000">
        <w:rPr>
          <w:sz w:val="20"/>
          <w:szCs w:val="20"/>
          <w:rtl w:val="0"/>
        </w:rPr>
        <w:t xml:space="preserve">Racismo Estrutural</w:t>
      </w:r>
      <w:r w:rsidDel="00000000" w:rsidR="00000000" w:rsidRPr="00000000">
        <w:rPr>
          <w:sz w:val="20"/>
          <w:szCs w:val="20"/>
          <w:vertAlign w:val="baseline"/>
          <w:rtl w:val="0"/>
        </w:rPr>
        <w:t xml:space="preserve">. </w:t>
      </w:r>
      <w:r w:rsidDel="00000000" w:rsidR="00000000" w:rsidRPr="00000000">
        <w:rPr>
          <w:sz w:val="20"/>
          <w:szCs w:val="20"/>
          <w:rtl w:val="0"/>
        </w:rPr>
        <w:t xml:space="preserve">Seletividade Penal</w:t>
      </w:r>
      <w:r w:rsidDel="00000000" w:rsidR="00000000" w:rsidRPr="00000000">
        <w:rPr>
          <w:sz w:val="20"/>
          <w:szCs w:val="20"/>
          <w:vertAlign w:val="baseline"/>
          <w:rtl w:val="0"/>
        </w:rPr>
        <w:t xml:space="preserv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This article analyzes lynching in Brazil as an expression of necropolitics, highlighting its connection with structural racism, penal selectivity, and the State's failure to protect vulnerable lives. Based on the theoretical framework of critical criminology and studies on necropolitics, the article investigates how the practice of lynching, historically directed at black and peripheral bodies, reveals the necronormative logic of the Brazilian State, based on the selective management of death. In addition, it proposes reflection on penal abolitionism and alternative justice options, especially restorative justice, as ways to overcome the punitive paradigm and deconstruct the social imaginary that naturalizes extrajudicial violence. The final considerations indicate the urgent need to rethink the function of the penal system and build public policies that prioritize the dignity and protection of historically vulnerable lives.</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Necropolitics. Structural Racism. Penal Selectivity</w:t>
      </w:r>
      <w:r w:rsidDel="00000000" w:rsidR="00000000" w:rsidRPr="00000000">
        <w:rPr>
          <w:sz w:val="20"/>
          <w:szCs w:val="20"/>
          <w:vertAlign w:val="baseline"/>
          <w:rtl w:val="0"/>
        </w:rPr>
        <w:t xml:space="preserve">.</w:t>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rPr>
          <w:b w:val="1"/>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0F">
      <w:pPr>
        <w:spacing w:line="360" w:lineRule="auto"/>
        <w:rPr>
          <w:b w:val="1"/>
          <w:sz w:val="24"/>
          <w:szCs w:val="24"/>
        </w:rPr>
      </w:pPr>
      <w:r w:rsidDel="00000000" w:rsidR="00000000" w:rsidRPr="00000000">
        <w:rPr>
          <w:rtl w:val="0"/>
        </w:rPr>
      </w:r>
    </w:p>
    <w:p w:rsidR="00000000" w:rsidDel="00000000" w:rsidP="00000000" w:rsidRDefault="00000000" w:rsidRPr="00000000" w14:paraId="00000010">
      <w:pPr>
        <w:spacing w:after="0" w:before="0" w:line="360" w:lineRule="auto"/>
        <w:ind w:firstLine="708.6614173228347"/>
        <w:jc w:val="both"/>
        <w:rPr>
          <w:sz w:val="24"/>
          <w:szCs w:val="24"/>
        </w:rPr>
      </w:pPr>
      <w:r w:rsidDel="00000000" w:rsidR="00000000" w:rsidRPr="00000000">
        <w:rPr>
          <w:sz w:val="24"/>
          <w:szCs w:val="24"/>
          <w:rtl w:val="0"/>
        </w:rPr>
        <w:t xml:space="preserve">Longe de ser um fenômeno isolado ou meramente fruto da indignação popular frente à (in)eficiência do sistema penal, o linchamento constitui uma prática socialmente enraizada que revela, em sua essência, a lógica necronormativa que atravessa a formação do Estado brasileiro. No Brasil contemporâneo, observa-se um recrudescimento de práticas de justiça informal, entre as quais o linchamento figura como uma das mais alarmantes. </w:t>
      </w:r>
    </w:p>
    <w:p w:rsidR="00000000" w:rsidDel="00000000" w:rsidP="00000000" w:rsidRDefault="00000000" w:rsidRPr="00000000" w14:paraId="00000011">
      <w:pPr>
        <w:spacing w:after="0" w:before="0" w:line="360" w:lineRule="auto"/>
        <w:ind w:firstLine="708.6614173228347"/>
        <w:jc w:val="both"/>
        <w:rPr>
          <w:sz w:val="24"/>
          <w:szCs w:val="24"/>
        </w:rPr>
      </w:pPr>
      <w:r w:rsidDel="00000000" w:rsidR="00000000" w:rsidRPr="00000000">
        <w:rPr>
          <w:sz w:val="24"/>
          <w:szCs w:val="24"/>
          <w:rtl w:val="0"/>
        </w:rPr>
        <w:t xml:space="preserve">Achille Mbembe (2016), ao desenvolver o conceito de necropolítica, oferece ferramentas teóricas fundamentais para compreender o modo como o poder soberano se exerce não apenas sobre a vida, mas sobretudo sobre a morte. No Brasil, essa racionalidade necronormativa opera de forma racializada, herdando e atualizando os dispositivos do colonialismo e da escravidão, que ainda hoje estruturam as relações sociais e institucionais. O linchamento, nesse contexto, não pode ser reduzido a um ato de fúria coletiva, mas deve ser interpretado como um dispositivo de controle social que atua na manutenção de uma ordem racial e punitiva.</w:t>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Diante desse cenário, torna-se imperativo problematizar a prática violenta em questão não como exceção, mas como expressão da norma — uma norma fundada na exclusão, no racismo e na lógica da morte. Assim, de que forma o fenômeno dos linchamentos no Brasil reflete a atuação da necropolítica como expressão do racismo estrutural e da seletividade penal?</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Este estudo parte da hipótese de que tal fenômeno é uma manifestação concreta da necropolítica no Brasil, operando como mecanismo de controle e eliminação de corpos racializados, legitimado tanto pela omissão do Estado quanto pela cumplicidade social. Objetiva analisar o fenômeno do linchamento no Brasil como expressão da necropolítica, evidenciando sua conexão com o racismo estrutural, a seletividade penal e a omissão do Estado na proteção da vida de grupos vulnerabilizados. Especificamente, busca-se:</w:t>
      </w:r>
    </w:p>
    <w:p w:rsidR="00000000" w:rsidDel="00000000" w:rsidP="00000000" w:rsidRDefault="00000000" w:rsidRPr="00000000" w14:paraId="00000014">
      <w:pPr>
        <w:numPr>
          <w:ilvl w:val="0"/>
          <w:numId w:val="1"/>
        </w:numPr>
        <w:spacing w:after="0" w:before="240" w:lineRule="auto"/>
        <w:ind w:left="720" w:hanging="360"/>
        <w:jc w:val="both"/>
        <w:rPr>
          <w:sz w:val="24"/>
          <w:szCs w:val="24"/>
          <w:u w:val="none"/>
        </w:rPr>
      </w:pPr>
      <w:r w:rsidDel="00000000" w:rsidR="00000000" w:rsidRPr="00000000">
        <w:rPr>
          <w:sz w:val="24"/>
          <w:szCs w:val="24"/>
          <w:rtl w:val="0"/>
        </w:rPr>
        <w:t xml:space="preserve">Discutir o conceito de necropolítica e sua aplicação ao contexto brasileiro, considerando o legado colonial e racista da formação social do país;</w:t>
      </w:r>
      <w:r w:rsidDel="00000000" w:rsidR="00000000" w:rsidRPr="00000000">
        <w:rPr>
          <w:rtl w:val="0"/>
        </w:rPr>
      </w:r>
    </w:p>
    <w:p w:rsidR="00000000" w:rsidDel="00000000" w:rsidP="00000000" w:rsidRDefault="00000000" w:rsidRPr="00000000" w14:paraId="00000015">
      <w:pPr>
        <w:numPr>
          <w:ilvl w:val="0"/>
          <w:numId w:val="1"/>
        </w:numPr>
        <w:spacing w:after="0" w:before="0" w:lineRule="auto"/>
        <w:ind w:left="720" w:hanging="360"/>
        <w:jc w:val="both"/>
        <w:rPr>
          <w:sz w:val="24"/>
          <w:szCs w:val="24"/>
          <w:u w:val="none"/>
        </w:rPr>
      </w:pPr>
      <w:r w:rsidDel="00000000" w:rsidR="00000000" w:rsidRPr="00000000">
        <w:rPr>
          <w:sz w:val="24"/>
          <w:szCs w:val="24"/>
          <w:rtl w:val="0"/>
        </w:rPr>
        <w:t xml:space="preserve">Investigar a seletividade penal como expressão institucional da necropolítica e como forma de criminalização de corpos racializados;</w:t>
      </w:r>
      <w:r w:rsidDel="00000000" w:rsidR="00000000" w:rsidRPr="00000000">
        <w:rPr>
          <w:rtl w:val="0"/>
        </w:rPr>
      </w:r>
    </w:p>
    <w:p w:rsidR="00000000" w:rsidDel="00000000" w:rsidP="00000000" w:rsidRDefault="00000000" w:rsidRPr="00000000" w14:paraId="00000016">
      <w:pPr>
        <w:numPr>
          <w:ilvl w:val="0"/>
          <w:numId w:val="1"/>
        </w:numPr>
        <w:spacing w:after="0" w:before="0" w:lineRule="auto"/>
        <w:ind w:left="720" w:hanging="360"/>
        <w:jc w:val="both"/>
        <w:rPr>
          <w:sz w:val="24"/>
          <w:szCs w:val="24"/>
          <w:u w:val="none"/>
        </w:rPr>
      </w:pPr>
      <w:r w:rsidDel="00000000" w:rsidR="00000000" w:rsidRPr="00000000">
        <w:rPr>
          <w:sz w:val="24"/>
          <w:szCs w:val="24"/>
          <w:rtl w:val="0"/>
        </w:rPr>
        <w:t xml:space="preserve">Analisar o linchamento enquanto prática extralegal de punição que incide majoritariamente sobre populações negras e periféricas;</w:t>
      </w:r>
      <w:r w:rsidDel="00000000" w:rsidR="00000000" w:rsidRPr="00000000">
        <w:rPr>
          <w:rtl w:val="0"/>
        </w:rPr>
      </w:r>
    </w:p>
    <w:p w:rsidR="00000000" w:rsidDel="00000000" w:rsidP="00000000" w:rsidRDefault="00000000" w:rsidRPr="00000000" w14:paraId="00000017">
      <w:pPr>
        <w:numPr>
          <w:ilvl w:val="0"/>
          <w:numId w:val="1"/>
        </w:numPr>
        <w:spacing w:after="240" w:before="0" w:lineRule="auto"/>
        <w:ind w:left="720" w:hanging="360"/>
        <w:jc w:val="both"/>
        <w:rPr>
          <w:sz w:val="24"/>
          <w:szCs w:val="24"/>
          <w:u w:val="none"/>
        </w:rPr>
      </w:pPr>
      <w:r w:rsidDel="00000000" w:rsidR="00000000" w:rsidRPr="00000000">
        <w:rPr>
          <w:sz w:val="24"/>
          <w:szCs w:val="24"/>
          <w:rtl w:val="0"/>
        </w:rPr>
        <w:t xml:space="preserve">Refletir sobre o abolicionismo penal como proposta de enfrentamento à lógica punitivista e à necropolítica estatal.</w:t>
      </w:r>
      <w:r w:rsidDel="00000000" w:rsidR="00000000" w:rsidRPr="00000000">
        <w:rPr>
          <w:rtl w:val="0"/>
        </w:rPr>
      </w:r>
    </w:p>
    <w:p w:rsidR="00000000" w:rsidDel="00000000" w:rsidP="00000000" w:rsidRDefault="00000000" w:rsidRPr="00000000" w14:paraId="00000018">
      <w:pPr>
        <w:spacing w:after="240" w:before="240" w:line="360" w:lineRule="auto"/>
        <w:ind w:firstLine="708.6614173228347"/>
        <w:jc w:val="both"/>
        <w:rPr>
          <w:sz w:val="24"/>
          <w:szCs w:val="24"/>
          <w:vertAlign w:val="baseline"/>
        </w:rPr>
      </w:pPr>
      <w:r w:rsidDel="00000000" w:rsidR="00000000" w:rsidRPr="00000000">
        <w:rPr>
          <w:sz w:val="24"/>
          <w:szCs w:val="24"/>
          <w:rtl w:val="0"/>
        </w:rPr>
        <w:t xml:space="preserve">A pesquisa adota uma abordagem qualitativa, com base em pesquisa bibliográfica e análise documental. O referencial teórico se ancora nos estudos sobre necropolítica, criminologia crítica, linchamento e violência e abolicionismo penal. Serão examinados dados de casos de linchamentos ocorridos no Brasil nas últimas três décadas, com foco na análise do comportamento dos linchadores.</w:t>
      </w:r>
      <w:r w:rsidDel="00000000" w:rsidR="00000000" w:rsidRPr="00000000">
        <w:rPr>
          <w:rtl w:val="0"/>
        </w:rPr>
      </w:r>
    </w:p>
    <w:p w:rsidR="00000000" w:rsidDel="00000000" w:rsidP="00000000" w:rsidRDefault="00000000" w:rsidRPr="00000000" w14:paraId="00000019">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NECROPOLÍTICA E RACISMO ESTRUTURAL</w:t>
      </w:r>
    </w:p>
    <w:p w:rsidR="00000000" w:rsidDel="00000000" w:rsidP="00000000" w:rsidRDefault="00000000" w:rsidRPr="00000000" w14:paraId="0000001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sz w:val="24"/>
          <w:szCs w:val="24"/>
          <w:rtl w:val="0"/>
        </w:rPr>
        <w:t xml:space="preserve">Primeiramente, o conceito de biopoder foi desenvolvido pelo filósofo francês Michel Foucault e afirma que o poder encara a vida humana como objeto. Acerca disso, na obra “Em defesa da sociedade” (2005, p. 285), o autor destaca que “[...] um dos fenômenos fundamentais do século XIX foi, é o que se poderia denominar a assunção da vida pelo poder [...]”, em que o Estado utilizava-se de sua soberania para fazer morrer (de forma ativa) ou permitir viver (de forma passiva).</w:t>
      </w:r>
    </w:p>
    <w:p w:rsidR="00000000" w:rsidDel="00000000" w:rsidP="00000000" w:rsidRDefault="00000000" w:rsidRPr="00000000" w14:paraId="0000001C">
      <w:pPr>
        <w:spacing w:line="360" w:lineRule="auto"/>
        <w:ind w:firstLine="708.6614173228347"/>
        <w:jc w:val="both"/>
        <w:rPr>
          <w:sz w:val="24"/>
          <w:szCs w:val="24"/>
        </w:rPr>
      </w:pPr>
      <w:r w:rsidDel="00000000" w:rsidR="00000000" w:rsidRPr="00000000">
        <w:rPr>
          <w:sz w:val="24"/>
          <w:szCs w:val="24"/>
          <w:rtl w:val="0"/>
        </w:rPr>
        <w:t xml:space="preserve">Após o século XIX, essa lógica se inverte: o Estado, agora, pode fazer viver e deixar morrer, pois, através da biopolítica, cabe ao governante a gestão da vida. Em relação a essa dominação, Foucault ainda destaca que o racismo de Estado é uma tecnologia de poder, o qual não se refere a um simples discurso ou ideologia, mas que “[...] terá funções específicas, diferente das demais de que dispõe o Estado [...]” (Almeida, 2019, p. 70). Assim, o biopoder é o conceito que demonstra o exercício do poder sobre a vida, de forma a discipliná-la e a regulamentá-la. </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O racismo, dessa forma, expressa-se através da hierarquização dos indivíduos e da rotulação de raças tidas como inferiores, em que o domínio da decisão de quem o Estado pode fazer viver e deixar morrer é legitimado pela sociedade. Nesse viés, ressalta-se que essa concepção do direito de matar não se relaciona somente à morte biológica, mas também é “[...] a exposição ao risco da morte, a morte política, a expulsão e a rejeição [...]” (Almeida, 2019, p. 71). </w:t>
      </w:r>
    </w:p>
    <w:p w:rsidR="00000000" w:rsidDel="00000000" w:rsidP="00000000" w:rsidRDefault="00000000" w:rsidRPr="00000000" w14:paraId="0000001E">
      <w:pPr>
        <w:spacing w:line="360" w:lineRule="auto"/>
        <w:ind w:firstLine="708.6614173228347"/>
        <w:jc w:val="both"/>
        <w:rPr>
          <w:sz w:val="24"/>
          <w:szCs w:val="24"/>
        </w:rPr>
      </w:pPr>
      <w:r w:rsidDel="00000000" w:rsidR="00000000" w:rsidRPr="00000000">
        <w:rPr>
          <w:sz w:val="24"/>
          <w:szCs w:val="24"/>
          <w:rtl w:val="0"/>
        </w:rPr>
        <w:t xml:space="preserve">A partir desses conceitos estruturados por Foucault, Achille Mbembe, cientista político camaronês, desenvolve o conceito de necropolítica, destacando que a soberania se manifesta, em grande medida, no poder de decisão de quem deve viver e quem deve morrer. Nesse sentido, o Estado soberano tem legitimidade de determinar quem pode viver e também atua de forma a deixar que outros indivíduos morram. Dessa forma, a necropolítica exibe uma prática de controle da gestão de morte, principalmente sobre corpos marginalizados e racializados. </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Ademais, Mbembe (2016, p. 128) destaca que “[...] essas trajetórias pelas quais o estado de exceção e a relação de inimizade tornaram-se a base normativa do direito de matar [...]”. A necropolítica se materializa a partir da institucionalização da morte e da classificação de quais grupos sociais devem ser protegidos e quais podem ser eliminados, naturalizando a violência aos sujeitos historicamente excluídos. A morte, portanto, é validada sob a justificativa de supostos riscos à segurança, configurando-se como princípio ético da lógica de poder (Almeida, 2019).</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Ao analisar o contexto do colonialismo, com novas formas do mecanismo de poder, verifica-se que não existe um equilíbrio entre a morte e a vida: há somente o exercício sobre a morte. Assim, para além de considerar apenas o conceito de biopolítica, Mbembe também o vincula com os de estado de exceção e de sítio, onde “[...] a relação de inimizade tornaram-se a base normativa do direito de matar [...]” (Mbembe, 2016). Dessa forma, não apenas o Estado é aquele que exerce esse direito, mas a sociedade também busca combater um inimigo ficcional.</w:t>
      </w:r>
    </w:p>
    <w:p w:rsidR="00000000" w:rsidDel="00000000" w:rsidP="00000000" w:rsidRDefault="00000000" w:rsidRPr="00000000" w14:paraId="00000021">
      <w:pPr>
        <w:spacing w:line="360" w:lineRule="auto"/>
        <w:ind w:firstLine="708.6614173228347"/>
        <w:jc w:val="both"/>
        <w:rPr>
          <w:sz w:val="24"/>
          <w:szCs w:val="24"/>
        </w:rPr>
      </w:pPr>
      <w:r w:rsidDel="00000000" w:rsidR="00000000" w:rsidRPr="00000000">
        <w:rPr>
          <w:sz w:val="24"/>
          <w:szCs w:val="24"/>
          <w:rtl w:val="0"/>
        </w:rPr>
        <w:t xml:space="preserve">À vista disso, por um legado histórico do colonialismo, o Brasil contemporâneo continua marcado pela inferiorização de populações marginalizadas e pela perpetuação de formas de violência institucionalizada. Nesse viés, cotidianamente, verificam-se múltiplas formas do exercício da necropolítica, principalmente sobre corpos negros. O racismo estrutural, base para compreender como o poder atua, é</w:t>
      </w:r>
    </w:p>
    <w:p w:rsidR="00000000" w:rsidDel="00000000" w:rsidP="00000000" w:rsidRDefault="00000000" w:rsidRPr="00000000" w14:paraId="00000022">
      <w:pPr>
        <w:spacing w:line="240" w:lineRule="auto"/>
        <w:ind w:firstLine="708.6614173228347"/>
        <w:jc w:val="both"/>
        <w:rPr>
          <w:sz w:val="20"/>
          <w:szCs w:val="20"/>
        </w:rPr>
      </w:pPr>
      <w:r w:rsidDel="00000000" w:rsidR="00000000" w:rsidRPr="00000000">
        <w:rPr>
          <w:rtl w:val="0"/>
        </w:rPr>
      </w:r>
    </w:p>
    <w:p w:rsidR="00000000" w:rsidDel="00000000" w:rsidP="00000000" w:rsidRDefault="00000000" w:rsidRPr="00000000" w14:paraId="00000023">
      <w:pPr>
        <w:spacing w:line="240" w:lineRule="auto"/>
        <w:ind w:left="2267.71653543307" w:firstLine="0"/>
        <w:jc w:val="both"/>
        <w:rPr>
          <w:sz w:val="20"/>
          <w:szCs w:val="20"/>
        </w:rPr>
      </w:pPr>
      <w:r w:rsidDel="00000000" w:rsidR="00000000" w:rsidRPr="00000000">
        <w:rPr>
          <w:sz w:val="20"/>
          <w:szCs w:val="20"/>
          <w:rtl w:val="0"/>
        </w:rPr>
        <w:t xml:space="preserve">uma forma sistemática de discriminação que tem a raça como fundamento, e que se manifesta por meio de práticas conscientes ou inconscientes que culminam em desvantagens ou privilégios para indivíduos, a depender do grupo racial ao qual pertençam. (Almeida, 2016, p. 22)</w:t>
      </w:r>
    </w:p>
    <w:p w:rsidR="00000000" w:rsidDel="00000000" w:rsidP="00000000" w:rsidRDefault="00000000" w:rsidRPr="00000000" w14:paraId="00000024">
      <w:pPr>
        <w:spacing w:line="360" w:lineRule="auto"/>
        <w:ind w:left="2267.71653543307" w:firstLine="0"/>
        <w:jc w:val="both"/>
        <w:rPr>
          <w:sz w:val="24"/>
          <w:szCs w:val="24"/>
        </w:rPr>
      </w:pPr>
      <w:r w:rsidDel="00000000" w:rsidR="00000000" w:rsidRPr="00000000">
        <w:rPr>
          <w:rtl w:val="0"/>
        </w:rPr>
      </w:r>
    </w:p>
    <w:p w:rsidR="00000000" w:rsidDel="00000000" w:rsidP="00000000" w:rsidRDefault="00000000" w:rsidRPr="00000000" w14:paraId="00000025">
      <w:pPr>
        <w:spacing w:line="360" w:lineRule="auto"/>
        <w:ind w:firstLine="708.6614173228347"/>
        <w:jc w:val="both"/>
        <w:rPr>
          <w:sz w:val="24"/>
          <w:szCs w:val="24"/>
          <w:vertAlign w:val="baseline"/>
        </w:rPr>
      </w:pPr>
      <w:r w:rsidDel="00000000" w:rsidR="00000000" w:rsidRPr="00000000">
        <w:rPr>
          <w:sz w:val="24"/>
          <w:szCs w:val="24"/>
          <w:rtl w:val="0"/>
        </w:rPr>
        <w:t xml:space="preserve">Conforme destaca Wood (2011), mesmo após a abolição da escravatura, o racismo persiste como ideologia, justificando a dominação colonial e a desigualdade. Diante do exposto, ao refletir acerca da situação da naturalização da violência contra negros, estabelecida por séculos de escravidão, é possivel compreender que ações brutais, como o linchamento, são legitimadas no Brasil. A punição extrajudicial de corpos racializados, logo, é uma manifestação da necropolítica, que, de forma seletiva, o Estado e a sociedade decidem quem pode viver e quem deve morrer.</w:t>
      </w:r>
      <w:r w:rsidDel="00000000" w:rsidR="00000000" w:rsidRPr="00000000">
        <w:rPr>
          <w:rtl w:val="0"/>
        </w:rPr>
      </w:r>
    </w:p>
    <w:p w:rsidR="00000000" w:rsidDel="00000000" w:rsidP="00000000" w:rsidRDefault="00000000" w:rsidRPr="00000000" w14:paraId="0000002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7">
      <w:pPr>
        <w:spacing w:line="360" w:lineRule="auto"/>
        <w:jc w:val="both"/>
        <w:rPr>
          <w:b w:val="1"/>
          <w:sz w:val="24"/>
          <w:szCs w:val="24"/>
        </w:rPr>
      </w:pPr>
      <w:r w:rsidDel="00000000" w:rsidR="00000000" w:rsidRPr="00000000">
        <w:rPr>
          <w:b w:val="1"/>
          <w:sz w:val="24"/>
          <w:szCs w:val="24"/>
          <w:rtl w:val="0"/>
        </w:rPr>
        <w:t xml:space="preserve">3</w:t>
        <w:tab/>
        <w:t xml:space="preserve">SELETIVIDADE PENAL E CRIMINOLOGIA CRÍTICA</w:t>
      </w:r>
    </w:p>
    <w:p w:rsidR="00000000" w:rsidDel="00000000" w:rsidP="00000000" w:rsidRDefault="00000000" w:rsidRPr="00000000" w14:paraId="0000002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9">
      <w:pPr>
        <w:spacing w:line="360" w:lineRule="auto"/>
        <w:ind w:firstLine="708.6614173228347"/>
        <w:jc w:val="both"/>
        <w:rPr>
          <w:sz w:val="24"/>
          <w:szCs w:val="24"/>
        </w:rPr>
      </w:pPr>
      <w:r w:rsidDel="00000000" w:rsidR="00000000" w:rsidRPr="00000000">
        <w:rPr>
          <w:sz w:val="24"/>
          <w:szCs w:val="24"/>
          <w:rtl w:val="0"/>
        </w:rPr>
        <w:t xml:space="preserve">Ao analisar a atuação do sistema penal no Brasil, é imperioso destacar a existência de uma lógica de punição seletiva, a qual contribui para a normalização da morte de corpos historicamente marginalizados. Nesse sentido, a seletividade penal não é vista em casos específicos, mas está intimamente ligada à arquitetura institucional sustentada pelo racismo estrutural. A punição, efetuada pelo Estado e pela sociedade, incide sistematicamente sobre individuos negros, pobres e periféricos, expondo um viés repressivo conectado à logica necropolítica.</w:t>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 Compreender a questão dos linchamentos, portanto, é analisar como a seletividade penal atua na sociedade. Esse conceito deve ser entendido como a desigualdade do sistema criminal, tendo por finalidade a “[...] marginalização dos grupos sociais subalternos [...]” (Baratta, 2002, p. 114). Nesse viés, o direito penal não age de forma neutra, mas reforça hierarquias sociais e favorece a continuidade de estruturas de dominação ao direcionar a repressão a determinados grupos sociais, principalmente aos mais vulnerabilizados historicamente.</w:t>
      </w:r>
    </w:p>
    <w:p w:rsidR="00000000" w:rsidDel="00000000" w:rsidP="00000000" w:rsidRDefault="00000000" w:rsidRPr="00000000" w14:paraId="0000002B">
      <w:pPr>
        <w:spacing w:line="360" w:lineRule="auto"/>
        <w:ind w:firstLine="708.6614173228347"/>
        <w:jc w:val="both"/>
        <w:rPr>
          <w:sz w:val="24"/>
          <w:szCs w:val="24"/>
        </w:rPr>
      </w:pPr>
      <w:r w:rsidDel="00000000" w:rsidR="00000000" w:rsidRPr="00000000">
        <w:rPr>
          <w:sz w:val="24"/>
          <w:szCs w:val="24"/>
          <w:rtl w:val="0"/>
        </w:rPr>
        <w:t xml:space="preserve">Nesse sentido, o </w:t>
      </w:r>
      <w:r w:rsidDel="00000000" w:rsidR="00000000" w:rsidRPr="00000000">
        <w:rPr>
          <w:i w:val="1"/>
          <w:sz w:val="24"/>
          <w:szCs w:val="24"/>
          <w:rtl w:val="0"/>
        </w:rPr>
        <w:t xml:space="preserve">labeling approach</w:t>
      </w:r>
      <w:r w:rsidDel="00000000" w:rsidR="00000000" w:rsidRPr="00000000">
        <w:rPr>
          <w:sz w:val="24"/>
          <w:szCs w:val="24"/>
          <w:rtl w:val="0"/>
        </w:rPr>
        <w:t xml:space="preserve"> (teoria do etiquetamento) focaliza nas reações das esferas oficiais de controle, que atuam na construção da criminalidade e geram “[...]efeito estigmatizante da atividade da polícia, dos órgãos de acusação pública e dos juízes[...]” (Baratta, 2002, p.86). Além de compreender a responsabilidade do Estado à produção da criminalização, é imperioso analisar os critérios sociais que orientam a seletividade: a criminologia crítica propõe observação macrossociológica, considerando estruturas sociais e econômicas, onde</w:t>
      </w:r>
    </w:p>
    <w:p w:rsidR="00000000" w:rsidDel="00000000" w:rsidP="00000000" w:rsidRDefault="00000000" w:rsidRPr="00000000" w14:paraId="0000002C">
      <w:pPr>
        <w:spacing w:line="240" w:lineRule="auto"/>
        <w:ind w:firstLine="708.6614173228347"/>
        <w:jc w:val="both"/>
        <w:rPr>
          <w:sz w:val="20"/>
          <w:szCs w:val="20"/>
        </w:rPr>
      </w:pPr>
      <w:r w:rsidDel="00000000" w:rsidR="00000000" w:rsidRPr="00000000">
        <w:rPr>
          <w:rtl w:val="0"/>
        </w:rPr>
      </w:r>
    </w:p>
    <w:p w:rsidR="00000000" w:rsidDel="00000000" w:rsidP="00000000" w:rsidRDefault="00000000" w:rsidRPr="00000000" w14:paraId="0000002D">
      <w:pPr>
        <w:spacing w:line="240" w:lineRule="auto"/>
        <w:ind w:left="2267.71653543307" w:firstLine="0"/>
        <w:jc w:val="both"/>
        <w:rPr>
          <w:sz w:val="20"/>
          <w:szCs w:val="20"/>
        </w:rPr>
      </w:pPr>
      <w:r w:rsidDel="00000000" w:rsidR="00000000" w:rsidRPr="00000000">
        <w:rPr>
          <w:sz w:val="20"/>
          <w:szCs w:val="20"/>
          <w:rtl w:val="0"/>
        </w:rPr>
        <w:t xml:space="preserve">a criminalidade não é mais uma qualidade ontológica de determinados comportamentos [...] mas se revela, principalmente, como um status atribuído a determinados indivíduos [...] distribuído desigualmente conforme a hierarquia dos interesses fixada no sistema sócio-econômico e conforme a desigualdade entre os indivíduos (Baratta, 2002, p. 161)</w:t>
      </w:r>
    </w:p>
    <w:p w:rsidR="00000000" w:rsidDel="00000000" w:rsidP="00000000" w:rsidRDefault="00000000" w:rsidRPr="00000000" w14:paraId="0000002E">
      <w:pPr>
        <w:spacing w:line="360" w:lineRule="auto"/>
        <w:ind w:firstLine="708.6614173228347"/>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F">
      <w:pPr>
        <w:spacing w:line="360" w:lineRule="auto"/>
        <w:ind w:firstLine="708.6614173228347"/>
        <w:jc w:val="both"/>
        <w:rPr>
          <w:sz w:val="24"/>
          <w:szCs w:val="24"/>
        </w:rPr>
      </w:pPr>
      <w:r w:rsidDel="00000000" w:rsidR="00000000" w:rsidRPr="00000000">
        <w:rPr>
          <w:sz w:val="24"/>
          <w:szCs w:val="24"/>
          <w:rtl w:val="0"/>
        </w:rPr>
        <w:t xml:space="preserve">Nesse viés, a criminologia crítica é relevante ao sustentar que o sistema penal não opera de forma imparcial, mas perpetua desigualdades, estigmatiza e pune determinados grupos. Para Butler (2015), as “[...] formas de racismo [...] tendem a produzir versões icônicas de populações que são eminentemente lamentáveis e de outras cuja perda [...] não é passível de luto [...]”, explicitando como algumas vidas são desvalorizadas. Logo, a necropolítica e a criminologia crítica revelam a violência estrutural como pilar da seletividade penal e da opressão racial: a seletividade penal se relaciona com o racismo, atuando como instrumento da criminalização. </w:t>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sz w:val="24"/>
          <w:szCs w:val="24"/>
          <w:rtl w:val="0"/>
        </w:rPr>
        <w:t xml:space="preserve">A formação nacional não ocorreu com neutralidade, mas com a elaboração de políticas baseadas na classificação social, estabelecendo justificativas ao controle de determinados grupos (Almeida, 2019). Com a naturalização da violência, a punição não é apenas exercida pelo Estado: a sociedade é guiada pela mentalidade racista, reforçando a concepção de que certos corpos devem ser eliminados. É nesse contexto que o linchamento surge como meio de justiça popular racializada, onde o povo, imerso em estigmas históricos, atua em ações paralegais, adotando o papel de julgador e executor fora dos limites do sistema formal de justiça.</w:t>
      </w:r>
    </w:p>
    <w:p w:rsidR="00000000" w:rsidDel="00000000" w:rsidP="00000000" w:rsidRDefault="00000000" w:rsidRPr="00000000" w14:paraId="00000031">
      <w:pPr>
        <w:spacing w:line="360" w:lineRule="auto"/>
        <w:jc w:val="both"/>
        <w:rPr>
          <w:b w:val="1"/>
          <w:sz w:val="24"/>
          <w:szCs w:val="24"/>
        </w:rPr>
      </w:pPr>
      <w:r w:rsidDel="00000000" w:rsidR="00000000" w:rsidRPr="00000000">
        <w:rPr>
          <w:b w:val="1"/>
          <w:sz w:val="24"/>
          <w:szCs w:val="24"/>
          <w:rtl w:val="0"/>
        </w:rPr>
        <w:t xml:space="preserve">4</w:t>
        <w:tab/>
        <w:t xml:space="preserve">O LINCHAMENTO E A VIOLÊNCIA COMO FENÔMENOS SOCIAIS E POLÍTICOS</w:t>
      </w:r>
    </w:p>
    <w:p w:rsidR="00000000" w:rsidDel="00000000" w:rsidP="00000000" w:rsidRDefault="00000000" w:rsidRPr="00000000" w14:paraId="0000003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Ao longo da história brasileira, a ampliação dos registros de casos de linchamento evidencia a complexidade das conjunturas sociopolíticas que permeiam essa prática, a qual não pode ser compreendida meramente como um ato espontâneo de rebeldia social. Trata-se, antes, de um fenômeno que reflete as omissões estruturais do Estado em relação à proteção do indivíduo penalizado, bem como as próprias assimetrias que conformam o Direito Penal na sociedade brasileira. </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Apesar disso, não se pode deixar de comentar o apagamento social envolvendo esses casos até as primeiras décadas do século XX. Somente após os movimentos de redemocratização, especialmente devido à valorização dos Direitos Humanos em âmbito global, no período pós-guerra, é que passou-se a encarar o linchamento como um comportamento social, e não apenas um ato violento isolado. Desde então, observou-se um aumento brusco no catálogo desses casos, chegando a mais de 1.176 em menos de três décadas (Sinhoretto, 2009).</w:t>
      </w:r>
    </w:p>
    <w:p w:rsidR="00000000" w:rsidDel="00000000" w:rsidP="00000000" w:rsidRDefault="00000000" w:rsidRPr="00000000" w14:paraId="00000035">
      <w:pPr>
        <w:spacing w:after="0" w:before="0" w:line="360" w:lineRule="auto"/>
        <w:ind w:firstLine="709"/>
        <w:jc w:val="both"/>
        <w:rPr>
          <w:sz w:val="24"/>
          <w:szCs w:val="24"/>
        </w:rPr>
      </w:pPr>
      <w:r w:rsidDel="00000000" w:rsidR="00000000" w:rsidRPr="00000000">
        <w:rPr>
          <w:sz w:val="24"/>
          <w:szCs w:val="24"/>
          <w:rtl w:val="0"/>
        </w:rPr>
        <w:t xml:space="preserve">É de se dizer, contudo, que tais fenômenos se configuraram, a princípio, como motins populares agressivos, chamados de “quebra-quebra”: geralmente, contra um opressor em comum, os quais tinham fim apenas com a morte desse inimigo (Sinhoretto, 2001). Assim, no Brasil, pode-se entender que</w:t>
      </w:r>
    </w:p>
    <w:p w:rsidR="00000000" w:rsidDel="00000000" w:rsidP="00000000" w:rsidRDefault="00000000" w:rsidRPr="00000000" w14:paraId="00000036">
      <w:pPr>
        <w:spacing w:after="0" w:before="0" w:line="240" w:lineRule="auto"/>
        <w:ind w:firstLine="709"/>
        <w:jc w:val="both"/>
        <w:rPr>
          <w:sz w:val="20"/>
          <w:szCs w:val="20"/>
        </w:rPr>
      </w:pPr>
      <w:r w:rsidDel="00000000" w:rsidR="00000000" w:rsidRPr="00000000">
        <w:rPr>
          <w:rtl w:val="0"/>
        </w:rPr>
      </w:r>
    </w:p>
    <w:p w:rsidR="00000000" w:rsidDel="00000000" w:rsidP="00000000" w:rsidRDefault="00000000" w:rsidRPr="00000000" w14:paraId="00000037">
      <w:pPr>
        <w:spacing w:after="0" w:before="0" w:line="240" w:lineRule="auto"/>
        <w:ind w:left="2267.71653543307" w:firstLine="0"/>
        <w:jc w:val="both"/>
        <w:rPr>
          <w:sz w:val="20"/>
          <w:szCs w:val="20"/>
        </w:rPr>
      </w:pPr>
      <w:r w:rsidDel="00000000" w:rsidR="00000000" w:rsidRPr="00000000">
        <w:rPr>
          <w:sz w:val="20"/>
          <w:szCs w:val="20"/>
          <w:rtl w:val="0"/>
        </w:rPr>
        <w:t xml:space="preserve">Os linchamentos e os motins geralmente não são expressão de defesa de um projeto político revolucionário, ainda que possam acontecer em contextos de revolução. Mas, sem dúvida, são expressão de uma indignação aguda com uma determinada situação de opressão (Sinhoretto, 2001, p. 29)</w:t>
      </w:r>
    </w:p>
    <w:p w:rsidR="00000000" w:rsidDel="00000000" w:rsidP="00000000" w:rsidRDefault="00000000" w:rsidRPr="00000000" w14:paraId="00000038">
      <w:pPr>
        <w:spacing w:after="0" w:before="0" w:line="360" w:lineRule="auto"/>
        <w:ind w:left="2267.71653543307" w:firstLine="0"/>
        <w:jc w:val="both"/>
        <w:rPr>
          <w:sz w:val="24"/>
          <w:szCs w:val="24"/>
        </w:rPr>
      </w:pPr>
      <w:r w:rsidDel="00000000" w:rsidR="00000000" w:rsidRPr="00000000">
        <w:rPr>
          <w:rtl w:val="0"/>
        </w:rPr>
      </w:r>
    </w:p>
    <w:p w:rsidR="00000000" w:rsidDel="00000000" w:rsidP="00000000" w:rsidRDefault="00000000" w:rsidRPr="00000000" w14:paraId="00000039">
      <w:pPr>
        <w:spacing w:after="0" w:before="0" w:line="360" w:lineRule="auto"/>
        <w:ind w:firstLine="850.3937007874017"/>
        <w:jc w:val="both"/>
        <w:rPr>
          <w:sz w:val="24"/>
          <w:szCs w:val="24"/>
        </w:rPr>
      </w:pPr>
      <w:r w:rsidDel="00000000" w:rsidR="00000000" w:rsidRPr="00000000">
        <w:rPr>
          <w:sz w:val="24"/>
          <w:szCs w:val="24"/>
          <w:rtl w:val="0"/>
        </w:rPr>
        <w:t xml:space="preserve">No atual estágio do capitalismo periférico brasileiro, marcado pela militarização da vida cotidiana e pela seletividade penal, o linchamento adquire novos contornos e revela-se como um termômetro da falência institucional. Assim, observa-se percepções alternativas de justiça, a feita “pelas próprias mãos”, tal como um modo de dizer autoritário de punição sumária. Acontece que essa justiça é falha, muitas vezes vitimando pessoas inocentes em relação ao crime julgado devido a diversos estereótipos. </w:t>
      </w:r>
    </w:p>
    <w:p w:rsidR="00000000" w:rsidDel="00000000" w:rsidP="00000000" w:rsidRDefault="00000000" w:rsidRPr="00000000" w14:paraId="0000003A">
      <w:pPr>
        <w:spacing w:line="360" w:lineRule="auto"/>
        <w:ind w:firstLine="850.3937007874017"/>
        <w:jc w:val="both"/>
        <w:rPr>
          <w:sz w:val="24"/>
          <w:szCs w:val="24"/>
        </w:rPr>
      </w:pPr>
      <w:r w:rsidDel="00000000" w:rsidR="00000000" w:rsidRPr="00000000">
        <w:rPr>
          <w:sz w:val="24"/>
          <w:szCs w:val="24"/>
          <w:rtl w:val="0"/>
        </w:rPr>
        <w:t xml:space="preserve">Nesse sentido, o etiquetamento social (Baratta, 2002) exerce papel fundamental na forma como determinados corpos são construídos socialmente como perigosos ou desviantes. O linchamento, nesse contexto, em suma, não incide sobre qualquer corpo, mas recai, de maneira sistemática, sobre os corpos negros, que historicamente foram estigmatizados como inimigos sociais (Almeida, 2019). </w:t>
      </w:r>
    </w:p>
    <w:p w:rsidR="00000000" w:rsidDel="00000000" w:rsidP="00000000" w:rsidRDefault="00000000" w:rsidRPr="00000000" w14:paraId="0000003B">
      <w:pPr>
        <w:spacing w:line="360" w:lineRule="auto"/>
        <w:ind w:firstLine="850.3937007874017"/>
        <w:jc w:val="both"/>
        <w:rPr>
          <w:sz w:val="24"/>
          <w:szCs w:val="24"/>
        </w:rPr>
      </w:pPr>
      <w:r w:rsidDel="00000000" w:rsidR="00000000" w:rsidRPr="00000000">
        <w:rPr>
          <w:sz w:val="24"/>
          <w:szCs w:val="24"/>
          <w:rtl w:val="0"/>
        </w:rPr>
        <w:t xml:space="preserve">De fato, a construção do negro como símbolo de periculosidade não é um fenômeno recente, tampouco isolado. Trata-se de uma narrativa estrutural sustentada por séculos de escravização, exclusão e subalternização, cujos efeitos reverberam no imaginário coletivo contemporâneo. Conforme explica Jesus, Sousa e Sousa (2024, p. 60), “[...] o perfil dos reais vitimizados [...] sofre significativa influência dos marcadores sociais e raciais.”. </w:t>
      </w:r>
    </w:p>
    <w:p w:rsidR="00000000" w:rsidDel="00000000" w:rsidP="00000000" w:rsidRDefault="00000000" w:rsidRPr="00000000" w14:paraId="0000003C">
      <w:pPr>
        <w:spacing w:line="360" w:lineRule="auto"/>
        <w:ind w:firstLine="850.3937007874017"/>
        <w:jc w:val="both"/>
        <w:rPr>
          <w:sz w:val="24"/>
          <w:szCs w:val="24"/>
        </w:rPr>
      </w:pPr>
      <w:r w:rsidDel="00000000" w:rsidR="00000000" w:rsidRPr="00000000">
        <w:rPr>
          <w:sz w:val="24"/>
          <w:szCs w:val="24"/>
          <w:rtl w:val="0"/>
        </w:rPr>
        <w:t xml:space="preserve">Assim, o linchamento torna-se uma resposta extrajudicial a um estereótipo, um reflexo direto da racialização do crime e da criminalização da negritude. Nota-se uma disposição coletiva de punir na qual encontra amparo no medo difuso gerado pela falência das instituições em garantir segurança, justiça e equidade. De acordo com Zaffaroni (2013), essa falência do Estado — sobretudo no que se refere ao sistema penal — alimenta um sentimento de insegurança subjetiva, uma espécie de pânico moral. </w:t>
      </w:r>
    </w:p>
    <w:p w:rsidR="00000000" w:rsidDel="00000000" w:rsidP="00000000" w:rsidRDefault="00000000" w:rsidRPr="00000000" w14:paraId="0000003D">
      <w:pPr>
        <w:spacing w:line="360" w:lineRule="auto"/>
        <w:ind w:firstLine="850.3937007874017"/>
        <w:jc w:val="both"/>
        <w:rPr>
          <w:sz w:val="24"/>
          <w:szCs w:val="24"/>
        </w:rPr>
      </w:pPr>
      <w:r w:rsidDel="00000000" w:rsidR="00000000" w:rsidRPr="00000000">
        <w:rPr>
          <w:sz w:val="24"/>
          <w:szCs w:val="24"/>
          <w:rtl w:val="0"/>
        </w:rPr>
        <w:t xml:space="preserve">A população, sentindo-se desprotegida, passa a atuar como sujeito penal informal, promovendo julgamentos e execuções sumárias. Baseadas em preconceitos sobre aparência, localização e pertencimento racial, já construídos socialmente na imagem do negro, esses fatores se intensificam, colaborando para o aumento de casos mais violentos. É nesse ponto que os marcadores de interseccionalidade se intensificam: ser negro no Brasil, sobretudo jovem, pobre e periférico (Jesus; Sousa; Sousa, 2024), é portar um estigma que opera como dispositivo de exclusão e punição antecipada, frequentemente sem qualquer amparo probatório ou jurídico, não importando o grupo linchador. </w:t>
      </w:r>
    </w:p>
    <w:p w:rsidR="00000000" w:rsidDel="00000000" w:rsidP="00000000" w:rsidRDefault="00000000" w:rsidRPr="00000000" w14:paraId="0000003E">
      <w:pPr>
        <w:spacing w:line="360" w:lineRule="auto"/>
        <w:ind w:firstLine="850.3937007874017"/>
        <w:jc w:val="both"/>
        <w:rPr>
          <w:sz w:val="24"/>
          <w:szCs w:val="24"/>
        </w:rPr>
      </w:pPr>
      <w:r w:rsidDel="00000000" w:rsidR="00000000" w:rsidRPr="00000000">
        <w:rPr>
          <w:sz w:val="24"/>
          <w:szCs w:val="24"/>
          <w:rtl w:val="0"/>
        </w:rPr>
        <w:t xml:space="preserve">Logo, a seletividade penal, ao mesmo tempo em que silencia as violências sofridas por essa população, legitima respostas sociais violentas como o linchamento, operando uma espécie de conivência tácita entre o Estado e a sociedade em relação à punição informal de corpos previamente marcados como culpados. </w:t>
      </w:r>
    </w:p>
    <w:p w:rsidR="00000000" w:rsidDel="00000000" w:rsidP="00000000" w:rsidRDefault="00000000" w:rsidRPr="00000000" w14:paraId="0000003F">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0">
      <w:pPr>
        <w:spacing w:line="360" w:lineRule="auto"/>
        <w:jc w:val="both"/>
        <w:rPr>
          <w:b w:val="1"/>
          <w:sz w:val="24"/>
          <w:szCs w:val="24"/>
        </w:rPr>
      </w:pPr>
      <w:r w:rsidDel="00000000" w:rsidR="00000000" w:rsidRPr="00000000">
        <w:rPr>
          <w:b w:val="1"/>
          <w:sz w:val="24"/>
          <w:szCs w:val="24"/>
          <w:rtl w:val="0"/>
        </w:rPr>
        <w:t xml:space="preserve">5</w:t>
        <w:tab/>
        <w:t xml:space="preserve">ABOLICIONISMO PENAL E ALTERNATIVAS DE JUSTIÇA</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Repensar as formas de punição no contexto racista e seletivista brasileiro é entender o atual estado necronormativo do Direito Penal, simbolizado nas constantes buscas por meios alternativos à justiça legalista, como o linchamento. Nesse sentido, a corrente do abolicionismo penal aparece como um importante fator para colaborar com a questão. </w:t>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sz w:val="24"/>
          <w:szCs w:val="24"/>
          <w:rtl w:val="0"/>
        </w:rPr>
        <w:t xml:space="preserve">Sobretudo com os pensamentos de Mathiensen (1986), o abolicionismo penal surge com o ideal de eliminação das prisões e do sistema prisional, ou, como já dito, a intenção de reformulá-lo, quebrando os laços tradicionais que se mostram histórico e socialmente ineficazes. Busca-se mostrar que o crime é tratado e punido da mesma forma (no caso, a pena privativa de liberdade), mas com níveis diferentes (uma pena mais branda ou não), sendo que cada fator criminológico deveria ser analisado por seu contexto sociocultural e histórico.</w:t>
      </w:r>
    </w:p>
    <w:p w:rsidR="00000000" w:rsidDel="00000000" w:rsidP="00000000" w:rsidRDefault="00000000" w:rsidRPr="00000000" w14:paraId="00000044">
      <w:pPr>
        <w:spacing w:line="360" w:lineRule="auto"/>
        <w:ind w:firstLine="709"/>
        <w:jc w:val="both"/>
        <w:rPr>
          <w:sz w:val="24"/>
          <w:szCs w:val="24"/>
        </w:rPr>
      </w:pPr>
      <w:r w:rsidDel="00000000" w:rsidR="00000000" w:rsidRPr="00000000">
        <w:rPr>
          <w:sz w:val="24"/>
          <w:szCs w:val="24"/>
          <w:rtl w:val="0"/>
        </w:rPr>
        <w:t xml:space="preserve">Essa constatação é fundamental para compreender a perpetuação da violência estatal, cuja racionalidade, conforme Zaffaroni (1991), encontra-se na manutenção de um sistema penal seletivo e estruturalmente incapaz de reduzir a criminalidade. Pelo contrário, tal sistema fomenta a exclusão social e alimenta práticas extralegais. Nesse contexto, o conceito de </w:t>
      </w:r>
      <w:r w:rsidDel="00000000" w:rsidR="00000000" w:rsidRPr="00000000">
        <w:rPr>
          <w:sz w:val="24"/>
          <w:szCs w:val="24"/>
          <w:rtl w:val="0"/>
        </w:rPr>
        <w:t xml:space="preserve">necronormatividade</w:t>
      </w:r>
      <w:r w:rsidDel="00000000" w:rsidR="00000000" w:rsidRPr="00000000">
        <w:rPr>
          <w:sz w:val="24"/>
          <w:szCs w:val="24"/>
          <w:rtl w:val="0"/>
        </w:rPr>
        <w:t xml:space="preserve"> estatal pode ser relacionado aos quadros analíticos propostos por Butler (2015), ao afirmar que determinadas vidas são tornadas "não passíveis de luto", o que contribui para a normalização da violência punitiva, tanto estatal quanto paraestatal, como no caso dos linchamentos. Essas práticas, embora exteriores ao aparato jurídico formal, são sustentadas pela mesma matriz que organiza a penalidade seletiva e racializada, evidenciando a falência do modelo punitivo contemporâneo.</w:t>
      </w:r>
    </w:p>
    <w:p w:rsidR="00000000" w:rsidDel="00000000" w:rsidP="00000000" w:rsidRDefault="00000000" w:rsidRPr="00000000" w14:paraId="00000045">
      <w:pPr>
        <w:spacing w:line="360" w:lineRule="auto"/>
        <w:ind w:firstLine="709"/>
        <w:jc w:val="both"/>
        <w:rPr>
          <w:sz w:val="24"/>
          <w:szCs w:val="24"/>
        </w:rPr>
      </w:pPr>
      <w:r w:rsidDel="00000000" w:rsidR="00000000" w:rsidRPr="00000000">
        <w:rPr>
          <w:sz w:val="24"/>
          <w:szCs w:val="24"/>
          <w:rtl w:val="0"/>
        </w:rPr>
        <w:t xml:space="preserve">Diante desse cenário, o abolicionismo penal não se limita a uma crítica teórica, mas apresenta-se como um projeto político e ético para a superação progressiva das práticas punitivistas. Como destaca Davis (2019), a abolição das prisões e do sistema penal é inseparável da construção de uma democracia radical, que se articula com a erradicação das desigualdades estruturais e das múltiplas formas de opressão que alimentam o encarceramento em massa e a violência extrajudicial. </w:t>
      </w:r>
    </w:p>
    <w:p w:rsidR="00000000" w:rsidDel="00000000" w:rsidP="00000000" w:rsidRDefault="00000000" w:rsidRPr="00000000" w14:paraId="00000046">
      <w:pPr>
        <w:spacing w:line="360" w:lineRule="auto"/>
        <w:ind w:firstLine="709"/>
        <w:jc w:val="both"/>
        <w:rPr>
          <w:sz w:val="24"/>
          <w:szCs w:val="24"/>
        </w:rPr>
      </w:pPr>
      <w:r w:rsidDel="00000000" w:rsidR="00000000" w:rsidRPr="00000000">
        <w:rPr>
          <w:sz w:val="24"/>
          <w:szCs w:val="24"/>
          <w:rtl w:val="0"/>
        </w:rPr>
        <w:t xml:space="preserve">Nesse sentido, ganha centralidade a discussão sobre as alternativas de justiça, especialmente os modelos orientados pela justiça restaurativa. Tais mecanismos propõem uma reorganização das respostas aos conflitos, deslocando o foco da punição para a reparação, a responsabilização dialógica e a restauração de vínculos comunitários. A justiça restaurativa, ao reconhecer os contextos sociais e históricos dos sujeitos envolvidos no conflito, rompe com a universalização abstrata da pena e promove práticas que valorizam a dignidade e a autonomia das pessoas, em consonância com os pressupostos abolicionistas.</w:t>
      </w:r>
    </w:p>
    <w:p w:rsidR="00000000" w:rsidDel="00000000" w:rsidP="00000000" w:rsidRDefault="00000000" w:rsidRPr="00000000" w14:paraId="00000047">
      <w:pPr>
        <w:spacing w:line="360" w:lineRule="auto"/>
        <w:ind w:firstLine="709"/>
        <w:jc w:val="both"/>
        <w:rPr>
          <w:sz w:val="24"/>
          <w:szCs w:val="24"/>
        </w:rPr>
      </w:pPr>
      <w:r w:rsidDel="00000000" w:rsidR="00000000" w:rsidRPr="00000000">
        <w:rPr>
          <w:sz w:val="24"/>
          <w:szCs w:val="24"/>
          <w:rtl w:val="0"/>
        </w:rPr>
        <w:t xml:space="preserve">Zaffaroni (1991) já indicava que o sistema penal clássico não só fracassa na proteção social, mas também estimula a emergência de práticas violentas alternativas, como os linchamentos, que, embora se apresentem como formas de justiça popular, reproduzem a mesma lógica de eliminação física e simbólica de sujeitos considerados descartáveis. Por isso, a construção de alternativas de justiça, orientadas por princípios restaurativos, é indispensável para interromper a reprodução social da violência, evitando tanto a perpetuação da punição estatal quanto a legitimação de práticas punitivas informais.</w:t>
      </w:r>
    </w:p>
    <w:p w:rsidR="00000000" w:rsidDel="00000000" w:rsidP="00000000" w:rsidRDefault="00000000" w:rsidRPr="00000000" w14:paraId="00000048">
      <w:pPr>
        <w:spacing w:line="360" w:lineRule="auto"/>
        <w:ind w:firstLine="709"/>
        <w:jc w:val="both"/>
        <w:rPr>
          <w:sz w:val="24"/>
          <w:szCs w:val="24"/>
        </w:rPr>
      </w:pPr>
      <w:r w:rsidDel="00000000" w:rsidR="00000000" w:rsidRPr="00000000">
        <w:rPr>
          <w:sz w:val="24"/>
          <w:szCs w:val="24"/>
          <w:rtl w:val="0"/>
        </w:rPr>
        <w:t xml:space="preserve">Assim, a articulação entre o abolicionismo penal e as alternativas de justiça implica um duplo movimento: por um lado, a deslegitimação do sistema penal como forma central de resolução dos conflitos sociais; por outro, a promoção de práticas que efetivamente previnam a violência, promovam a inclusão e reconheçam a humanidade dos sujeitos historicamente vulnerabilizados. Como assevera Mathiesen (1986), o abolicionismo é, sobretudo, uma política que busca alternativas viáveis e concretas para além da prisão, desafiando o imaginário punitivista e abrindo espaço para modelos de convivência social baseados na solidariedade, na justiça social e na erradicação da violência estrutural.</w:t>
      </w:r>
    </w:p>
    <w:p w:rsidR="00000000" w:rsidDel="00000000" w:rsidP="00000000" w:rsidRDefault="00000000" w:rsidRPr="00000000" w14:paraId="0000004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A">
      <w:pPr>
        <w:spacing w:line="360" w:lineRule="auto"/>
        <w:ind w:left="0" w:firstLine="0"/>
        <w:jc w:val="both"/>
        <w:rPr>
          <w:b w:val="1"/>
          <w:sz w:val="24"/>
          <w:szCs w:val="24"/>
          <w:vertAlign w:val="baseline"/>
        </w:rPr>
      </w:pPr>
      <w:r w:rsidDel="00000000" w:rsidR="00000000" w:rsidRPr="00000000">
        <w:rPr>
          <w:b w:val="1"/>
          <w:sz w:val="24"/>
          <w:szCs w:val="24"/>
          <w:rtl w:val="0"/>
        </w:rPr>
        <w:t xml:space="preserve">6</w:t>
      </w:r>
      <w:r w:rsidDel="00000000" w:rsidR="00000000" w:rsidRPr="00000000">
        <w:rPr>
          <w:b w:val="1"/>
          <w:sz w:val="24"/>
          <w:szCs w:val="24"/>
          <w:vertAlign w:val="baseline"/>
          <w:rtl w:val="0"/>
        </w:rPr>
        <w:tab/>
        <w:t xml:space="preserve">CONCLUSÃO</w:t>
      </w:r>
    </w:p>
    <w:p w:rsidR="00000000" w:rsidDel="00000000" w:rsidP="00000000" w:rsidRDefault="00000000" w:rsidRPr="00000000" w14:paraId="0000004B">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4C">
      <w:pPr>
        <w:spacing w:line="360" w:lineRule="auto"/>
        <w:ind w:firstLine="708.6614173228347"/>
        <w:jc w:val="both"/>
        <w:rPr>
          <w:sz w:val="24"/>
          <w:szCs w:val="24"/>
        </w:rPr>
      </w:pPr>
      <w:r w:rsidDel="00000000" w:rsidR="00000000" w:rsidRPr="00000000">
        <w:rPr>
          <w:sz w:val="24"/>
          <w:szCs w:val="24"/>
          <w:rtl w:val="0"/>
        </w:rPr>
        <w:t xml:space="preserve">A pesquisa teve como objetivo geral investigar o fenômeno dos linchamentos como expressão necropolítica. Com base nos dados acerca da seletividade penal, do racismo estrutural, da criminologia crítica e da omissão estatal no amparo a grupos marginalizados, vê-se que o objetivo foi alcançado. Quanto aos principais resultados, constatou-se que o Estado atua através da lógica necronormativa, pautado na punição de pessoas marginalizadas socialmente. Contudo, a política de morte excede a estrutura formal de poder: alcança as práticas coletivas, legitimando a violência contra corpos negros. O linchamento, como punição extralegal, evidencia a seletividade penal fora das normativas legais, sustentando a dinâmica racializada. </w:t>
      </w:r>
    </w:p>
    <w:p w:rsidR="00000000" w:rsidDel="00000000" w:rsidP="00000000" w:rsidRDefault="00000000" w:rsidRPr="00000000" w14:paraId="0000004D">
      <w:pPr>
        <w:spacing w:line="360" w:lineRule="auto"/>
        <w:ind w:firstLine="708.6614173228347"/>
        <w:jc w:val="both"/>
        <w:rPr>
          <w:sz w:val="24"/>
          <w:szCs w:val="24"/>
        </w:rPr>
      </w:pPr>
      <w:r w:rsidDel="00000000" w:rsidR="00000000" w:rsidRPr="00000000">
        <w:rPr>
          <w:sz w:val="24"/>
          <w:szCs w:val="24"/>
          <w:rtl w:val="0"/>
        </w:rPr>
        <w:t xml:space="preserve">Assim, o abolicionismo penal emerge como forma de eliminar o sistema penal, propondo sua reformulação e ruptura de modelos improdutivos: não se restringindo à crítica teórica, mas estabelece-se como política ética, ao enfrentar ações punitivas e propor iniciativas voltadas à justiça restaurativa. Dessa forma, ao destacar a interseção entre o linchamento, seletividade penal e necropolitica, esta pesquisa amplia as discussões acerca da racismo estrutural. Recomenda-se que futuras pesquisas investiguem projetos de combate às formas de violência institucional. A expansão desses estudos, portanto, será essencial para salvaguardar grupos historicamente vulnerabilizados e desenvolver um sistema penal mais equitativo.</w:t>
      </w:r>
    </w:p>
    <w:p w:rsidR="00000000" w:rsidDel="00000000" w:rsidP="00000000" w:rsidRDefault="00000000" w:rsidRPr="00000000" w14:paraId="0000004E">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4F">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0">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51">
      <w:pPr>
        <w:spacing w:line="240" w:lineRule="auto"/>
        <w:rPr>
          <w:sz w:val="24"/>
          <w:szCs w:val="24"/>
          <w:vertAlign w:val="baseline"/>
        </w:rPr>
      </w:pPr>
      <w:r w:rsidDel="00000000" w:rsidR="00000000" w:rsidRPr="00000000">
        <w:rPr>
          <w:sz w:val="24"/>
          <w:szCs w:val="24"/>
          <w:vertAlign w:val="baseline"/>
          <w:rtl w:val="0"/>
        </w:rPr>
        <w:t xml:space="preserve">ALMEIDA, </w:t>
      </w:r>
      <w:r w:rsidDel="00000000" w:rsidR="00000000" w:rsidRPr="00000000">
        <w:rPr>
          <w:sz w:val="24"/>
          <w:szCs w:val="24"/>
          <w:rtl w:val="0"/>
        </w:rPr>
        <w:t xml:space="preserve">S.</w:t>
      </w:r>
      <w:r w:rsidDel="00000000" w:rsidR="00000000" w:rsidRPr="00000000">
        <w:rPr>
          <w:sz w:val="24"/>
          <w:szCs w:val="24"/>
          <w:vertAlign w:val="baseline"/>
          <w:rtl w:val="0"/>
        </w:rPr>
        <w:t xml:space="preserve"> L</w:t>
      </w:r>
      <w:r w:rsidDel="00000000" w:rsidR="00000000" w:rsidRPr="00000000">
        <w:rPr>
          <w:sz w:val="24"/>
          <w:szCs w:val="24"/>
          <w:rtl w:val="0"/>
        </w:rPr>
        <w:t xml:space="preserve">.</w:t>
      </w:r>
      <w:r w:rsidDel="00000000" w:rsidR="00000000" w:rsidRPr="00000000">
        <w:rPr>
          <w:sz w:val="24"/>
          <w:szCs w:val="24"/>
          <w:vertAlign w:val="baseline"/>
          <w:rtl w:val="0"/>
        </w:rPr>
        <w:t xml:space="preserve"> de. </w:t>
      </w:r>
      <w:r w:rsidDel="00000000" w:rsidR="00000000" w:rsidRPr="00000000">
        <w:rPr>
          <w:b w:val="1"/>
          <w:sz w:val="24"/>
          <w:szCs w:val="24"/>
          <w:vertAlign w:val="baseline"/>
          <w:rtl w:val="0"/>
        </w:rPr>
        <w:t xml:space="preserve">Racismo Estrutural</w:t>
      </w:r>
      <w:r w:rsidDel="00000000" w:rsidR="00000000" w:rsidRPr="00000000">
        <w:rPr>
          <w:sz w:val="24"/>
          <w:szCs w:val="24"/>
          <w:vertAlign w:val="baseline"/>
          <w:rtl w:val="0"/>
        </w:rPr>
        <w:t xml:space="preserve">. São Paulo: Pólen Livros, 2019.</w:t>
      </w:r>
    </w:p>
    <w:p w:rsidR="00000000" w:rsidDel="00000000" w:rsidP="00000000" w:rsidRDefault="00000000" w:rsidRPr="00000000" w14:paraId="00000052">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53">
      <w:pPr>
        <w:spacing w:line="240" w:lineRule="auto"/>
        <w:rPr>
          <w:sz w:val="24"/>
          <w:szCs w:val="24"/>
        </w:rPr>
      </w:pPr>
      <w:r w:rsidDel="00000000" w:rsidR="00000000" w:rsidRPr="00000000">
        <w:rPr>
          <w:sz w:val="24"/>
          <w:szCs w:val="24"/>
          <w:rtl w:val="0"/>
        </w:rPr>
        <w:t xml:space="preserve">BARATTA, A. </w:t>
      </w:r>
      <w:r w:rsidDel="00000000" w:rsidR="00000000" w:rsidRPr="00000000">
        <w:rPr>
          <w:b w:val="1"/>
          <w:sz w:val="24"/>
          <w:szCs w:val="24"/>
          <w:rtl w:val="0"/>
        </w:rPr>
        <w:t xml:space="preserve">Criminologia crítica e crítica do Direito Penal</w:t>
      </w:r>
      <w:r w:rsidDel="00000000" w:rsidR="00000000" w:rsidRPr="00000000">
        <w:rPr>
          <w:sz w:val="24"/>
          <w:szCs w:val="24"/>
          <w:rtl w:val="0"/>
        </w:rPr>
        <w:t xml:space="preserve">: introdução à sociologia do Direito Penal. 3. ed. Rio de Janeiro: Editora Revan, 2002.</w:t>
      </w:r>
    </w:p>
    <w:p w:rsidR="00000000" w:rsidDel="00000000" w:rsidP="00000000" w:rsidRDefault="00000000" w:rsidRPr="00000000" w14:paraId="00000054">
      <w:pPr>
        <w:spacing w:line="240" w:lineRule="auto"/>
        <w:rPr>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vertAlign w:val="baseline"/>
        </w:rPr>
      </w:pPr>
      <w:r w:rsidDel="00000000" w:rsidR="00000000" w:rsidRPr="00000000">
        <w:rPr>
          <w:sz w:val="24"/>
          <w:szCs w:val="24"/>
          <w:vertAlign w:val="baseline"/>
          <w:rtl w:val="0"/>
        </w:rPr>
        <w:t xml:space="preserve">BUTLER, </w:t>
      </w:r>
      <w:r w:rsidDel="00000000" w:rsidR="00000000" w:rsidRPr="00000000">
        <w:rPr>
          <w:sz w:val="24"/>
          <w:szCs w:val="24"/>
          <w:rtl w:val="0"/>
        </w:rPr>
        <w:t xml:space="preserve">J. </w:t>
      </w:r>
      <w:r w:rsidDel="00000000" w:rsidR="00000000" w:rsidRPr="00000000">
        <w:rPr>
          <w:b w:val="1"/>
          <w:sz w:val="24"/>
          <w:szCs w:val="24"/>
          <w:rtl w:val="0"/>
        </w:rPr>
        <w:t xml:space="preserve">Quadros de Guerra</w:t>
      </w:r>
      <w:r w:rsidDel="00000000" w:rsidR="00000000" w:rsidRPr="00000000">
        <w:rPr>
          <w:sz w:val="24"/>
          <w:szCs w:val="24"/>
          <w:rtl w:val="0"/>
        </w:rPr>
        <w:t xml:space="preserve">: quando a vida é passível de luto? Rio de Janeiro: Civilização Brasileira, 2015.</w:t>
      </w: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rtl w:val="0"/>
        </w:rPr>
      </w:r>
    </w:p>
    <w:p w:rsidR="00000000" w:rsidDel="00000000" w:rsidP="00000000" w:rsidRDefault="00000000" w:rsidRPr="00000000" w14:paraId="00000057">
      <w:pPr>
        <w:spacing w:line="240" w:lineRule="auto"/>
        <w:rPr>
          <w:sz w:val="24"/>
          <w:szCs w:val="24"/>
        </w:rPr>
      </w:pPr>
      <w:r w:rsidDel="00000000" w:rsidR="00000000" w:rsidRPr="00000000">
        <w:rPr>
          <w:sz w:val="24"/>
          <w:szCs w:val="24"/>
          <w:rtl w:val="0"/>
        </w:rPr>
        <w:t xml:space="preserve">DAVIS, V. </w:t>
      </w:r>
      <w:r w:rsidDel="00000000" w:rsidR="00000000" w:rsidRPr="00000000">
        <w:rPr>
          <w:b w:val="1"/>
          <w:sz w:val="24"/>
          <w:szCs w:val="24"/>
          <w:rtl w:val="0"/>
        </w:rPr>
        <w:t xml:space="preserve">A democracia da abolição</w:t>
      </w:r>
      <w:r w:rsidDel="00000000" w:rsidR="00000000" w:rsidRPr="00000000">
        <w:rPr>
          <w:sz w:val="24"/>
          <w:szCs w:val="24"/>
          <w:rtl w:val="0"/>
        </w:rPr>
        <w:t xml:space="preserve">: para além do império, das prisões e da tortura. 2. ed. Rio de Janeiro: DIFEL, 2019.</w:t>
      </w:r>
    </w:p>
    <w:p w:rsidR="00000000" w:rsidDel="00000000" w:rsidP="00000000" w:rsidRDefault="00000000" w:rsidRPr="00000000" w14:paraId="00000058">
      <w:pPr>
        <w:spacing w:line="240" w:lineRule="auto"/>
        <w:rPr>
          <w:sz w:val="24"/>
          <w:szCs w:val="24"/>
        </w:rPr>
      </w:pPr>
      <w:r w:rsidDel="00000000" w:rsidR="00000000" w:rsidRPr="00000000">
        <w:rPr>
          <w:rtl w:val="0"/>
        </w:rPr>
      </w:r>
    </w:p>
    <w:p w:rsidR="00000000" w:rsidDel="00000000" w:rsidP="00000000" w:rsidRDefault="00000000" w:rsidRPr="00000000" w14:paraId="00000059">
      <w:pPr>
        <w:spacing w:line="240" w:lineRule="auto"/>
        <w:rPr>
          <w:sz w:val="24"/>
          <w:szCs w:val="24"/>
        </w:rPr>
      </w:pPr>
      <w:r w:rsidDel="00000000" w:rsidR="00000000" w:rsidRPr="00000000">
        <w:rPr>
          <w:sz w:val="24"/>
          <w:szCs w:val="24"/>
          <w:rtl w:val="0"/>
        </w:rPr>
        <w:t xml:space="preserve">FOUCAULT, M.</w:t>
      </w:r>
      <w:r w:rsidDel="00000000" w:rsidR="00000000" w:rsidRPr="00000000">
        <w:rPr>
          <w:b w:val="1"/>
          <w:sz w:val="24"/>
          <w:szCs w:val="24"/>
          <w:rtl w:val="0"/>
        </w:rPr>
        <w:t xml:space="preserve"> Em defesa da sociedade</w:t>
      </w:r>
      <w:r w:rsidDel="00000000" w:rsidR="00000000" w:rsidRPr="00000000">
        <w:rPr>
          <w:sz w:val="24"/>
          <w:szCs w:val="24"/>
          <w:rtl w:val="0"/>
        </w:rPr>
        <w:t xml:space="preserve">. São Paulo: Martins Fontes, 2005.</w:t>
      </w:r>
    </w:p>
    <w:p w:rsidR="00000000" w:rsidDel="00000000" w:rsidP="00000000" w:rsidRDefault="00000000" w:rsidRPr="00000000" w14:paraId="0000005A">
      <w:pPr>
        <w:spacing w:line="240" w:lineRule="auto"/>
        <w:rPr>
          <w:sz w:val="24"/>
          <w:szCs w:val="24"/>
        </w:rPr>
      </w:pPr>
      <w:r w:rsidDel="00000000" w:rsidR="00000000" w:rsidRPr="00000000">
        <w:rPr>
          <w:rtl w:val="0"/>
        </w:rPr>
      </w:r>
    </w:p>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JESUS, T. A. C. de; SOUSA, L. R. C. de; SOUSA, T. F. Pobreza estrutural como determinante para a compreensão do fenômeno dos linchamentos: uma análise a partir dos casos ocorridos no Maranhão. </w:t>
      </w:r>
      <w:r w:rsidDel="00000000" w:rsidR="00000000" w:rsidRPr="00000000">
        <w:rPr>
          <w:i w:val="1"/>
          <w:sz w:val="24"/>
          <w:szCs w:val="24"/>
          <w:rtl w:val="0"/>
        </w:rPr>
        <w:t xml:space="preserve">In</w:t>
      </w:r>
      <w:r w:rsidDel="00000000" w:rsidR="00000000" w:rsidRPr="00000000">
        <w:rPr>
          <w:sz w:val="24"/>
          <w:szCs w:val="24"/>
          <w:rtl w:val="0"/>
        </w:rPr>
        <w:t xml:space="preserve">: ZEIFERT, A. P. B. (Org.). </w:t>
      </w:r>
      <w:r w:rsidDel="00000000" w:rsidR="00000000" w:rsidRPr="00000000">
        <w:rPr>
          <w:b w:val="1"/>
          <w:sz w:val="24"/>
          <w:szCs w:val="24"/>
          <w:rtl w:val="0"/>
        </w:rPr>
        <w:t xml:space="preserve">Desigualdades interseccionais e a busca por justiça social</w:t>
      </w:r>
      <w:r w:rsidDel="00000000" w:rsidR="00000000" w:rsidRPr="00000000">
        <w:rPr>
          <w:sz w:val="24"/>
          <w:szCs w:val="24"/>
          <w:rtl w:val="0"/>
        </w:rPr>
        <w:t xml:space="preserve">. 1. ed. Blumenau, SC: Dom Modesto, 2024.</w:t>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MATHIESEN, T. The politics of abolition.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contemporary crises</w:t>
      </w:r>
      <w:r w:rsidDel="00000000" w:rsidR="00000000" w:rsidRPr="00000000">
        <w:rPr>
          <w:sz w:val="24"/>
          <w:szCs w:val="24"/>
          <w:rtl w:val="0"/>
        </w:rPr>
        <w:t xml:space="preserve">, vol. 10, n. 1. amsterdam: Elsevier, 1986.</w:t>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MBEMBE, A. </w:t>
      </w:r>
      <w:r w:rsidDel="00000000" w:rsidR="00000000" w:rsidRPr="00000000">
        <w:rPr>
          <w:b w:val="1"/>
          <w:sz w:val="24"/>
          <w:szCs w:val="24"/>
          <w:rtl w:val="0"/>
        </w:rPr>
        <w:t xml:space="preserve">Necropolítica</w:t>
      </w:r>
      <w:r w:rsidDel="00000000" w:rsidR="00000000" w:rsidRPr="00000000">
        <w:rPr>
          <w:sz w:val="24"/>
          <w:szCs w:val="24"/>
          <w:rtl w:val="0"/>
        </w:rPr>
        <w:t xml:space="preserve">. Arte &amp; ensaios, n. 32, p. 122-151, 2016.</w:t>
      </w:r>
    </w:p>
    <w:p w:rsidR="00000000" w:rsidDel="00000000" w:rsidP="00000000" w:rsidRDefault="00000000" w:rsidRPr="00000000" w14:paraId="00000060">
      <w:pPr>
        <w:spacing w:line="240" w:lineRule="auto"/>
        <w:rPr>
          <w:sz w:val="24"/>
          <w:szCs w:val="24"/>
        </w:rPr>
      </w:pP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sz w:val="24"/>
          <w:szCs w:val="24"/>
          <w:rtl w:val="0"/>
        </w:rPr>
        <w:t xml:space="preserve">SINHORETTO, J. Linchamentos: insegurança e revolta popular. </w:t>
      </w:r>
      <w:r w:rsidDel="00000000" w:rsidR="00000000" w:rsidRPr="00000000">
        <w:rPr>
          <w:b w:val="1"/>
          <w:sz w:val="24"/>
          <w:szCs w:val="24"/>
          <w:rtl w:val="0"/>
        </w:rPr>
        <w:t xml:space="preserve">Revista brasileira de segurança pública</w:t>
      </w:r>
      <w:r w:rsidDel="00000000" w:rsidR="00000000" w:rsidRPr="00000000">
        <w:rPr>
          <w:sz w:val="24"/>
          <w:szCs w:val="24"/>
          <w:rtl w:val="0"/>
        </w:rPr>
        <w:t xml:space="preserve">. v.3, n. 1, p. 72-92, 2009. Disponível em: </w:t>
      </w:r>
      <w:hyperlink r:id="rId8">
        <w:r w:rsidDel="00000000" w:rsidR="00000000" w:rsidRPr="00000000">
          <w:rPr>
            <w:sz w:val="24"/>
            <w:szCs w:val="24"/>
            <w:rtl w:val="0"/>
          </w:rPr>
          <w:t xml:space="preserve">https://revista.forumseguranca.org.br/rbsp/article/view/41/39</w:t>
        </w:r>
      </w:hyperlink>
      <w:r w:rsidDel="00000000" w:rsidR="00000000" w:rsidRPr="00000000">
        <w:rPr>
          <w:sz w:val="24"/>
          <w:szCs w:val="24"/>
          <w:rtl w:val="0"/>
        </w:rPr>
        <w:t xml:space="preserve">. Acesso em: 15 abr. 2025.</w:t>
      </w:r>
    </w:p>
    <w:p w:rsidR="00000000" w:rsidDel="00000000" w:rsidP="00000000" w:rsidRDefault="00000000" w:rsidRPr="00000000" w14:paraId="00000062">
      <w:pPr>
        <w:spacing w:line="240" w:lineRule="auto"/>
        <w:rPr>
          <w:sz w:val="24"/>
          <w:szCs w:val="24"/>
        </w:rPr>
      </w:pPr>
      <w:r w:rsidDel="00000000" w:rsidR="00000000" w:rsidRPr="00000000">
        <w:rPr>
          <w:rtl w:val="0"/>
        </w:rPr>
      </w:r>
    </w:p>
    <w:p w:rsidR="00000000" w:rsidDel="00000000" w:rsidP="00000000" w:rsidRDefault="00000000" w:rsidRPr="00000000" w14:paraId="00000063">
      <w:pPr>
        <w:spacing w:line="240" w:lineRule="auto"/>
        <w:rPr>
          <w:sz w:val="24"/>
          <w:szCs w:val="24"/>
        </w:rPr>
      </w:pPr>
      <w:r w:rsidDel="00000000" w:rsidR="00000000" w:rsidRPr="00000000">
        <w:rPr>
          <w:sz w:val="24"/>
          <w:szCs w:val="24"/>
          <w:rtl w:val="0"/>
        </w:rPr>
        <w:t xml:space="preserve">___________. </w:t>
      </w:r>
      <w:r w:rsidDel="00000000" w:rsidR="00000000" w:rsidRPr="00000000">
        <w:rPr>
          <w:b w:val="1"/>
          <w:sz w:val="24"/>
          <w:szCs w:val="24"/>
          <w:rtl w:val="0"/>
        </w:rPr>
        <w:t xml:space="preserve">Os justiçadores e sua justiça</w:t>
      </w:r>
      <w:r w:rsidDel="00000000" w:rsidR="00000000" w:rsidRPr="00000000">
        <w:rPr>
          <w:sz w:val="24"/>
          <w:szCs w:val="24"/>
          <w:rtl w:val="0"/>
        </w:rPr>
        <w:t xml:space="preserve">: linchamentos, costumes e conflito. 2001. 203 f. Dissertação (Mestrado em Sociologia) - Programa de Pós-graduação em Sociologia, Faculdade de Filosofia, Letras e Ciências Humanas, Universidade de São Paulo, São Paulo, 2001.</w:t>
      </w:r>
    </w:p>
    <w:p w:rsidR="00000000" w:rsidDel="00000000" w:rsidP="00000000" w:rsidRDefault="00000000" w:rsidRPr="00000000" w14:paraId="00000064">
      <w:pPr>
        <w:spacing w:line="240" w:lineRule="auto"/>
        <w:rPr>
          <w:sz w:val="24"/>
          <w:szCs w:val="24"/>
        </w:rPr>
      </w:pPr>
      <w:r w:rsidDel="00000000" w:rsidR="00000000" w:rsidRPr="00000000">
        <w:rPr>
          <w:rtl w:val="0"/>
        </w:rPr>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WOOD, E. M. </w:t>
      </w:r>
      <w:r w:rsidDel="00000000" w:rsidR="00000000" w:rsidRPr="00000000">
        <w:rPr>
          <w:b w:val="1"/>
          <w:sz w:val="24"/>
          <w:szCs w:val="24"/>
          <w:rtl w:val="0"/>
        </w:rPr>
        <w:t xml:space="preserve">Democracia contra o capitalismo</w:t>
      </w:r>
      <w:r w:rsidDel="00000000" w:rsidR="00000000" w:rsidRPr="00000000">
        <w:rPr>
          <w:sz w:val="24"/>
          <w:szCs w:val="24"/>
          <w:rtl w:val="0"/>
        </w:rPr>
        <w:t xml:space="preserve">: a renovação do materialismo histórico. São Paulo: Boitempo, 2011.</w:t>
      </w:r>
    </w:p>
    <w:p w:rsidR="00000000" w:rsidDel="00000000" w:rsidP="00000000" w:rsidRDefault="00000000" w:rsidRPr="00000000" w14:paraId="00000066">
      <w:pPr>
        <w:spacing w:line="240" w:lineRule="auto"/>
        <w:rPr>
          <w:sz w:val="24"/>
          <w:szCs w:val="24"/>
        </w:rPr>
      </w:pPr>
      <w:r w:rsidDel="00000000" w:rsidR="00000000" w:rsidRPr="00000000">
        <w:rPr>
          <w:rtl w:val="0"/>
        </w:rPr>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ZAFFARONI, E. R. </w:t>
      </w:r>
      <w:r w:rsidDel="00000000" w:rsidR="00000000" w:rsidRPr="00000000">
        <w:rPr>
          <w:b w:val="1"/>
          <w:sz w:val="24"/>
          <w:szCs w:val="24"/>
          <w:rtl w:val="0"/>
        </w:rPr>
        <w:t xml:space="preserve">A questão criminal</w:t>
      </w:r>
      <w:r w:rsidDel="00000000" w:rsidR="00000000" w:rsidRPr="00000000">
        <w:rPr>
          <w:sz w:val="24"/>
          <w:szCs w:val="24"/>
          <w:rtl w:val="0"/>
        </w:rPr>
        <w:t xml:space="preserve">. 1. ed. Rio de Janeiro: Editora Revan, 2013.</w:t>
      </w:r>
    </w:p>
    <w:p w:rsidR="00000000" w:rsidDel="00000000" w:rsidP="00000000" w:rsidRDefault="00000000" w:rsidRPr="00000000" w14:paraId="00000068">
      <w:pPr>
        <w:spacing w:line="240" w:lineRule="auto"/>
        <w:rPr>
          <w:sz w:val="24"/>
          <w:szCs w:val="24"/>
        </w:rPr>
      </w:pPr>
      <w:r w:rsidDel="00000000" w:rsidR="00000000" w:rsidRPr="00000000">
        <w:rPr>
          <w:rtl w:val="0"/>
        </w:rPr>
      </w:r>
    </w:p>
    <w:p w:rsidR="00000000" w:rsidDel="00000000" w:rsidP="00000000" w:rsidRDefault="00000000" w:rsidRPr="00000000" w14:paraId="00000069">
      <w:pPr>
        <w:spacing w:line="240" w:lineRule="auto"/>
        <w:rPr>
          <w:sz w:val="24"/>
          <w:szCs w:val="24"/>
        </w:rPr>
      </w:pPr>
      <w:r w:rsidDel="00000000" w:rsidR="00000000" w:rsidRPr="00000000">
        <w:rPr>
          <w:sz w:val="24"/>
          <w:szCs w:val="24"/>
          <w:rtl w:val="0"/>
        </w:rPr>
        <w:t xml:space="preserve">____________. </w:t>
      </w:r>
      <w:r w:rsidDel="00000000" w:rsidR="00000000" w:rsidRPr="00000000">
        <w:rPr>
          <w:b w:val="1"/>
          <w:sz w:val="24"/>
          <w:szCs w:val="24"/>
          <w:rtl w:val="0"/>
        </w:rPr>
        <w:t xml:space="preserve">Em Busca das Penas Perdidas</w:t>
      </w:r>
      <w:r w:rsidDel="00000000" w:rsidR="00000000" w:rsidRPr="00000000">
        <w:rPr>
          <w:sz w:val="24"/>
          <w:szCs w:val="24"/>
          <w:rtl w:val="0"/>
        </w:rPr>
        <w:t xml:space="preserve">. A perda de legitimidade do sistema penal. Rio de Janeiro: Revan, 1991.</w:t>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Direito pela Universidade Federal do Maranhão - 5º período. E-mail: cibele.cristina@discente.ufma.br</w:t>
      </w:r>
    </w:p>
  </w:footnote>
  <w:footnote w:id="1">
    <w:p w:rsidR="00000000" w:rsidDel="00000000" w:rsidP="00000000" w:rsidRDefault="00000000" w:rsidRPr="00000000" w14:paraId="0000006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em Direito pela Universidade Federal do Maranhão - 5º período. E-mail: levy.santos@discente.ufma.br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revista.forumseguranca.org.br/rbsp/article/view/41/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2WTuj66TYeQQlNXsKrqc+mNYRw==">CgMxLjA4AHIhMUJhbFE5TU40ZDNiUjhoNWVqTGRraFFUVHdydnVDMzRa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