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AEA59" w14:textId="7907C431" w:rsidR="005002F3" w:rsidRPr="00E2688B" w:rsidRDefault="00442E38" w:rsidP="00E2688B">
      <w:pPr>
        <w:spacing w:line="240" w:lineRule="auto"/>
        <w:jc w:val="center"/>
        <w:rPr>
          <w:b/>
          <w:sz w:val="24"/>
          <w:szCs w:val="24"/>
        </w:rPr>
      </w:pPr>
      <w:r w:rsidRPr="00E2688B">
        <w:rPr>
          <w:b/>
          <w:sz w:val="24"/>
          <w:szCs w:val="24"/>
        </w:rPr>
        <w:t>CONTRIBUIÇÃO DAS NORMAS</w:t>
      </w:r>
      <w:r w:rsidR="00A64BAE" w:rsidRPr="00E2688B">
        <w:rPr>
          <w:b/>
          <w:sz w:val="24"/>
          <w:szCs w:val="24"/>
        </w:rPr>
        <w:t xml:space="preserve"> SOCIAIS</w:t>
      </w:r>
      <w:r w:rsidRPr="00E2688B">
        <w:rPr>
          <w:b/>
          <w:sz w:val="24"/>
          <w:szCs w:val="24"/>
        </w:rPr>
        <w:t xml:space="preserve"> PARA A MANUTENÇÃO E A REPRODUÇÃO DA VIOLÊNCIA CONTRA MULHERES: ênfase nos papéis de submissão e no medo como mecanismos centrais de controle social e simbólico</w:t>
      </w:r>
    </w:p>
    <w:p w14:paraId="28493A89" w14:textId="77777777" w:rsidR="00DA0F53" w:rsidRPr="00E2688B" w:rsidRDefault="00DA0F53" w:rsidP="00E2688B">
      <w:pPr>
        <w:spacing w:line="240" w:lineRule="auto"/>
        <w:jc w:val="center"/>
        <w:rPr>
          <w:b/>
          <w:sz w:val="24"/>
          <w:szCs w:val="24"/>
        </w:rPr>
      </w:pPr>
    </w:p>
    <w:p w14:paraId="33A91528" w14:textId="77777777" w:rsidR="008F5265" w:rsidRPr="00E2688B" w:rsidRDefault="008F5265" w:rsidP="00E2688B">
      <w:pPr>
        <w:spacing w:line="240" w:lineRule="auto"/>
        <w:jc w:val="right"/>
        <w:rPr>
          <w:sz w:val="24"/>
          <w:szCs w:val="24"/>
        </w:rPr>
      </w:pPr>
      <w:proofErr w:type="spellStart"/>
      <w:r w:rsidRPr="00E2688B">
        <w:rPr>
          <w:b/>
          <w:sz w:val="24"/>
          <w:szCs w:val="24"/>
        </w:rPr>
        <w:t>Ádria</w:t>
      </w:r>
      <w:proofErr w:type="spellEnd"/>
      <w:r w:rsidRPr="00E2688B">
        <w:rPr>
          <w:b/>
          <w:sz w:val="24"/>
          <w:szCs w:val="24"/>
        </w:rPr>
        <w:t xml:space="preserve"> </w:t>
      </w:r>
      <w:proofErr w:type="spellStart"/>
      <w:r w:rsidRPr="00E2688B">
        <w:rPr>
          <w:b/>
          <w:sz w:val="24"/>
          <w:szCs w:val="24"/>
        </w:rPr>
        <w:t>Jordania</w:t>
      </w:r>
      <w:proofErr w:type="spellEnd"/>
      <w:r w:rsidRPr="00E2688B">
        <w:rPr>
          <w:b/>
          <w:sz w:val="24"/>
          <w:szCs w:val="24"/>
        </w:rPr>
        <w:t xml:space="preserve"> Costa Ibiapina</w:t>
      </w:r>
      <w:r w:rsidRPr="00E2688B">
        <w:rPr>
          <w:b/>
          <w:sz w:val="24"/>
          <w:szCs w:val="24"/>
          <w:vertAlign w:val="superscript"/>
        </w:rPr>
        <w:footnoteReference w:id="1"/>
      </w:r>
    </w:p>
    <w:p w14:paraId="25E07A0C" w14:textId="77777777" w:rsidR="0089186A" w:rsidRPr="00E2688B" w:rsidRDefault="0089186A" w:rsidP="00E2688B">
      <w:pPr>
        <w:spacing w:line="240" w:lineRule="auto"/>
        <w:jc w:val="center"/>
        <w:rPr>
          <w:b/>
          <w:sz w:val="24"/>
          <w:szCs w:val="24"/>
        </w:rPr>
      </w:pPr>
      <w:bookmarkStart w:id="0" w:name="_GoBack"/>
      <w:bookmarkEnd w:id="0"/>
    </w:p>
    <w:p w14:paraId="384DF2A7" w14:textId="12E2C40F" w:rsidR="004353C5" w:rsidRPr="00E2688B" w:rsidRDefault="005C5E60" w:rsidP="00E2688B">
      <w:pPr>
        <w:spacing w:line="240" w:lineRule="auto"/>
        <w:ind w:left="2835"/>
        <w:jc w:val="both"/>
        <w:rPr>
          <w:sz w:val="20"/>
          <w:szCs w:val="20"/>
        </w:rPr>
      </w:pPr>
      <w:r w:rsidRPr="00E2688B">
        <w:rPr>
          <w:b/>
          <w:sz w:val="20"/>
          <w:szCs w:val="20"/>
        </w:rPr>
        <w:t xml:space="preserve">Resumo </w:t>
      </w:r>
    </w:p>
    <w:p w14:paraId="37D610CF" w14:textId="3F8EAAA8" w:rsidR="005002F3" w:rsidRPr="00E2688B" w:rsidRDefault="007F594A" w:rsidP="00E2688B">
      <w:pPr>
        <w:spacing w:line="240" w:lineRule="auto"/>
        <w:ind w:left="2835"/>
        <w:jc w:val="both"/>
        <w:rPr>
          <w:sz w:val="20"/>
          <w:szCs w:val="20"/>
        </w:rPr>
      </w:pPr>
      <w:r w:rsidRPr="00E2688B">
        <w:rPr>
          <w:sz w:val="20"/>
          <w:szCs w:val="20"/>
        </w:rPr>
        <w:t xml:space="preserve">A violência contra mulheres configura-se como uma grave violação dos direitos humanos, enraizada em uma cultura patriarcal que perpetua desigualdades de gênero e se agrava quando analisado sob a ótica interseccional. Este estudo objetiva analisar como as normas sociais contribuem para a manutenção e a reprodução da violência contra mulheres, com foco nos papéis de submissão feminina e no medo como mecanismos centrais de controle social e simbólico. O problema centra-se na naturalização desses papéis de gênero que, internalizados desde a infância, moldam comportamentos e justificam práticas violentas, muitas vezes </w:t>
      </w:r>
      <w:proofErr w:type="spellStart"/>
      <w:r w:rsidRPr="00E2688B">
        <w:rPr>
          <w:sz w:val="20"/>
          <w:szCs w:val="20"/>
        </w:rPr>
        <w:t>invisibilizadas</w:t>
      </w:r>
      <w:proofErr w:type="spellEnd"/>
      <w:r w:rsidRPr="00E2688B">
        <w:rPr>
          <w:sz w:val="20"/>
          <w:szCs w:val="20"/>
        </w:rPr>
        <w:t xml:space="preserve"> ou deslegitimadas pela sociedade e pelas insti</w:t>
      </w:r>
      <w:r w:rsidR="004353C5" w:rsidRPr="00E2688B">
        <w:rPr>
          <w:sz w:val="20"/>
          <w:szCs w:val="20"/>
        </w:rPr>
        <w:t>tuições. A metodologia consiste</w:t>
      </w:r>
      <w:r w:rsidRPr="00E2688B">
        <w:rPr>
          <w:sz w:val="20"/>
          <w:szCs w:val="20"/>
        </w:rPr>
        <w:t xml:space="preserve"> numa abordagem qualitativa e teórica. Os resultados apontam que a submissão é culturalmente imposta às mulheres como uma norma social esperada, reforçada por práticas midiáticas, familiares e institucionais. Conclui-se que o enfrentamento à violência contra mulheres exige não apenas ações de proteção individual, mas uma transformação estrutural e cultural. </w:t>
      </w:r>
    </w:p>
    <w:p w14:paraId="23134C65" w14:textId="77777777" w:rsidR="00D53782" w:rsidRPr="00E2688B" w:rsidRDefault="00D53782" w:rsidP="00E2688B">
      <w:pPr>
        <w:spacing w:line="240" w:lineRule="auto"/>
        <w:ind w:left="2835"/>
        <w:jc w:val="both"/>
        <w:rPr>
          <w:sz w:val="20"/>
          <w:szCs w:val="20"/>
        </w:rPr>
      </w:pPr>
    </w:p>
    <w:p w14:paraId="2A4FA646" w14:textId="77777777" w:rsidR="005002F3" w:rsidRPr="00E2688B" w:rsidRDefault="005C5E60" w:rsidP="00E2688B">
      <w:pPr>
        <w:spacing w:line="240" w:lineRule="auto"/>
        <w:ind w:left="2835"/>
        <w:jc w:val="both"/>
        <w:rPr>
          <w:sz w:val="20"/>
          <w:szCs w:val="20"/>
        </w:rPr>
      </w:pPr>
      <w:r w:rsidRPr="00E2688B">
        <w:rPr>
          <w:b/>
          <w:sz w:val="20"/>
          <w:szCs w:val="20"/>
        </w:rPr>
        <w:t>Palavras-chave</w:t>
      </w:r>
      <w:r w:rsidRPr="00E2688B">
        <w:rPr>
          <w:sz w:val="20"/>
          <w:szCs w:val="20"/>
        </w:rPr>
        <w:t>: Violência contra mulheres 1; Normas sociais 2; Submissão feminina 3; Medo e desigualdade de gênero 4; Patriarcado 5.</w:t>
      </w:r>
    </w:p>
    <w:p w14:paraId="756A9B3D" w14:textId="77777777" w:rsidR="00E84366" w:rsidRPr="00E2688B" w:rsidRDefault="00E84366" w:rsidP="00E2688B">
      <w:pPr>
        <w:spacing w:line="240" w:lineRule="auto"/>
        <w:ind w:left="2835"/>
        <w:jc w:val="both"/>
        <w:rPr>
          <w:b/>
          <w:sz w:val="20"/>
          <w:szCs w:val="20"/>
        </w:rPr>
      </w:pPr>
    </w:p>
    <w:p w14:paraId="2162C14B" w14:textId="20883B63" w:rsidR="004353C5" w:rsidRPr="00E2688B" w:rsidRDefault="005C5E60" w:rsidP="00E2688B">
      <w:pPr>
        <w:spacing w:line="240" w:lineRule="auto"/>
        <w:ind w:left="2835"/>
        <w:jc w:val="both"/>
        <w:rPr>
          <w:sz w:val="20"/>
          <w:szCs w:val="20"/>
        </w:rPr>
      </w:pPr>
      <w:r w:rsidRPr="00E2688B">
        <w:rPr>
          <w:b/>
          <w:sz w:val="20"/>
          <w:szCs w:val="20"/>
        </w:rPr>
        <w:t>Abstract</w:t>
      </w:r>
    </w:p>
    <w:p w14:paraId="09693DDB" w14:textId="631EB2C4" w:rsidR="00612935" w:rsidRPr="00E2688B" w:rsidRDefault="00612935" w:rsidP="00E26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35"/>
        <w:jc w:val="both"/>
        <w:rPr>
          <w:rFonts w:eastAsia="Times New Roman"/>
          <w:sz w:val="20"/>
          <w:szCs w:val="20"/>
          <w:lang w:val="en"/>
        </w:rPr>
      </w:pPr>
      <w:r w:rsidRPr="00E2688B">
        <w:rPr>
          <w:rFonts w:eastAsia="Times New Roman"/>
          <w:sz w:val="20"/>
          <w:szCs w:val="20"/>
          <w:lang w:val="en"/>
        </w:rPr>
        <w:t>Violence against women is a serious violation of human rights, rooted in a patriarchal culture that perpetuates gender inequalities and worsens when analyzed from an intersectional perspective. This study aims to analyze how social norms contribute to the maintenance and reproduction of violence against women, focusing on the roles of female submission and fear as central mechanisms of social and symbolic control. The problem centers on the naturalization of these gender roles that, internalized since childhood, shape behaviors and justify violent practices, often made invisible or delegitimized by society and institu</w:t>
      </w:r>
      <w:r w:rsidR="004353C5" w:rsidRPr="00E2688B">
        <w:rPr>
          <w:rFonts w:eastAsia="Times New Roman"/>
          <w:sz w:val="20"/>
          <w:szCs w:val="20"/>
          <w:lang w:val="en"/>
        </w:rPr>
        <w:t>tions. The methodology consists</w:t>
      </w:r>
      <w:r w:rsidRPr="00E2688B">
        <w:rPr>
          <w:rFonts w:eastAsia="Times New Roman"/>
          <w:sz w:val="20"/>
          <w:szCs w:val="20"/>
          <w:lang w:val="en"/>
        </w:rPr>
        <w:t xml:space="preserve"> of a qualitative and theoretical approach. The results indicate that submission </w:t>
      </w:r>
      <w:proofErr w:type="gramStart"/>
      <w:r w:rsidRPr="00E2688B">
        <w:rPr>
          <w:rFonts w:eastAsia="Times New Roman"/>
          <w:sz w:val="20"/>
          <w:szCs w:val="20"/>
          <w:lang w:val="en"/>
        </w:rPr>
        <w:t>is culturally imposed</w:t>
      </w:r>
      <w:proofErr w:type="gramEnd"/>
      <w:r w:rsidRPr="00E2688B">
        <w:rPr>
          <w:rFonts w:eastAsia="Times New Roman"/>
          <w:sz w:val="20"/>
          <w:szCs w:val="20"/>
          <w:lang w:val="en"/>
        </w:rPr>
        <w:t xml:space="preserve"> on women as an expected social norm, reinforced by media, family and institutional practices. It </w:t>
      </w:r>
      <w:proofErr w:type="gramStart"/>
      <w:r w:rsidRPr="00E2688B">
        <w:rPr>
          <w:rFonts w:eastAsia="Times New Roman"/>
          <w:sz w:val="20"/>
          <w:szCs w:val="20"/>
          <w:lang w:val="en"/>
        </w:rPr>
        <w:t>is concluded</w:t>
      </w:r>
      <w:proofErr w:type="gramEnd"/>
      <w:r w:rsidRPr="00E2688B">
        <w:rPr>
          <w:rFonts w:eastAsia="Times New Roman"/>
          <w:sz w:val="20"/>
          <w:szCs w:val="20"/>
          <w:lang w:val="en"/>
        </w:rPr>
        <w:t xml:space="preserve"> that confronting violence against </w:t>
      </w:r>
      <w:r w:rsidRPr="00E2688B">
        <w:rPr>
          <w:rFonts w:eastAsia="Times New Roman"/>
          <w:sz w:val="20"/>
          <w:szCs w:val="20"/>
          <w:lang w:val="en"/>
        </w:rPr>
        <w:lastRenderedPageBreak/>
        <w:t xml:space="preserve">women requires not only individual protection actions, but also a structural and cultural transformation. </w:t>
      </w:r>
    </w:p>
    <w:p w14:paraId="36667697" w14:textId="77777777" w:rsidR="00D53782" w:rsidRPr="00E2688B" w:rsidRDefault="00D53782" w:rsidP="00E26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35"/>
        <w:jc w:val="both"/>
        <w:rPr>
          <w:rFonts w:eastAsia="Times New Roman"/>
          <w:sz w:val="20"/>
          <w:szCs w:val="20"/>
          <w:lang w:val="en"/>
        </w:rPr>
      </w:pPr>
    </w:p>
    <w:p w14:paraId="0BA66526" w14:textId="39111700" w:rsidR="008C6AE9" w:rsidRPr="00E2688B" w:rsidRDefault="00612935" w:rsidP="00E26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35"/>
        <w:jc w:val="both"/>
        <w:rPr>
          <w:rFonts w:eastAsia="Times New Roman"/>
          <w:sz w:val="20"/>
          <w:szCs w:val="20"/>
          <w:lang w:val="en"/>
        </w:rPr>
      </w:pPr>
      <w:r w:rsidRPr="00E2688B">
        <w:rPr>
          <w:rFonts w:eastAsia="Times New Roman"/>
          <w:b/>
          <w:sz w:val="20"/>
          <w:szCs w:val="20"/>
          <w:lang w:val="en"/>
        </w:rPr>
        <w:t>Keywords</w:t>
      </w:r>
      <w:r w:rsidRPr="00E2688B">
        <w:rPr>
          <w:rFonts w:eastAsia="Times New Roman"/>
          <w:sz w:val="20"/>
          <w:szCs w:val="20"/>
          <w:lang w:val="en"/>
        </w:rPr>
        <w:t xml:space="preserve">: Violence against women 1; </w:t>
      </w:r>
      <w:proofErr w:type="gramStart"/>
      <w:r w:rsidRPr="00E2688B">
        <w:rPr>
          <w:rFonts w:eastAsia="Times New Roman"/>
          <w:sz w:val="20"/>
          <w:szCs w:val="20"/>
          <w:lang w:val="en"/>
        </w:rPr>
        <w:t>Social</w:t>
      </w:r>
      <w:proofErr w:type="gramEnd"/>
      <w:r w:rsidRPr="00E2688B">
        <w:rPr>
          <w:rFonts w:eastAsia="Times New Roman"/>
          <w:sz w:val="20"/>
          <w:szCs w:val="20"/>
          <w:lang w:val="en"/>
        </w:rPr>
        <w:t xml:space="preserve"> norms 2; Female submission 3; Fear and gender inequality 4; Patriarchy 5.</w:t>
      </w:r>
    </w:p>
    <w:p w14:paraId="5FAC3DAE" w14:textId="77777777" w:rsidR="008C6AE9" w:rsidRPr="00E2688B" w:rsidRDefault="008C6AE9" w:rsidP="00E26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35"/>
        <w:jc w:val="both"/>
        <w:rPr>
          <w:rFonts w:eastAsia="Times New Roman"/>
          <w:sz w:val="20"/>
          <w:szCs w:val="20"/>
        </w:rPr>
      </w:pPr>
    </w:p>
    <w:p w14:paraId="03F0E639" w14:textId="328E4CBD" w:rsidR="005002F3" w:rsidRPr="00E2688B" w:rsidRDefault="00525E9D" w:rsidP="00E2688B">
      <w:pPr>
        <w:spacing w:line="360" w:lineRule="auto"/>
        <w:jc w:val="both"/>
        <w:rPr>
          <w:sz w:val="24"/>
          <w:szCs w:val="24"/>
        </w:rPr>
      </w:pPr>
      <w:r w:rsidRPr="00E2688B">
        <w:rPr>
          <w:b/>
          <w:sz w:val="24"/>
          <w:szCs w:val="24"/>
        </w:rPr>
        <w:t>1</w:t>
      </w:r>
      <w:r w:rsidR="005C5E60" w:rsidRPr="00E2688B">
        <w:rPr>
          <w:b/>
          <w:sz w:val="24"/>
          <w:szCs w:val="24"/>
        </w:rPr>
        <w:tab/>
        <w:t>INTRODUÇÃO</w:t>
      </w:r>
    </w:p>
    <w:p w14:paraId="45BBBF68" w14:textId="77777777" w:rsidR="008C6AE9" w:rsidRPr="00E2688B" w:rsidRDefault="008C6AE9" w:rsidP="00E2688B">
      <w:pPr>
        <w:spacing w:line="360" w:lineRule="auto"/>
        <w:ind w:firstLine="720"/>
        <w:jc w:val="both"/>
        <w:rPr>
          <w:sz w:val="24"/>
          <w:szCs w:val="24"/>
        </w:rPr>
      </w:pPr>
    </w:p>
    <w:p w14:paraId="4BBCD3AD" w14:textId="0D2ACB53" w:rsidR="0074515F" w:rsidRPr="00E2688B" w:rsidRDefault="004030B4" w:rsidP="00E2688B">
      <w:pPr>
        <w:spacing w:line="360" w:lineRule="auto"/>
        <w:ind w:firstLine="720"/>
        <w:jc w:val="both"/>
        <w:rPr>
          <w:sz w:val="24"/>
          <w:szCs w:val="24"/>
        </w:rPr>
      </w:pPr>
      <w:r w:rsidRPr="00E2688B">
        <w:rPr>
          <w:sz w:val="24"/>
          <w:szCs w:val="24"/>
        </w:rPr>
        <w:t xml:space="preserve">A violência contra mulheres no Brasil configura-se como uma grave violação dos direitos humanos, com índices alarmantes de </w:t>
      </w:r>
      <w:proofErr w:type="spellStart"/>
      <w:r w:rsidRPr="00E2688B">
        <w:rPr>
          <w:sz w:val="24"/>
          <w:szCs w:val="24"/>
        </w:rPr>
        <w:t>feminicídio</w:t>
      </w:r>
      <w:proofErr w:type="spellEnd"/>
      <w:r w:rsidRPr="00E2688B">
        <w:rPr>
          <w:sz w:val="24"/>
          <w:szCs w:val="24"/>
        </w:rPr>
        <w:t xml:space="preserve">, agressões físicas, psicológicas e simbólicas. Esse fenômeno está enraizado em uma cultura patriarcal que perpetua desigualdades de gênero e se agrava quando analisado sob a ótica interseccional, considerando que mulheres negras, indígenas, periféricas, LGBTQIA+ e com deficiência são ainda mais </w:t>
      </w:r>
      <w:proofErr w:type="spellStart"/>
      <w:r w:rsidRPr="00E2688B">
        <w:rPr>
          <w:sz w:val="24"/>
          <w:szCs w:val="24"/>
        </w:rPr>
        <w:t>vulnerabilizadas</w:t>
      </w:r>
      <w:proofErr w:type="spellEnd"/>
      <w:r w:rsidRPr="00E2688B">
        <w:rPr>
          <w:sz w:val="24"/>
          <w:szCs w:val="24"/>
        </w:rPr>
        <w:t xml:space="preserve"> pe</w:t>
      </w:r>
      <w:r w:rsidR="008C17D3" w:rsidRPr="00E2688B">
        <w:rPr>
          <w:sz w:val="24"/>
          <w:szCs w:val="24"/>
        </w:rPr>
        <w:t xml:space="preserve">las sobreposições de opressões. </w:t>
      </w:r>
    </w:p>
    <w:p w14:paraId="55154D01" w14:textId="55776074" w:rsidR="00FE1D74" w:rsidRPr="00E2688B" w:rsidRDefault="00FE1D74" w:rsidP="00E2688B">
      <w:pPr>
        <w:spacing w:line="360" w:lineRule="auto"/>
        <w:ind w:firstLine="708"/>
        <w:jc w:val="both"/>
        <w:rPr>
          <w:sz w:val="24"/>
          <w:szCs w:val="24"/>
        </w:rPr>
      </w:pPr>
      <w:r w:rsidRPr="00E2688B">
        <w:rPr>
          <w:sz w:val="24"/>
          <w:szCs w:val="24"/>
        </w:rPr>
        <w:t>As</w:t>
      </w:r>
      <w:r w:rsidRPr="00E2688B">
        <w:rPr>
          <w:b/>
          <w:sz w:val="24"/>
          <w:szCs w:val="24"/>
        </w:rPr>
        <w:t xml:space="preserve"> </w:t>
      </w:r>
      <w:r w:rsidRPr="00E2688B">
        <w:rPr>
          <w:rStyle w:val="Forte"/>
          <w:b w:val="0"/>
          <w:sz w:val="24"/>
          <w:szCs w:val="24"/>
        </w:rPr>
        <w:t>normas sociais</w:t>
      </w:r>
      <w:r w:rsidRPr="00E2688B">
        <w:rPr>
          <w:b/>
          <w:sz w:val="24"/>
          <w:szCs w:val="24"/>
        </w:rPr>
        <w:t xml:space="preserve"> </w:t>
      </w:r>
      <w:r w:rsidRPr="00E2688B">
        <w:rPr>
          <w:sz w:val="24"/>
          <w:szCs w:val="24"/>
        </w:rPr>
        <w:t>são regras</w:t>
      </w:r>
      <w:r w:rsidRPr="00E2688B">
        <w:rPr>
          <w:b/>
          <w:sz w:val="24"/>
          <w:szCs w:val="24"/>
        </w:rPr>
        <w:t xml:space="preserve"> </w:t>
      </w:r>
      <w:r w:rsidRPr="00E2688B">
        <w:rPr>
          <w:rStyle w:val="Forte"/>
          <w:b w:val="0"/>
          <w:sz w:val="24"/>
          <w:szCs w:val="24"/>
        </w:rPr>
        <w:t>não escritas</w:t>
      </w:r>
      <w:r w:rsidRPr="00E2688B">
        <w:rPr>
          <w:sz w:val="24"/>
          <w:szCs w:val="24"/>
        </w:rPr>
        <w:t>,</w:t>
      </w:r>
      <w:r w:rsidRPr="00E2688B">
        <w:rPr>
          <w:b/>
          <w:sz w:val="24"/>
          <w:szCs w:val="24"/>
        </w:rPr>
        <w:t xml:space="preserve"> </w:t>
      </w:r>
      <w:r w:rsidRPr="00E2688B">
        <w:rPr>
          <w:sz w:val="24"/>
          <w:szCs w:val="24"/>
        </w:rPr>
        <w:t>naturalizadas pela cultura, que definem o que é considerado aceitável em termos de comportamentos, papéis e identidades. No campo do gênero, essas normas determinam, por exemplo,</w:t>
      </w:r>
      <w:r w:rsidRPr="00E2688B">
        <w:rPr>
          <w:b/>
          <w:sz w:val="24"/>
          <w:szCs w:val="24"/>
        </w:rPr>
        <w:t xml:space="preserve"> </w:t>
      </w:r>
      <w:r w:rsidRPr="00E2688B">
        <w:rPr>
          <w:rStyle w:val="Forte"/>
          <w:b w:val="0"/>
          <w:sz w:val="24"/>
          <w:szCs w:val="24"/>
        </w:rPr>
        <w:t>o que se espera de um “homem” ou de uma “mulher”</w:t>
      </w:r>
      <w:r w:rsidRPr="00E2688B">
        <w:rPr>
          <w:sz w:val="24"/>
          <w:szCs w:val="24"/>
        </w:rPr>
        <w:t xml:space="preserve">, reforçando desigualdades e violências quando essas expectativas são desafiadas ou transgredidas. Para </w:t>
      </w:r>
      <w:proofErr w:type="spellStart"/>
      <w:r w:rsidRPr="00E2688B">
        <w:rPr>
          <w:rStyle w:val="Forte"/>
          <w:b w:val="0"/>
          <w:sz w:val="24"/>
          <w:szCs w:val="24"/>
        </w:rPr>
        <w:t>Butler</w:t>
      </w:r>
      <w:proofErr w:type="spellEnd"/>
      <w:r w:rsidR="001E7749" w:rsidRPr="00E2688B">
        <w:rPr>
          <w:rStyle w:val="Forte"/>
          <w:b w:val="0"/>
          <w:sz w:val="24"/>
          <w:szCs w:val="24"/>
        </w:rPr>
        <w:t xml:space="preserve"> </w:t>
      </w:r>
      <w:r w:rsidR="001E7749" w:rsidRPr="00E2688B">
        <w:rPr>
          <w:sz w:val="24"/>
          <w:szCs w:val="24"/>
        </w:rPr>
        <w:t>(1990)</w:t>
      </w:r>
      <w:r w:rsidRPr="00E2688B">
        <w:rPr>
          <w:b/>
          <w:sz w:val="24"/>
          <w:szCs w:val="24"/>
        </w:rPr>
        <w:t xml:space="preserve">, </w:t>
      </w:r>
      <w:r w:rsidRPr="00E2688B">
        <w:rPr>
          <w:sz w:val="24"/>
          <w:szCs w:val="24"/>
        </w:rPr>
        <w:t xml:space="preserve">o gênero </w:t>
      </w:r>
      <w:r w:rsidRPr="00E2688B">
        <w:rPr>
          <w:rStyle w:val="Forte"/>
          <w:b w:val="0"/>
          <w:sz w:val="24"/>
          <w:szCs w:val="24"/>
        </w:rPr>
        <w:t>não é uma essência ou algo fixo</w:t>
      </w:r>
      <w:r w:rsidRPr="00E2688B">
        <w:rPr>
          <w:sz w:val="24"/>
          <w:szCs w:val="24"/>
        </w:rPr>
        <w:t>,</w:t>
      </w:r>
      <w:r w:rsidRPr="00E2688B">
        <w:rPr>
          <w:b/>
          <w:sz w:val="24"/>
          <w:szCs w:val="24"/>
        </w:rPr>
        <w:t xml:space="preserve"> </w:t>
      </w:r>
      <w:r w:rsidRPr="00E2688B">
        <w:rPr>
          <w:sz w:val="24"/>
          <w:szCs w:val="24"/>
        </w:rPr>
        <w:t>mas sim uma</w:t>
      </w:r>
      <w:r w:rsidRPr="00E2688B">
        <w:rPr>
          <w:b/>
          <w:sz w:val="24"/>
          <w:szCs w:val="24"/>
        </w:rPr>
        <w:t xml:space="preserve"> </w:t>
      </w:r>
      <w:r w:rsidRPr="00E2688B">
        <w:rPr>
          <w:rStyle w:val="Forte"/>
          <w:b w:val="0"/>
          <w:sz w:val="24"/>
          <w:szCs w:val="24"/>
        </w:rPr>
        <w:t>performance repetida</w:t>
      </w:r>
      <w:r w:rsidRPr="00E2688B">
        <w:rPr>
          <w:b/>
          <w:sz w:val="24"/>
          <w:szCs w:val="24"/>
        </w:rPr>
        <w:t xml:space="preserve"> </w:t>
      </w:r>
      <w:r w:rsidRPr="00E2688B">
        <w:rPr>
          <w:sz w:val="24"/>
          <w:szCs w:val="24"/>
        </w:rPr>
        <w:t>ao longo do tempo.</w:t>
      </w:r>
      <w:r w:rsidRPr="00E2688B">
        <w:rPr>
          <w:b/>
          <w:sz w:val="24"/>
          <w:szCs w:val="24"/>
        </w:rPr>
        <w:t xml:space="preserve"> </w:t>
      </w:r>
      <w:r w:rsidRPr="00E2688B">
        <w:rPr>
          <w:sz w:val="24"/>
          <w:szCs w:val="24"/>
        </w:rPr>
        <w:t xml:space="preserve">Em sua obra </w:t>
      </w:r>
      <w:r w:rsidRPr="00E2688B">
        <w:rPr>
          <w:rStyle w:val="nfase"/>
          <w:i w:val="0"/>
          <w:sz w:val="24"/>
          <w:szCs w:val="24"/>
        </w:rPr>
        <w:t>Problemas de Gênero</w:t>
      </w:r>
      <w:r w:rsidRPr="00E2688B">
        <w:rPr>
          <w:i/>
          <w:sz w:val="24"/>
          <w:szCs w:val="24"/>
        </w:rPr>
        <w:t xml:space="preserve"> </w:t>
      </w:r>
      <w:r w:rsidRPr="00E2688B">
        <w:rPr>
          <w:sz w:val="24"/>
          <w:szCs w:val="24"/>
        </w:rPr>
        <w:t>ela argumenta que os sujeitos são</w:t>
      </w:r>
      <w:r w:rsidRPr="00E2688B">
        <w:rPr>
          <w:b/>
          <w:sz w:val="24"/>
          <w:szCs w:val="24"/>
        </w:rPr>
        <w:t xml:space="preserve"> </w:t>
      </w:r>
      <w:r w:rsidRPr="00E2688B">
        <w:rPr>
          <w:rStyle w:val="Forte"/>
          <w:b w:val="0"/>
          <w:sz w:val="24"/>
          <w:szCs w:val="24"/>
        </w:rPr>
        <w:t>produzidos pelas normas</w:t>
      </w:r>
      <w:r w:rsidRPr="00E2688B">
        <w:rPr>
          <w:sz w:val="24"/>
          <w:szCs w:val="24"/>
        </w:rPr>
        <w:t>, e não o contrário. Ou seja,</w:t>
      </w:r>
      <w:r w:rsidRPr="00E2688B">
        <w:rPr>
          <w:b/>
          <w:sz w:val="24"/>
          <w:szCs w:val="24"/>
        </w:rPr>
        <w:t xml:space="preserve"> </w:t>
      </w:r>
      <w:r w:rsidRPr="00E2688B">
        <w:rPr>
          <w:rStyle w:val="Forte"/>
          <w:b w:val="0"/>
          <w:sz w:val="24"/>
          <w:szCs w:val="24"/>
        </w:rPr>
        <w:t>a identidade de gênero é construída socialmente</w:t>
      </w:r>
      <w:r w:rsidRPr="00E2688B">
        <w:rPr>
          <w:b/>
          <w:sz w:val="24"/>
          <w:szCs w:val="24"/>
        </w:rPr>
        <w:t xml:space="preserve"> </w:t>
      </w:r>
      <w:r w:rsidRPr="00E2688B">
        <w:rPr>
          <w:sz w:val="24"/>
          <w:szCs w:val="24"/>
        </w:rPr>
        <w:t>por meio da repetição de atos e discursos,</w:t>
      </w:r>
      <w:r w:rsidRPr="00E2688B">
        <w:rPr>
          <w:b/>
          <w:sz w:val="24"/>
          <w:szCs w:val="24"/>
        </w:rPr>
        <w:t xml:space="preserve"> </w:t>
      </w:r>
      <w:r w:rsidRPr="00E2688B">
        <w:rPr>
          <w:sz w:val="24"/>
          <w:szCs w:val="24"/>
        </w:rPr>
        <w:t>aquilo que parece natural é, na verdade, uma construção cultural sustentada por práticas reiteradas. O gênero é sempre uma construção, e o feminino ou masculino é o efeito de normas sociais que moldam os corpos e os comportamentos desde antes do nascimento.</w:t>
      </w:r>
      <w:r w:rsidR="00843CB7" w:rsidRPr="00E2688B">
        <w:rPr>
          <w:sz w:val="24"/>
          <w:szCs w:val="24"/>
        </w:rPr>
        <w:t xml:space="preserve"> </w:t>
      </w:r>
      <w:proofErr w:type="spellStart"/>
      <w:r w:rsidR="00843CB7" w:rsidRPr="00E2688B">
        <w:rPr>
          <w:rFonts w:eastAsia="Times New Roman"/>
          <w:sz w:val="24"/>
          <w:szCs w:val="24"/>
        </w:rPr>
        <w:t>Butler</w:t>
      </w:r>
      <w:proofErr w:type="spellEnd"/>
      <w:r w:rsidR="00843CB7" w:rsidRPr="00E2688B">
        <w:rPr>
          <w:rFonts w:eastAsia="Times New Roman"/>
          <w:sz w:val="24"/>
          <w:szCs w:val="24"/>
        </w:rPr>
        <w:t xml:space="preserve"> (1998) apud Silva </w:t>
      </w:r>
      <w:proofErr w:type="spellStart"/>
      <w:r w:rsidR="00843CB7" w:rsidRPr="00E2688B">
        <w:rPr>
          <w:rFonts w:eastAsia="Times New Roman"/>
          <w:sz w:val="24"/>
          <w:szCs w:val="24"/>
        </w:rPr>
        <w:t>Maynara</w:t>
      </w:r>
      <w:proofErr w:type="spellEnd"/>
      <w:r w:rsidR="00843CB7" w:rsidRPr="00E2688B">
        <w:rPr>
          <w:rFonts w:eastAsia="Times New Roman"/>
          <w:sz w:val="24"/>
          <w:szCs w:val="24"/>
        </w:rPr>
        <w:t xml:space="preserve"> (2021), diz que:</w:t>
      </w:r>
      <w:r w:rsidR="00650619" w:rsidRPr="00E2688B">
        <w:rPr>
          <w:rFonts w:eastAsia="Times New Roman"/>
          <w:sz w:val="24"/>
          <w:szCs w:val="24"/>
        </w:rPr>
        <w:t xml:space="preserve"> “a</w:t>
      </w:r>
      <w:r w:rsidR="00843CB7" w:rsidRPr="00E2688B">
        <w:rPr>
          <w:rFonts w:eastAsia="Times New Roman"/>
          <w:sz w:val="24"/>
          <w:szCs w:val="24"/>
        </w:rPr>
        <w:t xml:space="preserve">  repetição  permite  a eficiência  dos  atos  performativos  que sustentam   e   reforçam   as   identidades hegemônicas,    mas,    também    são    as repetições deslocadas     do     contexto natural  dos  sexos  que  possibilitam  a emergência de práticas que interrompam a reprodução das </w:t>
      </w:r>
      <w:r w:rsidR="00843CB7" w:rsidRPr="00E2688B">
        <w:rPr>
          <w:rFonts w:eastAsia="Times New Roman"/>
          <w:sz w:val="24"/>
          <w:szCs w:val="24"/>
        </w:rPr>
        <w:lastRenderedPageBreak/>
        <w:t xml:space="preserve">normas de gênero e ao fazê-lo  explicitam  o  caráter  excludente da  categoria  “humano”  das  pessoas  que reconstroem  suas  posições  </w:t>
      </w:r>
      <w:proofErr w:type="spellStart"/>
      <w:r w:rsidR="00843CB7" w:rsidRPr="00E2688B">
        <w:rPr>
          <w:rFonts w:eastAsia="Times New Roman"/>
          <w:sz w:val="24"/>
          <w:szCs w:val="24"/>
        </w:rPr>
        <w:t>identitárias</w:t>
      </w:r>
      <w:proofErr w:type="spellEnd"/>
      <w:r w:rsidR="00843CB7" w:rsidRPr="00E2688B">
        <w:rPr>
          <w:rFonts w:eastAsia="Times New Roman"/>
          <w:sz w:val="24"/>
          <w:szCs w:val="24"/>
        </w:rPr>
        <w:t xml:space="preserve"> transitando   e,   portanto,   negando,   a precedência   explicativa   do   biológico</w:t>
      </w:r>
      <w:r w:rsidR="00650619" w:rsidRPr="00E2688B">
        <w:rPr>
          <w:rFonts w:eastAsia="Times New Roman"/>
          <w:sz w:val="24"/>
          <w:szCs w:val="24"/>
        </w:rPr>
        <w:t>”</w:t>
      </w:r>
      <w:r w:rsidR="00AC35A4" w:rsidRPr="00E2688B">
        <w:rPr>
          <w:rFonts w:eastAsia="Times New Roman"/>
          <w:sz w:val="24"/>
          <w:szCs w:val="24"/>
        </w:rPr>
        <w:t xml:space="preserve"> (p.</w:t>
      </w:r>
      <w:r w:rsidR="00843CB7" w:rsidRPr="00E2688B">
        <w:rPr>
          <w:rFonts w:eastAsia="Times New Roman"/>
          <w:sz w:val="24"/>
          <w:szCs w:val="24"/>
        </w:rPr>
        <w:t>113).</w:t>
      </w:r>
    </w:p>
    <w:p w14:paraId="67D70218" w14:textId="587D6F61" w:rsidR="009C160F" w:rsidRPr="00E2688B" w:rsidRDefault="001E3C36" w:rsidP="00E2688B">
      <w:pPr>
        <w:spacing w:line="360" w:lineRule="auto"/>
        <w:ind w:firstLine="721"/>
        <w:jc w:val="both"/>
        <w:rPr>
          <w:rStyle w:val="Forte"/>
          <w:b w:val="0"/>
          <w:sz w:val="24"/>
          <w:szCs w:val="24"/>
        </w:rPr>
      </w:pPr>
      <w:r w:rsidRPr="00E2688B">
        <w:rPr>
          <w:sz w:val="24"/>
          <w:szCs w:val="24"/>
        </w:rPr>
        <w:t xml:space="preserve">A violência doméstica e </w:t>
      </w:r>
      <w:proofErr w:type="spellStart"/>
      <w:r w:rsidRPr="00E2688B">
        <w:rPr>
          <w:sz w:val="24"/>
          <w:szCs w:val="24"/>
        </w:rPr>
        <w:t>feminicídio</w:t>
      </w:r>
      <w:proofErr w:type="spellEnd"/>
      <w:r w:rsidRPr="00E2688B">
        <w:rPr>
          <w:sz w:val="24"/>
          <w:szCs w:val="24"/>
        </w:rPr>
        <w:t xml:space="preserve"> permanecem em níveis alarmantes, mesmo após a promulgação de marcos legais importantes, como a</w:t>
      </w:r>
      <w:r w:rsidRPr="00E2688B">
        <w:rPr>
          <w:rFonts w:eastAsia="Times New Roman"/>
          <w:bCs/>
          <w:sz w:val="24"/>
          <w:szCs w:val="24"/>
        </w:rPr>
        <w:t xml:space="preserve"> Lei Maria da Penha</w:t>
      </w:r>
      <w:r w:rsidRPr="00E2688B">
        <w:rPr>
          <w:sz w:val="24"/>
          <w:szCs w:val="24"/>
        </w:rPr>
        <w:t xml:space="preserve">, </w:t>
      </w:r>
      <w:r w:rsidRPr="00E2688B">
        <w:rPr>
          <w:rFonts w:eastAsia="Times New Roman"/>
          <w:bCs/>
          <w:sz w:val="24"/>
          <w:szCs w:val="24"/>
        </w:rPr>
        <w:t>nº 11.340/2006</w:t>
      </w:r>
      <w:r w:rsidRPr="00E2688B">
        <w:rPr>
          <w:sz w:val="24"/>
          <w:szCs w:val="24"/>
        </w:rPr>
        <w:t>, de</w:t>
      </w:r>
      <w:r w:rsidRPr="00E2688B">
        <w:rPr>
          <w:rFonts w:eastAsia="Times New Roman"/>
          <w:sz w:val="24"/>
          <w:szCs w:val="24"/>
        </w:rPr>
        <w:t xml:space="preserve"> 7 de agosto de 2006, que criou mecanismos para coibir a </w:t>
      </w:r>
      <w:r w:rsidRPr="00E2688B">
        <w:rPr>
          <w:rFonts w:eastAsia="Times New Roman"/>
          <w:bCs/>
          <w:sz w:val="24"/>
          <w:szCs w:val="24"/>
        </w:rPr>
        <w:t>violência doméstica e familiar contra a mulher</w:t>
      </w:r>
      <w:r w:rsidRPr="00E2688B">
        <w:rPr>
          <w:rFonts w:eastAsia="Times New Roman"/>
          <w:sz w:val="24"/>
          <w:szCs w:val="24"/>
        </w:rPr>
        <w:t xml:space="preserve">; a </w:t>
      </w:r>
      <w:r w:rsidRPr="00E2688B">
        <w:rPr>
          <w:rFonts w:eastAsia="Times New Roman"/>
          <w:bCs/>
          <w:sz w:val="24"/>
          <w:szCs w:val="24"/>
        </w:rPr>
        <w:t xml:space="preserve">Lei do </w:t>
      </w:r>
      <w:proofErr w:type="spellStart"/>
      <w:r w:rsidRPr="00E2688B">
        <w:rPr>
          <w:rFonts w:eastAsia="Times New Roman"/>
          <w:bCs/>
          <w:sz w:val="24"/>
          <w:szCs w:val="24"/>
        </w:rPr>
        <w:t>Feminicídio</w:t>
      </w:r>
      <w:proofErr w:type="spellEnd"/>
      <w:r w:rsidRPr="00E2688B">
        <w:rPr>
          <w:rFonts w:eastAsia="Times New Roman"/>
          <w:bCs/>
          <w:sz w:val="24"/>
          <w:szCs w:val="24"/>
        </w:rPr>
        <w:t>, nº 13.104/2015, de</w:t>
      </w:r>
      <w:r w:rsidRPr="00E2688B">
        <w:rPr>
          <w:rFonts w:eastAsia="Times New Roman"/>
          <w:sz w:val="24"/>
          <w:szCs w:val="24"/>
        </w:rPr>
        <w:t xml:space="preserve"> 9 de março de 2015, que alterou o Código Penal para incluir o </w:t>
      </w:r>
      <w:proofErr w:type="spellStart"/>
      <w:r w:rsidRPr="00E2688B">
        <w:rPr>
          <w:rFonts w:eastAsia="Times New Roman"/>
          <w:bCs/>
          <w:sz w:val="24"/>
          <w:szCs w:val="24"/>
        </w:rPr>
        <w:t>feminicídio</w:t>
      </w:r>
      <w:proofErr w:type="spellEnd"/>
      <w:r w:rsidRPr="00E2688B">
        <w:rPr>
          <w:rFonts w:eastAsia="Times New Roman"/>
          <w:sz w:val="24"/>
          <w:szCs w:val="24"/>
        </w:rPr>
        <w:t xml:space="preserve"> como </w:t>
      </w:r>
      <w:r w:rsidRPr="00E2688B">
        <w:rPr>
          <w:rFonts w:eastAsia="Times New Roman"/>
          <w:bCs/>
          <w:sz w:val="24"/>
          <w:szCs w:val="24"/>
        </w:rPr>
        <w:t>circunstância qualificadora do crime de homicídio</w:t>
      </w:r>
      <w:r w:rsidRPr="00E2688B">
        <w:rPr>
          <w:rFonts w:eastAsia="Times New Roman"/>
          <w:sz w:val="24"/>
          <w:szCs w:val="24"/>
        </w:rPr>
        <w:t xml:space="preserve"> e o inclui no rol dos crimes hediondos; e e</w:t>
      </w:r>
      <w:r w:rsidRPr="00E2688B">
        <w:rPr>
          <w:sz w:val="24"/>
          <w:szCs w:val="24"/>
        </w:rPr>
        <w:t xml:space="preserve">m </w:t>
      </w:r>
      <w:r w:rsidRPr="00E2688B">
        <w:rPr>
          <w:rStyle w:val="Forte"/>
          <w:b w:val="0"/>
          <w:sz w:val="24"/>
          <w:szCs w:val="24"/>
        </w:rPr>
        <w:t>9 de outubro de 2024</w:t>
      </w:r>
      <w:r w:rsidRPr="00E2688B">
        <w:rPr>
          <w:sz w:val="24"/>
          <w:szCs w:val="24"/>
        </w:rPr>
        <w:t xml:space="preserve">, foi sancionada a </w:t>
      </w:r>
      <w:r w:rsidRPr="00E2688B">
        <w:rPr>
          <w:rStyle w:val="Forte"/>
          <w:b w:val="0"/>
          <w:sz w:val="24"/>
          <w:szCs w:val="24"/>
        </w:rPr>
        <w:t>Lei nº 14.994/2024</w:t>
      </w:r>
      <w:r w:rsidRPr="00E2688B">
        <w:rPr>
          <w:b/>
          <w:sz w:val="24"/>
          <w:szCs w:val="24"/>
        </w:rPr>
        <w:t>,</w:t>
      </w:r>
      <w:r w:rsidRPr="00E2688B">
        <w:rPr>
          <w:sz w:val="24"/>
          <w:szCs w:val="24"/>
        </w:rPr>
        <w:t xml:space="preserve"> que tornou o </w:t>
      </w:r>
      <w:proofErr w:type="spellStart"/>
      <w:r w:rsidRPr="00E2688B">
        <w:rPr>
          <w:rStyle w:val="Forte"/>
          <w:b w:val="0"/>
          <w:sz w:val="24"/>
          <w:szCs w:val="24"/>
        </w:rPr>
        <w:t>feminicídio</w:t>
      </w:r>
      <w:proofErr w:type="spellEnd"/>
      <w:r w:rsidRPr="00E2688B">
        <w:rPr>
          <w:rStyle w:val="Forte"/>
          <w:b w:val="0"/>
          <w:sz w:val="24"/>
          <w:szCs w:val="24"/>
        </w:rPr>
        <w:t xml:space="preserve"> um crime autônomo</w:t>
      </w:r>
      <w:r w:rsidRPr="00E2688B">
        <w:rPr>
          <w:sz w:val="24"/>
          <w:szCs w:val="24"/>
        </w:rPr>
        <w:t xml:space="preserve">, agora tipificado no </w:t>
      </w:r>
      <w:r w:rsidRPr="00E2688B">
        <w:rPr>
          <w:rStyle w:val="Forte"/>
          <w:b w:val="0"/>
          <w:sz w:val="24"/>
          <w:szCs w:val="24"/>
        </w:rPr>
        <w:t>art. 121</w:t>
      </w:r>
      <w:r w:rsidRPr="00E2688B">
        <w:rPr>
          <w:rStyle w:val="Forte"/>
          <w:b w:val="0"/>
          <w:sz w:val="24"/>
          <w:szCs w:val="24"/>
        </w:rPr>
        <w:noBreakHyphen/>
        <w:t>A do Código Penal</w:t>
      </w:r>
      <w:r w:rsidRPr="00E2688B">
        <w:rPr>
          <w:b/>
          <w:sz w:val="24"/>
          <w:szCs w:val="24"/>
        </w:rPr>
        <w:t>.</w:t>
      </w:r>
      <w:r w:rsidRPr="00E2688B">
        <w:rPr>
          <w:sz w:val="24"/>
          <w:szCs w:val="24"/>
        </w:rPr>
        <w:t xml:space="preserve"> Antes, era apenas uma qualificadora do homicídio. </w:t>
      </w:r>
      <w:r w:rsidR="009F39E5" w:rsidRPr="00E2688B">
        <w:rPr>
          <w:rFonts w:eastAsia="Times New Roman"/>
          <w:sz w:val="24"/>
          <w:szCs w:val="24"/>
        </w:rPr>
        <w:t xml:space="preserve">Em 2024, o CNJ registrou: </w:t>
      </w:r>
      <w:r w:rsidR="009F39E5" w:rsidRPr="00E2688B">
        <w:rPr>
          <w:rFonts w:eastAsia="Times New Roman"/>
          <w:bCs/>
          <w:sz w:val="24"/>
          <w:szCs w:val="24"/>
        </w:rPr>
        <w:t>827.990 movimentações</w:t>
      </w:r>
      <w:r w:rsidR="009F39E5" w:rsidRPr="00E2688B">
        <w:rPr>
          <w:rFonts w:eastAsia="Times New Roman"/>
          <w:sz w:val="24"/>
          <w:szCs w:val="24"/>
        </w:rPr>
        <w:t xml:space="preserve"> relacionadas a medidas protetivas de urgência da Lei Maria da Penha, </w:t>
      </w:r>
      <w:r w:rsidR="009F39E5" w:rsidRPr="00E2688B">
        <w:rPr>
          <w:rFonts w:eastAsia="Times New Roman"/>
          <w:bCs/>
          <w:sz w:val="24"/>
          <w:szCs w:val="24"/>
        </w:rPr>
        <w:t>578.849 decisões favoráveis</w:t>
      </w:r>
      <w:r w:rsidR="009F39E5" w:rsidRPr="00E2688B">
        <w:rPr>
          <w:rFonts w:eastAsia="Times New Roman"/>
          <w:sz w:val="24"/>
          <w:szCs w:val="24"/>
        </w:rPr>
        <w:t xml:space="preserve"> à concessão de medidas protetivas, </w:t>
      </w:r>
      <w:r w:rsidR="009F39E5" w:rsidRPr="00E2688B">
        <w:rPr>
          <w:rFonts w:eastAsia="Times New Roman"/>
          <w:bCs/>
          <w:sz w:val="24"/>
          <w:szCs w:val="24"/>
        </w:rPr>
        <w:t>51.285 decisões negativas</w:t>
      </w:r>
      <w:r w:rsidR="009F39E5" w:rsidRPr="00E2688B">
        <w:rPr>
          <w:rFonts w:eastAsia="Times New Roman"/>
          <w:sz w:val="24"/>
          <w:szCs w:val="24"/>
        </w:rPr>
        <w:t xml:space="preserve">, </w:t>
      </w:r>
      <w:r w:rsidR="009F39E5" w:rsidRPr="00E2688B">
        <w:rPr>
          <w:rFonts w:eastAsia="Times New Roman"/>
          <w:bCs/>
          <w:sz w:val="24"/>
          <w:szCs w:val="24"/>
        </w:rPr>
        <w:t>959.228 novos casos</w:t>
      </w:r>
      <w:r w:rsidR="009F39E5" w:rsidRPr="00E2688B">
        <w:rPr>
          <w:rFonts w:eastAsia="Times New Roman"/>
          <w:sz w:val="24"/>
          <w:szCs w:val="24"/>
        </w:rPr>
        <w:t xml:space="preserve"> de violência doméstica registrados, com </w:t>
      </w:r>
      <w:r w:rsidR="009F39E5" w:rsidRPr="00E2688B">
        <w:rPr>
          <w:rFonts w:eastAsia="Times New Roman"/>
          <w:bCs/>
          <w:sz w:val="24"/>
          <w:szCs w:val="24"/>
        </w:rPr>
        <w:t>926.000 processos baixados</w:t>
      </w:r>
      <w:r w:rsidR="009F39E5" w:rsidRPr="00E2688B">
        <w:rPr>
          <w:rFonts w:eastAsia="Times New Roman"/>
          <w:sz w:val="24"/>
          <w:szCs w:val="24"/>
        </w:rPr>
        <w:t xml:space="preserve"> e </w:t>
      </w:r>
      <w:r w:rsidR="009F39E5" w:rsidRPr="00E2688B">
        <w:rPr>
          <w:rFonts w:eastAsia="Times New Roman"/>
          <w:bCs/>
          <w:sz w:val="24"/>
          <w:szCs w:val="24"/>
        </w:rPr>
        <w:t>1.000.000 de ações pendentes</w:t>
      </w:r>
      <w:r w:rsidR="009F39E5" w:rsidRPr="00E2688B">
        <w:rPr>
          <w:rFonts w:eastAsia="Times New Roman"/>
          <w:sz w:val="24"/>
          <w:szCs w:val="24"/>
        </w:rPr>
        <w:t xml:space="preserve"> até o final do ano, e </w:t>
      </w:r>
      <w:r w:rsidR="009F39E5" w:rsidRPr="00E2688B">
        <w:rPr>
          <w:rFonts w:eastAsia="Times New Roman"/>
          <w:bCs/>
          <w:sz w:val="24"/>
          <w:szCs w:val="24"/>
        </w:rPr>
        <w:t xml:space="preserve">10.991 casos de </w:t>
      </w:r>
      <w:proofErr w:type="spellStart"/>
      <w:r w:rsidR="009F39E5" w:rsidRPr="00E2688B">
        <w:rPr>
          <w:rFonts w:eastAsia="Times New Roman"/>
          <w:bCs/>
          <w:sz w:val="24"/>
          <w:szCs w:val="24"/>
        </w:rPr>
        <w:t>feminicídio</w:t>
      </w:r>
      <w:proofErr w:type="spellEnd"/>
      <w:r w:rsidR="009F39E5" w:rsidRPr="00E2688B">
        <w:rPr>
          <w:rFonts w:eastAsia="Times New Roman"/>
          <w:bCs/>
          <w:sz w:val="24"/>
          <w:szCs w:val="24"/>
        </w:rPr>
        <w:t xml:space="preserve"> julgados</w:t>
      </w:r>
      <w:r w:rsidR="009F39E5" w:rsidRPr="00E2688B">
        <w:rPr>
          <w:rFonts w:eastAsia="Times New Roman"/>
          <w:sz w:val="24"/>
          <w:szCs w:val="24"/>
        </w:rPr>
        <w:t xml:space="preserve">, representando um aumento de </w:t>
      </w:r>
      <w:r w:rsidR="009F39E5" w:rsidRPr="00E2688B">
        <w:rPr>
          <w:rFonts w:eastAsia="Times New Roman"/>
          <w:bCs/>
          <w:sz w:val="24"/>
          <w:szCs w:val="24"/>
        </w:rPr>
        <w:t>225%</w:t>
      </w:r>
      <w:r w:rsidR="009F39E5" w:rsidRPr="00E2688B">
        <w:rPr>
          <w:rFonts w:eastAsia="Times New Roman"/>
          <w:sz w:val="24"/>
          <w:szCs w:val="24"/>
        </w:rPr>
        <w:t xml:space="preserve"> em relação a 2020.</w:t>
      </w:r>
      <w:bookmarkStart w:id="1" w:name="_Hlk202276963"/>
      <w:r w:rsidR="00F53393" w:rsidRPr="00E2688B">
        <w:rPr>
          <w:sz w:val="24"/>
          <w:szCs w:val="24"/>
        </w:rPr>
        <w:t xml:space="preserve"> </w:t>
      </w:r>
      <w:bookmarkEnd w:id="1"/>
    </w:p>
    <w:p w14:paraId="42F62F02" w14:textId="6C4511F6" w:rsidR="00690997" w:rsidRPr="00E2688B" w:rsidRDefault="00690997" w:rsidP="00E2688B">
      <w:pPr>
        <w:pBdr>
          <w:top w:val="nil"/>
          <w:left w:val="nil"/>
          <w:bottom w:val="nil"/>
          <w:right w:val="nil"/>
          <w:between w:val="nil"/>
        </w:pBdr>
        <w:spacing w:line="360" w:lineRule="auto"/>
        <w:ind w:firstLine="720"/>
        <w:jc w:val="both"/>
        <w:rPr>
          <w:sz w:val="24"/>
          <w:szCs w:val="24"/>
        </w:rPr>
      </w:pPr>
      <w:proofErr w:type="spellStart"/>
      <w:r w:rsidRPr="00E2688B">
        <w:rPr>
          <w:rStyle w:val="Forte"/>
          <w:b w:val="0"/>
          <w:sz w:val="24"/>
          <w:szCs w:val="24"/>
        </w:rPr>
        <w:t>Butler</w:t>
      </w:r>
      <w:proofErr w:type="spellEnd"/>
      <w:r w:rsidR="00BE7495" w:rsidRPr="00E2688B">
        <w:rPr>
          <w:b/>
          <w:sz w:val="24"/>
          <w:szCs w:val="24"/>
        </w:rPr>
        <w:t xml:space="preserve"> </w:t>
      </w:r>
      <w:r w:rsidR="00BE7495" w:rsidRPr="00E2688B">
        <w:rPr>
          <w:sz w:val="24"/>
          <w:szCs w:val="24"/>
        </w:rPr>
        <w:t>(</w:t>
      </w:r>
      <w:r w:rsidRPr="00E2688B">
        <w:rPr>
          <w:sz w:val="24"/>
          <w:szCs w:val="24"/>
        </w:rPr>
        <w:t xml:space="preserve">1990), argumenta que o gênero </w:t>
      </w:r>
      <w:r w:rsidRPr="00E2688B">
        <w:rPr>
          <w:rStyle w:val="Forte"/>
          <w:b w:val="0"/>
          <w:sz w:val="24"/>
          <w:szCs w:val="24"/>
        </w:rPr>
        <w:t>não é uma identidade fixa</w:t>
      </w:r>
      <w:r w:rsidRPr="00E2688B">
        <w:rPr>
          <w:sz w:val="24"/>
          <w:szCs w:val="24"/>
        </w:rPr>
        <w:t xml:space="preserve">, mas sim um </w:t>
      </w:r>
      <w:r w:rsidRPr="00E2688B">
        <w:rPr>
          <w:rStyle w:val="Forte"/>
          <w:b w:val="0"/>
          <w:sz w:val="24"/>
          <w:szCs w:val="24"/>
        </w:rPr>
        <w:t>ato repetido, performativo</w:t>
      </w:r>
      <w:r w:rsidRPr="00E2688B">
        <w:rPr>
          <w:b/>
          <w:sz w:val="24"/>
          <w:szCs w:val="24"/>
        </w:rPr>
        <w:t>,</w:t>
      </w:r>
      <w:r w:rsidRPr="00E2688B">
        <w:rPr>
          <w:sz w:val="24"/>
          <w:szCs w:val="24"/>
        </w:rPr>
        <w:t xml:space="preserve"> construído a partir de normas sociais que se naturalizam ao longo do tempo. Ou seja, </w:t>
      </w:r>
      <w:r w:rsidRPr="00E2688B">
        <w:rPr>
          <w:rStyle w:val="Forte"/>
          <w:b w:val="0"/>
          <w:sz w:val="24"/>
          <w:szCs w:val="24"/>
        </w:rPr>
        <w:t>ser homem ou mulher é uma repetição de gestos, comportamentos e discursos</w:t>
      </w:r>
      <w:r w:rsidRPr="00E2688B">
        <w:rPr>
          <w:sz w:val="24"/>
          <w:szCs w:val="24"/>
        </w:rPr>
        <w:t xml:space="preserve"> impostos culturalmente. No contexto da violência doméstica, essa teoria é especialmente útil para entender </w:t>
      </w:r>
      <w:r w:rsidRPr="00E2688B">
        <w:rPr>
          <w:rStyle w:val="Forte"/>
          <w:b w:val="0"/>
          <w:sz w:val="24"/>
          <w:szCs w:val="24"/>
        </w:rPr>
        <w:t>como determinadas normas sociais reforçam a autoridade masculina e a subordinação feminina</w:t>
      </w:r>
      <w:r w:rsidRPr="00E2688B">
        <w:rPr>
          <w:b/>
          <w:sz w:val="24"/>
          <w:szCs w:val="24"/>
        </w:rPr>
        <w:t>.</w:t>
      </w:r>
      <w:r w:rsidRPr="00E2688B">
        <w:rPr>
          <w:sz w:val="24"/>
          <w:szCs w:val="24"/>
        </w:rPr>
        <w:t xml:space="preserve"> A repetição cotidiana de comportamentos como a exigência de submissão da mulher, a valorização da masculinidade agressiva ou a </w:t>
      </w:r>
      <w:proofErr w:type="spellStart"/>
      <w:r w:rsidRPr="00E2688B">
        <w:rPr>
          <w:sz w:val="24"/>
          <w:szCs w:val="24"/>
        </w:rPr>
        <w:t>culpabilização</w:t>
      </w:r>
      <w:proofErr w:type="spellEnd"/>
      <w:r w:rsidRPr="00E2688B">
        <w:rPr>
          <w:sz w:val="24"/>
          <w:szCs w:val="24"/>
        </w:rPr>
        <w:t xml:space="preserve"> da vítima são expressões performativas que </w:t>
      </w:r>
      <w:r w:rsidRPr="00E2688B">
        <w:rPr>
          <w:rStyle w:val="Forte"/>
          <w:b w:val="0"/>
          <w:sz w:val="24"/>
          <w:szCs w:val="24"/>
        </w:rPr>
        <w:t>mantêm e reforçam a hierarquia de gênero</w:t>
      </w:r>
      <w:r w:rsidRPr="00E2688B">
        <w:rPr>
          <w:b/>
          <w:sz w:val="24"/>
          <w:szCs w:val="24"/>
        </w:rPr>
        <w:t>.</w:t>
      </w:r>
      <w:r w:rsidR="001608E7" w:rsidRPr="00E2688B">
        <w:rPr>
          <w:b/>
          <w:sz w:val="24"/>
          <w:szCs w:val="24"/>
        </w:rPr>
        <w:t xml:space="preserve"> </w:t>
      </w:r>
      <w:r w:rsidRPr="00E2688B">
        <w:rPr>
          <w:sz w:val="24"/>
          <w:szCs w:val="24"/>
        </w:rPr>
        <w:t xml:space="preserve">Segundo </w:t>
      </w:r>
      <w:proofErr w:type="spellStart"/>
      <w:r w:rsidRPr="00E2688B">
        <w:rPr>
          <w:sz w:val="24"/>
          <w:szCs w:val="24"/>
        </w:rPr>
        <w:t>Butler</w:t>
      </w:r>
      <w:proofErr w:type="spellEnd"/>
      <w:r w:rsidR="001608E7" w:rsidRPr="00E2688B">
        <w:rPr>
          <w:sz w:val="24"/>
          <w:szCs w:val="24"/>
        </w:rPr>
        <w:t xml:space="preserve"> (1990)</w:t>
      </w:r>
      <w:r w:rsidRPr="00E2688B">
        <w:rPr>
          <w:sz w:val="24"/>
          <w:szCs w:val="24"/>
        </w:rPr>
        <w:t xml:space="preserve">, </w:t>
      </w:r>
      <w:r w:rsidRPr="00E2688B">
        <w:rPr>
          <w:rStyle w:val="Forte"/>
          <w:b w:val="0"/>
          <w:sz w:val="24"/>
          <w:szCs w:val="24"/>
        </w:rPr>
        <w:lastRenderedPageBreak/>
        <w:t>o gênero é uma performance social e política</w:t>
      </w:r>
      <w:r w:rsidRPr="00E2688B">
        <w:rPr>
          <w:sz w:val="24"/>
          <w:szCs w:val="24"/>
        </w:rPr>
        <w:t xml:space="preserve">, não uma essência biológica. Assim, quando a sociedade espera que “homens sejam dominantes” e “mulheres sejam obedientes”, ela está </w:t>
      </w:r>
      <w:r w:rsidRPr="00E2688B">
        <w:rPr>
          <w:rStyle w:val="Forte"/>
          <w:b w:val="0"/>
          <w:sz w:val="24"/>
          <w:szCs w:val="24"/>
        </w:rPr>
        <w:t>reproduzindo uma estrutura violenta de poder</w:t>
      </w:r>
      <w:r w:rsidRPr="00E2688B">
        <w:rPr>
          <w:sz w:val="24"/>
          <w:szCs w:val="24"/>
        </w:rPr>
        <w:t>, que pode legitimar práticas abusivas no ambiente doméstico.</w:t>
      </w:r>
    </w:p>
    <w:p w14:paraId="58F31002" w14:textId="77777777" w:rsidR="004F2EB4" w:rsidRPr="00E2688B" w:rsidRDefault="00DF68BA" w:rsidP="00E2688B">
      <w:pPr>
        <w:spacing w:line="360" w:lineRule="auto"/>
        <w:ind w:left="-1" w:firstLine="721"/>
        <w:jc w:val="both"/>
        <w:rPr>
          <w:sz w:val="24"/>
          <w:szCs w:val="24"/>
        </w:rPr>
      </w:pPr>
      <w:r w:rsidRPr="00E2688B">
        <w:rPr>
          <w:sz w:val="24"/>
          <w:szCs w:val="24"/>
        </w:rPr>
        <w:t xml:space="preserve">A violência de gênero não se manifesta apenas através do corpo, mas também pelo poder das normas que regulam os comportamentos, produzindo sujeitos subordinados que internalizam e reproduzem o medo e a submissão Judith </w:t>
      </w:r>
      <w:proofErr w:type="spellStart"/>
      <w:r w:rsidRPr="00E2688B">
        <w:rPr>
          <w:sz w:val="24"/>
          <w:szCs w:val="24"/>
        </w:rPr>
        <w:t>Butler</w:t>
      </w:r>
      <w:proofErr w:type="spellEnd"/>
      <w:r w:rsidRPr="00E2688B">
        <w:rPr>
          <w:sz w:val="24"/>
          <w:szCs w:val="24"/>
        </w:rPr>
        <w:t xml:space="preserve"> (1990). ”O medo, para as mulheres, é uma experiência central que atravessa o cotidiano e condiciona suas decisões e formas de resistência. Ele não é simplesmente um sentimento individual, mas uma categoria que evidencia a relação de poder e a estrutura patriarcal que controla e limita a vida feminina” (Gregori, 1998, p. 142).</w:t>
      </w:r>
    </w:p>
    <w:p w14:paraId="12BAE5C8" w14:textId="77777777" w:rsidR="0044554B" w:rsidRPr="00E2688B" w:rsidRDefault="00277D77" w:rsidP="00E2688B">
      <w:pPr>
        <w:spacing w:line="360" w:lineRule="auto"/>
        <w:ind w:left="-1" w:firstLine="721"/>
        <w:jc w:val="both"/>
        <w:rPr>
          <w:rFonts w:eastAsia="Times New Roman"/>
          <w:sz w:val="24"/>
          <w:szCs w:val="24"/>
        </w:rPr>
      </w:pPr>
      <w:r w:rsidRPr="00E2688B">
        <w:rPr>
          <w:sz w:val="24"/>
          <w:szCs w:val="24"/>
        </w:rPr>
        <w:t xml:space="preserve">Fatores como </w:t>
      </w:r>
      <w:r w:rsidRPr="00E2688B">
        <w:rPr>
          <w:rStyle w:val="Forte"/>
          <w:b w:val="0"/>
          <w:sz w:val="24"/>
          <w:szCs w:val="24"/>
        </w:rPr>
        <w:t>raça, classe, orientação sexual e território</w:t>
      </w:r>
      <w:r w:rsidRPr="00E2688B">
        <w:rPr>
          <w:sz w:val="24"/>
          <w:szCs w:val="24"/>
        </w:rPr>
        <w:t xml:space="preserve"> não apenas atravessam, mas </w:t>
      </w:r>
      <w:r w:rsidRPr="00E2688B">
        <w:rPr>
          <w:rStyle w:val="Forte"/>
          <w:b w:val="0"/>
          <w:sz w:val="24"/>
          <w:szCs w:val="24"/>
        </w:rPr>
        <w:t>estruturam</w:t>
      </w:r>
      <w:r w:rsidRPr="00E2688B">
        <w:rPr>
          <w:sz w:val="24"/>
          <w:szCs w:val="24"/>
        </w:rPr>
        <w:t xml:space="preserve"> de forma diferenciada as vivências das mulheres em relação à violência e à opressão. </w:t>
      </w:r>
      <w:r w:rsidR="00F56323" w:rsidRPr="00E2688B">
        <w:rPr>
          <w:sz w:val="24"/>
          <w:szCs w:val="24"/>
        </w:rPr>
        <w:t xml:space="preserve">A </w:t>
      </w:r>
      <w:r w:rsidRPr="00E2688B">
        <w:rPr>
          <w:sz w:val="24"/>
          <w:szCs w:val="24"/>
        </w:rPr>
        <w:t xml:space="preserve">mulher negra, situada na base da pirâmide social brasileira, é afetada de maneira singular pelas formas interligadas de racismo, </w:t>
      </w:r>
      <w:proofErr w:type="spellStart"/>
      <w:r w:rsidRPr="00E2688B">
        <w:rPr>
          <w:sz w:val="24"/>
          <w:szCs w:val="24"/>
        </w:rPr>
        <w:t>sexismo</w:t>
      </w:r>
      <w:proofErr w:type="spellEnd"/>
      <w:r w:rsidRPr="00E2688B">
        <w:rPr>
          <w:sz w:val="24"/>
          <w:szCs w:val="24"/>
        </w:rPr>
        <w:t xml:space="preserve"> e exploração econômica. Sua condição é marcada por uma tripla opressão: “</w:t>
      </w:r>
      <w:r w:rsidRPr="00E2688B">
        <w:rPr>
          <w:rStyle w:val="Forte"/>
          <w:b w:val="0"/>
          <w:sz w:val="24"/>
          <w:szCs w:val="24"/>
        </w:rPr>
        <w:t xml:space="preserve">vítima do racismo, do </w:t>
      </w:r>
      <w:proofErr w:type="spellStart"/>
      <w:r w:rsidRPr="00E2688B">
        <w:rPr>
          <w:rStyle w:val="Forte"/>
          <w:b w:val="0"/>
          <w:sz w:val="24"/>
          <w:szCs w:val="24"/>
        </w:rPr>
        <w:t>sexismo</w:t>
      </w:r>
      <w:proofErr w:type="spellEnd"/>
      <w:r w:rsidRPr="00E2688B">
        <w:rPr>
          <w:rStyle w:val="Forte"/>
          <w:b w:val="0"/>
          <w:sz w:val="24"/>
          <w:szCs w:val="24"/>
        </w:rPr>
        <w:t xml:space="preserve"> e da exploração de classe, ela é quem mais sofre com a violência naturalizada pelo mito da democracia racial</w:t>
      </w:r>
      <w:r w:rsidRPr="00E2688B">
        <w:rPr>
          <w:sz w:val="24"/>
          <w:szCs w:val="24"/>
        </w:rPr>
        <w:t xml:space="preserve">” (Gonzalez, 1988, p. 58). Ao evidenciar essa intersecção, </w:t>
      </w:r>
      <w:r w:rsidR="00F56323" w:rsidRPr="00E2688B">
        <w:rPr>
          <w:sz w:val="24"/>
          <w:szCs w:val="24"/>
        </w:rPr>
        <w:t xml:space="preserve">a autora </w:t>
      </w:r>
      <w:r w:rsidRPr="00E2688B">
        <w:rPr>
          <w:sz w:val="24"/>
          <w:szCs w:val="24"/>
        </w:rPr>
        <w:t xml:space="preserve">antecipa debates que hoje são centrais no feminismo interseccional, ao mostrar que a opressão não se distribui igualmente entre todas as mulheres, mas é </w:t>
      </w:r>
      <w:r w:rsidRPr="00E2688B">
        <w:rPr>
          <w:rStyle w:val="Forte"/>
          <w:b w:val="0"/>
          <w:sz w:val="24"/>
          <w:szCs w:val="24"/>
        </w:rPr>
        <w:t>intensificada por marcadores sociais historicamente negligenciados</w:t>
      </w:r>
      <w:r w:rsidRPr="00E2688B">
        <w:rPr>
          <w:sz w:val="24"/>
          <w:szCs w:val="24"/>
        </w:rPr>
        <w:t xml:space="preserve"> pelas políticas públicas e pelos discursos feministas hegemônicos.</w:t>
      </w:r>
      <w:r w:rsidR="00D96734" w:rsidRPr="00E2688B">
        <w:rPr>
          <w:rFonts w:eastAsia="Times New Roman"/>
          <w:sz w:val="24"/>
          <w:szCs w:val="24"/>
        </w:rPr>
        <w:t xml:space="preserve"> </w:t>
      </w:r>
      <w:proofErr w:type="spellStart"/>
      <w:r w:rsidR="00D96734" w:rsidRPr="00E2688B">
        <w:rPr>
          <w:rFonts w:eastAsia="Times New Roman"/>
          <w:sz w:val="24"/>
          <w:szCs w:val="24"/>
        </w:rPr>
        <w:t>Butler</w:t>
      </w:r>
      <w:proofErr w:type="spellEnd"/>
      <w:r w:rsidR="00D96734" w:rsidRPr="00E2688B">
        <w:rPr>
          <w:rFonts w:eastAsia="Times New Roman"/>
          <w:sz w:val="24"/>
          <w:szCs w:val="24"/>
        </w:rPr>
        <w:t xml:space="preserve"> (1998) apud Silva </w:t>
      </w:r>
      <w:proofErr w:type="spellStart"/>
      <w:r w:rsidR="00D96734" w:rsidRPr="00E2688B">
        <w:rPr>
          <w:rFonts w:eastAsia="Times New Roman"/>
          <w:sz w:val="24"/>
          <w:szCs w:val="24"/>
        </w:rPr>
        <w:t>Maynara</w:t>
      </w:r>
      <w:proofErr w:type="spellEnd"/>
      <w:r w:rsidR="00D96734" w:rsidRPr="00E2688B">
        <w:rPr>
          <w:rFonts w:eastAsia="Times New Roman"/>
          <w:sz w:val="24"/>
          <w:szCs w:val="24"/>
        </w:rPr>
        <w:t xml:space="preserve"> (2021), diz que:</w:t>
      </w:r>
      <w:r w:rsidR="00650619" w:rsidRPr="00E2688B">
        <w:rPr>
          <w:rFonts w:eastAsia="Times New Roman"/>
          <w:sz w:val="24"/>
          <w:szCs w:val="24"/>
        </w:rPr>
        <w:t xml:space="preserve"> “e</w:t>
      </w:r>
      <w:r w:rsidR="00F56323" w:rsidRPr="00E2688B">
        <w:rPr>
          <w:rFonts w:eastAsia="Times New Roman"/>
          <w:sz w:val="24"/>
          <w:szCs w:val="24"/>
        </w:rPr>
        <w:t xml:space="preserve">xiste uma colcha de retalho que alinha, o corpo ao sexo, de modo que o gênero só pode ser entendido, só adquire vida, quando    referido    nessa    relação.    As </w:t>
      </w:r>
      <w:proofErr w:type="spellStart"/>
      <w:r w:rsidR="00F56323" w:rsidRPr="00E2688B">
        <w:rPr>
          <w:rFonts w:eastAsia="Times New Roman"/>
          <w:sz w:val="24"/>
          <w:szCs w:val="24"/>
        </w:rPr>
        <w:t>performatividades</w:t>
      </w:r>
      <w:proofErr w:type="spellEnd"/>
      <w:r w:rsidR="00F56323" w:rsidRPr="00E2688B">
        <w:rPr>
          <w:rFonts w:eastAsia="Times New Roman"/>
          <w:sz w:val="24"/>
          <w:szCs w:val="24"/>
        </w:rPr>
        <w:t xml:space="preserve">   de   gênero   que   se articulam   fora   dessa   amarração   são postas   às   margens, analisadas   como </w:t>
      </w:r>
      <w:r w:rsidR="00F56323" w:rsidRPr="00E2688B">
        <w:rPr>
          <w:rFonts w:eastAsia="Times New Roman"/>
          <w:sz w:val="24"/>
          <w:szCs w:val="24"/>
        </w:rPr>
        <w:lastRenderedPageBreak/>
        <w:t>identidades transtornadas, anormais, psicóticas, aberrações    da    natureza, coisas esquisitas</w:t>
      </w:r>
      <w:r w:rsidR="00650619" w:rsidRPr="00E2688B">
        <w:rPr>
          <w:rFonts w:eastAsia="Times New Roman"/>
          <w:sz w:val="24"/>
          <w:szCs w:val="24"/>
        </w:rPr>
        <w:t>”</w:t>
      </w:r>
      <w:r w:rsidR="004F2EB4" w:rsidRPr="00E2688B">
        <w:rPr>
          <w:rFonts w:eastAsia="Times New Roman"/>
          <w:sz w:val="24"/>
          <w:szCs w:val="24"/>
        </w:rPr>
        <w:t xml:space="preserve"> </w:t>
      </w:r>
      <w:r w:rsidR="00F56323" w:rsidRPr="00E2688B">
        <w:rPr>
          <w:rFonts w:eastAsia="Times New Roman"/>
          <w:sz w:val="24"/>
          <w:szCs w:val="24"/>
        </w:rPr>
        <w:t>(p.113</w:t>
      </w:r>
      <w:r w:rsidR="005C249E" w:rsidRPr="00E2688B">
        <w:rPr>
          <w:rFonts w:eastAsia="Times New Roman"/>
          <w:sz w:val="24"/>
          <w:szCs w:val="24"/>
        </w:rPr>
        <w:t>)</w:t>
      </w:r>
      <w:r w:rsidR="00D96734" w:rsidRPr="00E2688B">
        <w:rPr>
          <w:rFonts w:eastAsia="Times New Roman"/>
          <w:sz w:val="24"/>
          <w:szCs w:val="24"/>
        </w:rPr>
        <w:t>.</w:t>
      </w:r>
      <w:r w:rsidR="00697D58" w:rsidRPr="00E2688B">
        <w:rPr>
          <w:rFonts w:eastAsia="Times New Roman"/>
          <w:sz w:val="24"/>
          <w:szCs w:val="24"/>
        </w:rPr>
        <w:t xml:space="preserve"> </w:t>
      </w:r>
    </w:p>
    <w:p w14:paraId="78A062B1" w14:textId="30A3E1F2" w:rsidR="0044554B" w:rsidRPr="00E2688B" w:rsidRDefault="004F2EB4" w:rsidP="00E2688B">
      <w:pPr>
        <w:spacing w:line="360" w:lineRule="auto"/>
        <w:ind w:left="-1" w:firstLine="721"/>
        <w:jc w:val="both"/>
      </w:pPr>
      <w:r w:rsidRPr="00E2688B">
        <w:rPr>
          <w:sz w:val="24"/>
          <w:szCs w:val="24"/>
        </w:rPr>
        <w:t>Diante disso, e</w:t>
      </w:r>
      <w:r w:rsidR="000861A7" w:rsidRPr="00E2688B">
        <w:rPr>
          <w:sz w:val="24"/>
          <w:szCs w:val="24"/>
        </w:rPr>
        <w:t xml:space="preserve">ste </w:t>
      </w:r>
      <w:r w:rsidR="004353C5" w:rsidRPr="00E2688B">
        <w:rPr>
          <w:sz w:val="24"/>
          <w:szCs w:val="24"/>
        </w:rPr>
        <w:t>estudo objetiva</w:t>
      </w:r>
      <w:r w:rsidR="001E7749" w:rsidRPr="00E2688B">
        <w:rPr>
          <w:sz w:val="24"/>
          <w:szCs w:val="24"/>
        </w:rPr>
        <w:t xml:space="preserve"> analisar como as normas sociais contribuem para a manutenção e a reprodução da violência contra mulheres, com foco nos papéis de submissão feminina e no medo como mecanismos centrais de controle social e simbólico. O problema centra-se na naturalização desses papéis de gênero que, internalizados desde a infância, moldam comportamentos e justificam práticas violentas, muitas vezes </w:t>
      </w:r>
      <w:proofErr w:type="spellStart"/>
      <w:r w:rsidR="001E7749" w:rsidRPr="00E2688B">
        <w:rPr>
          <w:sz w:val="24"/>
          <w:szCs w:val="24"/>
        </w:rPr>
        <w:t>invisibilizadas</w:t>
      </w:r>
      <w:proofErr w:type="spellEnd"/>
      <w:r w:rsidR="001E7749" w:rsidRPr="00E2688B">
        <w:rPr>
          <w:sz w:val="24"/>
          <w:szCs w:val="24"/>
        </w:rPr>
        <w:t xml:space="preserve"> ou deslegitimadas pela sociedade e pelas insti</w:t>
      </w:r>
      <w:r w:rsidR="004353C5" w:rsidRPr="00E2688B">
        <w:rPr>
          <w:sz w:val="24"/>
          <w:szCs w:val="24"/>
        </w:rPr>
        <w:t>tuições. A metodologia consiste</w:t>
      </w:r>
      <w:r w:rsidR="001E7749" w:rsidRPr="00E2688B">
        <w:rPr>
          <w:sz w:val="24"/>
          <w:szCs w:val="24"/>
        </w:rPr>
        <w:t xml:space="preserve"> numa abordagem qualitativa e teórica</w:t>
      </w:r>
      <w:r w:rsidR="000861A7" w:rsidRPr="00E2688B">
        <w:rPr>
          <w:sz w:val="24"/>
          <w:szCs w:val="24"/>
        </w:rPr>
        <w:t xml:space="preserve">. </w:t>
      </w:r>
      <w:r w:rsidR="009D76E4" w:rsidRPr="00E2688B">
        <w:rPr>
          <w:sz w:val="24"/>
          <w:szCs w:val="24"/>
        </w:rPr>
        <w:t>C</w:t>
      </w:r>
      <w:r w:rsidR="000861A7" w:rsidRPr="00E2688B">
        <w:rPr>
          <w:sz w:val="24"/>
          <w:szCs w:val="24"/>
        </w:rPr>
        <w:t xml:space="preserve">ompreende-se que os papéis de gênero são construídos por meio da repetição de práticas normativas que produzem e reforçam identidades femininas marcadas pela passividade, pelo medo e pela dependência. Esses padrões não apenas moldam o comportamento das mulheres, como também </w:t>
      </w:r>
      <w:r w:rsidR="000861A7" w:rsidRPr="00E2688B">
        <w:rPr>
          <w:rStyle w:val="Forte"/>
          <w:b w:val="0"/>
          <w:sz w:val="24"/>
          <w:szCs w:val="24"/>
        </w:rPr>
        <w:t>legitimam práticas violentas</w:t>
      </w:r>
      <w:r w:rsidR="000861A7" w:rsidRPr="00E2688B">
        <w:rPr>
          <w:sz w:val="24"/>
          <w:szCs w:val="24"/>
        </w:rPr>
        <w:t xml:space="preserve"> ao apresentá-las como expressões "naturais" de masculinidade ou disciplina doméstica. </w:t>
      </w:r>
      <w:r w:rsidR="009D76E4" w:rsidRPr="00E2688B">
        <w:rPr>
          <w:sz w:val="24"/>
          <w:szCs w:val="24"/>
        </w:rPr>
        <w:t xml:space="preserve">O estudo contribui para desvelar a forma como tais normas operam silenciosamente nos discursos, nas políticas públicas e no cotidiano das relações sociais, </w:t>
      </w:r>
      <w:r w:rsidR="009D76E4" w:rsidRPr="00E2688B">
        <w:rPr>
          <w:rStyle w:val="Forte"/>
          <w:b w:val="0"/>
          <w:sz w:val="24"/>
          <w:szCs w:val="24"/>
        </w:rPr>
        <w:t xml:space="preserve">perpetuando desigualdades e </w:t>
      </w:r>
      <w:proofErr w:type="spellStart"/>
      <w:r w:rsidR="009D76E4" w:rsidRPr="00E2688B">
        <w:rPr>
          <w:rStyle w:val="Forte"/>
          <w:b w:val="0"/>
          <w:sz w:val="24"/>
          <w:szCs w:val="24"/>
        </w:rPr>
        <w:t>silenciamentos</w:t>
      </w:r>
      <w:proofErr w:type="spellEnd"/>
      <w:r w:rsidR="009D76E4" w:rsidRPr="00E2688B">
        <w:rPr>
          <w:b/>
          <w:sz w:val="24"/>
          <w:szCs w:val="24"/>
        </w:rPr>
        <w:t>.</w:t>
      </w:r>
    </w:p>
    <w:p w14:paraId="2163A6DF" w14:textId="77777777" w:rsidR="005002F3" w:rsidRPr="00E2688B" w:rsidRDefault="005002F3" w:rsidP="00E2688B">
      <w:pPr>
        <w:spacing w:line="360" w:lineRule="auto"/>
        <w:jc w:val="both"/>
        <w:rPr>
          <w:sz w:val="24"/>
          <w:szCs w:val="24"/>
        </w:rPr>
      </w:pPr>
    </w:p>
    <w:p w14:paraId="6DDA8233" w14:textId="2A13B57E" w:rsidR="00564EC5" w:rsidRPr="00E2688B" w:rsidRDefault="005C5E60" w:rsidP="00E2688B">
      <w:pPr>
        <w:spacing w:line="360" w:lineRule="auto"/>
        <w:jc w:val="both"/>
        <w:rPr>
          <w:b/>
          <w:sz w:val="24"/>
          <w:szCs w:val="24"/>
        </w:rPr>
      </w:pPr>
      <w:r w:rsidRPr="00E2688B">
        <w:rPr>
          <w:b/>
          <w:sz w:val="24"/>
          <w:szCs w:val="24"/>
        </w:rPr>
        <w:t>2</w:t>
      </w:r>
      <w:r w:rsidRPr="00E2688B">
        <w:rPr>
          <w:b/>
          <w:sz w:val="24"/>
          <w:szCs w:val="24"/>
        </w:rPr>
        <w:tab/>
      </w:r>
      <w:r w:rsidR="004430AD" w:rsidRPr="00E2688B">
        <w:rPr>
          <w:b/>
          <w:sz w:val="24"/>
          <w:szCs w:val="24"/>
        </w:rPr>
        <w:t>NORMAS SOCIAIS E SUA RELAÇÃO COM A CONSTRUÇÃO DOS PAPÉIS DE GÊNERO NAS SOCIEDADES PATRIARCAIS</w:t>
      </w:r>
    </w:p>
    <w:p w14:paraId="4EAAC07D" w14:textId="77777777" w:rsidR="008C6AE9" w:rsidRPr="00E2688B" w:rsidRDefault="008C6AE9" w:rsidP="00E2688B">
      <w:pPr>
        <w:pBdr>
          <w:top w:val="nil"/>
          <w:left w:val="nil"/>
          <w:bottom w:val="nil"/>
          <w:right w:val="nil"/>
          <w:between w:val="nil"/>
        </w:pBdr>
        <w:spacing w:line="360" w:lineRule="auto"/>
        <w:ind w:firstLine="708"/>
        <w:jc w:val="both"/>
        <w:rPr>
          <w:sz w:val="24"/>
          <w:szCs w:val="24"/>
        </w:rPr>
      </w:pPr>
    </w:p>
    <w:p w14:paraId="2DCFAC7E" w14:textId="1C87C2D2" w:rsidR="00D96734" w:rsidRPr="00E2688B" w:rsidRDefault="001E7749" w:rsidP="00E2688B">
      <w:pPr>
        <w:pBdr>
          <w:top w:val="nil"/>
          <w:left w:val="nil"/>
          <w:bottom w:val="nil"/>
          <w:right w:val="nil"/>
          <w:between w:val="nil"/>
        </w:pBdr>
        <w:spacing w:line="360" w:lineRule="auto"/>
        <w:ind w:firstLine="708"/>
        <w:jc w:val="both"/>
        <w:rPr>
          <w:sz w:val="24"/>
          <w:szCs w:val="24"/>
        </w:rPr>
      </w:pPr>
      <w:r w:rsidRPr="00E2688B">
        <w:rPr>
          <w:sz w:val="24"/>
          <w:szCs w:val="24"/>
        </w:rPr>
        <w:t xml:space="preserve">Para </w:t>
      </w:r>
      <w:proofErr w:type="spellStart"/>
      <w:r w:rsidR="00D96734" w:rsidRPr="00E2688B">
        <w:rPr>
          <w:sz w:val="24"/>
          <w:szCs w:val="24"/>
        </w:rPr>
        <w:t>Butler</w:t>
      </w:r>
      <w:proofErr w:type="spellEnd"/>
      <w:r w:rsidR="00510FE7" w:rsidRPr="00E2688B">
        <w:rPr>
          <w:sz w:val="24"/>
          <w:szCs w:val="24"/>
        </w:rPr>
        <w:t xml:space="preserve"> (1990)</w:t>
      </w:r>
      <w:r w:rsidR="00D96734" w:rsidRPr="00E2688B">
        <w:rPr>
          <w:sz w:val="24"/>
          <w:szCs w:val="24"/>
        </w:rPr>
        <w:t xml:space="preserve">, o </w:t>
      </w:r>
      <w:r w:rsidR="00D96734" w:rsidRPr="00E2688B">
        <w:rPr>
          <w:rStyle w:val="Forte"/>
          <w:b w:val="0"/>
          <w:sz w:val="24"/>
          <w:szCs w:val="24"/>
        </w:rPr>
        <w:t>gênero não</w:t>
      </w:r>
      <w:r w:rsidR="00D96734" w:rsidRPr="00E2688B">
        <w:rPr>
          <w:rStyle w:val="Forte"/>
          <w:b w:val="0"/>
          <w:i/>
          <w:sz w:val="24"/>
          <w:szCs w:val="24"/>
        </w:rPr>
        <w:t xml:space="preserve"> </w:t>
      </w:r>
      <w:r w:rsidR="00D96734" w:rsidRPr="00E2688B">
        <w:rPr>
          <w:rStyle w:val="Forte"/>
          <w:b w:val="0"/>
          <w:sz w:val="24"/>
          <w:szCs w:val="24"/>
        </w:rPr>
        <w:t>é uma identidade essencial ou natural</w:t>
      </w:r>
      <w:r w:rsidR="00D96734" w:rsidRPr="00E2688B">
        <w:rPr>
          <w:sz w:val="24"/>
          <w:szCs w:val="24"/>
        </w:rPr>
        <w:t xml:space="preserve">, mas sim o </w:t>
      </w:r>
      <w:r w:rsidR="00D96734" w:rsidRPr="00E2688B">
        <w:rPr>
          <w:rStyle w:val="Forte"/>
          <w:b w:val="0"/>
          <w:sz w:val="24"/>
          <w:szCs w:val="24"/>
        </w:rPr>
        <w:t>efeito de práticas reiteradas reguladas por normas sociais</w:t>
      </w:r>
      <w:r w:rsidR="00510FE7" w:rsidRPr="00E2688B">
        <w:rPr>
          <w:sz w:val="24"/>
          <w:szCs w:val="24"/>
        </w:rPr>
        <w:t>,</w:t>
      </w:r>
      <w:r w:rsidR="00D96734" w:rsidRPr="00E2688B">
        <w:rPr>
          <w:sz w:val="24"/>
          <w:szCs w:val="24"/>
        </w:rPr>
        <w:t xml:space="preserve"> propõe o conceito de </w:t>
      </w:r>
      <w:proofErr w:type="spellStart"/>
      <w:r w:rsidR="00D96734" w:rsidRPr="00E2688B">
        <w:rPr>
          <w:rStyle w:val="Forte"/>
          <w:b w:val="0"/>
          <w:sz w:val="24"/>
          <w:szCs w:val="24"/>
        </w:rPr>
        <w:t>performatividade</w:t>
      </w:r>
      <w:proofErr w:type="spellEnd"/>
      <w:r w:rsidR="00D96734" w:rsidRPr="00E2688B">
        <w:rPr>
          <w:sz w:val="24"/>
          <w:szCs w:val="24"/>
        </w:rPr>
        <w:t xml:space="preserve"> para</w:t>
      </w:r>
      <w:r w:rsidR="00D96734" w:rsidRPr="00E2688B">
        <w:rPr>
          <w:i/>
          <w:sz w:val="24"/>
          <w:szCs w:val="24"/>
        </w:rPr>
        <w:t xml:space="preserve"> </w:t>
      </w:r>
      <w:r w:rsidR="00D96734" w:rsidRPr="00E2688B">
        <w:rPr>
          <w:sz w:val="24"/>
          <w:szCs w:val="24"/>
        </w:rPr>
        <w:t>explicar que o gênero é produzido por atos repetidos no tempo, como gestos, mod</w:t>
      </w:r>
      <w:r w:rsidR="008C17D3" w:rsidRPr="00E2688B">
        <w:rPr>
          <w:sz w:val="24"/>
          <w:szCs w:val="24"/>
        </w:rPr>
        <w:t xml:space="preserve">os de falar, vestir, mover-se, </w:t>
      </w:r>
      <w:r w:rsidR="00D96734" w:rsidRPr="00E2688B">
        <w:rPr>
          <w:sz w:val="24"/>
          <w:szCs w:val="24"/>
        </w:rPr>
        <w:t xml:space="preserve">que criam a ilusão de uma identidade estável. </w:t>
      </w:r>
      <w:r w:rsidR="00510FE7" w:rsidRPr="00E2688B">
        <w:rPr>
          <w:sz w:val="24"/>
          <w:szCs w:val="24"/>
        </w:rPr>
        <w:t xml:space="preserve">Destaca-se </w:t>
      </w:r>
      <w:r w:rsidR="00D96734" w:rsidRPr="00E2688B">
        <w:rPr>
          <w:sz w:val="24"/>
          <w:szCs w:val="24"/>
        </w:rPr>
        <w:t xml:space="preserve">que </w:t>
      </w:r>
      <w:r w:rsidR="00D96734" w:rsidRPr="00E2688B">
        <w:rPr>
          <w:rStyle w:val="Forte"/>
          <w:b w:val="0"/>
          <w:sz w:val="24"/>
          <w:szCs w:val="24"/>
        </w:rPr>
        <w:t>"</w:t>
      </w:r>
      <w:proofErr w:type="spellStart"/>
      <w:r w:rsidR="00D96734" w:rsidRPr="00E2688B">
        <w:rPr>
          <w:rStyle w:val="Forte"/>
          <w:b w:val="0"/>
          <w:sz w:val="24"/>
          <w:szCs w:val="24"/>
        </w:rPr>
        <w:t>performatividade</w:t>
      </w:r>
      <w:proofErr w:type="spellEnd"/>
      <w:r w:rsidR="00D96734" w:rsidRPr="00E2688B">
        <w:rPr>
          <w:rStyle w:val="Forte"/>
          <w:b w:val="0"/>
          <w:sz w:val="24"/>
          <w:szCs w:val="24"/>
        </w:rPr>
        <w:t>"</w:t>
      </w:r>
      <w:r w:rsidR="00D96734" w:rsidRPr="00E2688B">
        <w:rPr>
          <w:sz w:val="24"/>
          <w:szCs w:val="24"/>
        </w:rPr>
        <w:t xml:space="preserve"> </w:t>
      </w:r>
      <w:r w:rsidR="00D96734" w:rsidRPr="00E2688B">
        <w:rPr>
          <w:rStyle w:val="Forte"/>
          <w:b w:val="0"/>
          <w:sz w:val="24"/>
          <w:szCs w:val="24"/>
        </w:rPr>
        <w:t>não significa</w:t>
      </w:r>
      <w:r w:rsidR="00D96734" w:rsidRPr="00E2688B">
        <w:rPr>
          <w:sz w:val="24"/>
          <w:szCs w:val="24"/>
        </w:rPr>
        <w:t xml:space="preserve"> que o gênero é uma "performance voluntária" ou "enc</w:t>
      </w:r>
      <w:r w:rsidR="00510FE7" w:rsidRPr="00E2688B">
        <w:rPr>
          <w:sz w:val="24"/>
          <w:szCs w:val="24"/>
        </w:rPr>
        <w:t>enação teatral", mas sim que</w:t>
      </w:r>
      <w:r w:rsidR="00D96734" w:rsidRPr="00E2688B">
        <w:rPr>
          <w:sz w:val="24"/>
          <w:szCs w:val="24"/>
        </w:rPr>
        <w:t xml:space="preserve"> é </w:t>
      </w:r>
      <w:r w:rsidR="00D96734" w:rsidRPr="00E2688B">
        <w:rPr>
          <w:rStyle w:val="Forte"/>
          <w:b w:val="0"/>
          <w:sz w:val="24"/>
          <w:szCs w:val="24"/>
        </w:rPr>
        <w:t xml:space="preserve">produzido por normas </w:t>
      </w:r>
      <w:r w:rsidR="00D96734" w:rsidRPr="00E2688B">
        <w:rPr>
          <w:rStyle w:val="Forte"/>
          <w:b w:val="0"/>
          <w:sz w:val="24"/>
          <w:szCs w:val="24"/>
        </w:rPr>
        <w:lastRenderedPageBreak/>
        <w:t>que regulam os corpos e os sujeitos</w:t>
      </w:r>
      <w:r w:rsidR="00D96734" w:rsidRPr="00E2688B">
        <w:rPr>
          <w:sz w:val="24"/>
          <w:szCs w:val="24"/>
        </w:rPr>
        <w:t xml:space="preserve">. O sujeito de gênero, portanto, </w:t>
      </w:r>
      <w:r w:rsidR="00D96734" w:rsidRPr="00E2688B">
        <w:rPr>
          <w:rStyle w:val="Forte"/>
          <w:b w:val="0"/>
          <w:sz w:val="24"/>
          <w:szCs w:val="24"/>
        </w:rPr>
        <w:t>não preexiste à repetição dessas normas</w:t>
      </w:r>
      <w:r w:rsidR="00D96734" w:rsidRPr="00E2688B">
        <w:rPr>
          <w:sz w:val="24"/>
          <w:szCs w:val="24"/>
        </w:rPr>
        <w:t xml:space="preserve">, mas é constituído por elas. </w:t>
      </w:r>
      <w:r w:rsidR="00D96734" w:rsidRPr="00E2688B">
        <w:rPr>
          <w:rStyle w:val="Forte"/>
          <w:b w:val="0"/>
          <w:sz w:val="24"/>
          <w:szCs w:val="24"/>
        </w:rPr>
        <w:t xml:space="preserve">“A </w:t>
      </w:r>
      <w:proofErr w:type="spellStart"/>
      <w:r w:rsidR="00D96734" w:rsidRPr="00E2688B">
        <w:rPr>
          <w:rStyle w:val="Forte"/>
          <w:b w:val="0"/>
          <w:sz w:val="24"/>
          <w:szCs w:val="24"/>
        </w:rPr>
        <w:t>performatividade</w:t>
      </w:r>
      <w:proofErr w:type="spellEnd"/>
      <w:r w:rsidR="00D96734" w:rsidRPr="00E2688B">
        <w:rPr>
          <w:rStyle w:val="Forte"/>
          <w:b w:val="0"/>
          <w:sz w:val="24"/>
          <w:szCs w:val="24"/>
        </w:rPr>
        <w:t xml:space="preserve"> não é um ato único, mas uma prática reiterada e regulada, uma estilização do corpo através do tempo, que produz o efeito de um gênero essencial”</w:t>
      </w:r>
      <w:r w:rsidR="00D96734" w:rsidRPr="00E2688B">
        <w:rPr>
          <w:sz w:val="24"/>
          <w:szCs w:val="24"/>
        </w:rPr>
        <w:t xml:space="preserve"> (</w:t>
      </w:r>
      <w:proofErr w:type="spellStart"/>
      <w:r w:rsidR="00D96734" w:rsidRPr="00E2688B">
        <w:rPr>
          <w:sz w:val="24"/>
          <w:szCs w:val="24"/>
        </w:rPr>
        <w:t>Butler</w:t>
      </w:r>
      <w:proofErr w:type="spellEnd"/>
      <w:r w:rsidR="00D96734" w:rsidRPr="00E2688B">
        <w:rPr>
          <w:sz w:val="24"/>
          <w:szCs w:val="24"/>
        </w:rPr>
        <w:t>, 1990, p. 191).</w:t>
      </w:r>
    </w:p>
    <w:p w14:paraId="21495E08" w14:textId="7BB00DD2" w:rsidR="005002F3" w:rsidRPr="00E2688B" w:rsidRDefault="005C5E60" w:rsidP="00E2688B">
      <w:pPr>
        <w:spacing w:line="360" w:lineRule="auto"/>
        <w:ind w:firstLine="709"/>
        <w:jc w:val="both"/>
        <w:rPr>
          <w:sz w:val="24"/>
          <w:szCs w:val="24"/>
        </w:rPr>
      </w:pPr>
      <w:r w:rsidRPr="00E2688B">
        <w:rPr>
          <w:sz w:val="24"/>
          <w:szCs w:val="24"/>
        </w:rPr>
        <w:t>A submissão das mulheres não é um traço biológico, mas uma prática ensinada e reforçada por meio da educação familiar, da religião, da escola, da mídia e até mesmo do direito. Desde a infância, meninas são socializadas para serem obedientes, cuidadoras e silenciosas, enquanto os meninos são incentivados à autonomia e à liderança.</w:t>
      </w:r>
      <w:r w:rsidR="001E7749" w:rsidRPr="00E2688B">
        <w:rPr>
          <w:sz w:val="24"/>
          <w:szCs w:val="24"/>
        </w:rPr>
        <w:t xml:space="preserve"> </w:t>
      </w:r>
      <w:proofErr w:type="spellStart"/>
      <w:r w:rsidRPr="00E2688B">
        <w:rPr>
          <w:sz w:val="24"/>
          <w:szCs w:val="24"/>
        </w:rPr>
        <w:t>Gilligan</w:t>
      </w:r>
      <w:proofErr w:type="spellEnd"/>
      <w:r w:rsidRPr="00E2688B">
        <w:rPr>
          <w:sz w:val="24"/>
          <w:szCs w:val="24"/>
        </w:rPr>
        <w:t xml:space="preserve"> (1982) argumenta que a subjetividade feminina se forma de maneira relacional, aprendendo a valorizar o cuidado e a empatia, o que muitas vezes é interpretado como fraqueza ou submissão. </w:t>
      </w:r>
      <w:proofErr w:type="spellStart"/>
      <w:r w:rsidRPr="00E2688B">
        <w:rPr>
          <w:sz w:val="24"/>
          <w:szCs w:val="24"/>
        </w:rPr>
        <w:t>Segato</w:t>
      </w:r>
      <w:proofErr w:type="spellEnd"/>
      <w:r w:rsidRPr="00E2688B">
        <w:rPr>
          <w:sz w:val="24"/>
          <w:szCs w:val="24"/>
        </w:rPr>
        <w:t xml:space="preserve"> (2003) contribui ao afirmar que a cultura da violência se apoia em uma pedagogia da submissão</w:t>
      </w:r>
      <w:r w:rsidR="004430AD" w:rsidRPr="00E2688B">
        <w:rPr>
          <w:sz w:val="24"/>
          <w:szCs w:val="24"/>
        </w:rPr>
        <w:t xml:space="preserve"> e do medo</w:t>
      </w:r>
      <w:r w:rsidRPr="00E2688B">
        <w:rPr>
          <w:sz w:val="24"/>
          <w:szCs w:val="24"/>
        </w:rPr>
        <w:t>, que ensina as mulheres a tolerar o abuso como parte do papel feminino esperado.</w:t>
      </w:r>
    </w:p>
    <w:p w14:paraId="457C8323" w14:textId="6B79B30F" w:rsidR="005002F3" w:rsidRPr="00E2688B" w:rsidRDefault="005C5E60" w:rsidP="00E2688B">
      <w:pPr>
        <w:spacing w:line="360" w:lineRule="auto"/>
        <w:ind w:firstLine="709"/>
        <w:jc w:val="both"/>
        <w:rPr>
          <w:sz w:val="24"/>
          <w:szCs w:val="24"/>
        </w:rPr>
      </w:pPr>
      <w:r w:rsidRPr="00E2688B">
        <w:rPr>
          <w:sz w:val="24"/>
          <w:szCs w:val="24"/>
        </w:rPr>
        <w:t xml:space="preserve">O medo, longe de ser uma resposta emocional isolada, é um produto social que atravessa a experiência cotidiana das mulheres. </w:t>
      </w:r>
      <w:proofErr w:type="spellStart"/>
      <w:r w:rsidRPr="00E2688B">
        <w:rPr>
          <w:sz w:val="24"/>
          <w:szCs w:val="24"/>
        </w:rPr>
        <w:t>Segato</w:t>
      </w:r>
      <w:proofErr w:type="spellEnd"/>
      <w:r w:rsidRPr="00E2688B">
        <w:rPr>
          <w:sz w:val="24"/>
          <w:szCs w:val="24"/>
        </w:rPr>
        <w:t xml:space="preserve"> (2003) entende o medo como linguagem da dominação: não apenas silencia, mas molda comportamentos.</w:t>
      </w:r>
      <w:r w:rsidR="00350FE7" w:rsidRPr="00E2688B">
        <w:rPr>
          <w:sz w:val="24"/>
          <w:szCs w:val="24"/>
        </w:rPr>
        <w:t xml:space="preserve"> </w:t>
      </w:r>
      <w:r w:rsidRPr="00E2688B">
        <w:rPr>
          <w:sz w:val="24"/>
          <w:szCs w:val="24"/>
        </w:rPr>
        <w:t xml:space="preserve">O medo de sair à noite, de se vestir de determinada forma ou de denunciar abusos, mostra que a violência está presente mesmo na sua ausência física. </w:t>
      </w:r>
      <w:proofErr w:type="spellStart"/>
      <w:r w:rsidRPr="00E2688B">
        <w:rPr>
          <w:sz w:val="24"/>
          <w:szCs w:val="24"/>
        </w:rPr>
        <w:t>Butler</w:t>
      </w:r>
      <w:proofErr w:type="spellEnd"/>
      <w:r w:rsidRPr="00E2688B">
        <w:rPr>
          <w:sz w:val="24"/>
          <w:szCs w:val="24"/>
        </w:rPr>
        <w:t xml:space="preserve"> (2003) reforça que a violência de gênero funciona como punição para aquelas que desafiam as normas. O medo, nesse sentido, torna-se um mecanismo eficaz de controle social, pois antecipa a violência e condiciona a ação feminina. O silêncio e a autocensura são expressões diretas desse processo. Essa pedagogia do medo legitima a submissão e inibe a autonomia das mulheres, funcionando como um sistema de vigilância permanente que se atualiza em contextos familiares, institucionais e comunitários.</w:t>
      </w:r>
    </w:p>
    <w:p w14:paraId="42FF9B7D" w14:textId="03E7251D" w:rsidR="005002F3" w:rsidRPr="00E2688B" w:rsidRDefault="005C5E60" w:rsidP="00E2688B">
      <w:pPr>
        <w:spacing w:line="360" w:lineRule="auto"/>
        <w:ind w:firstLine="709"/>
        <w:jc w:val="both"/>
        <w:rPr>
          <w:sz w:val="24"/>
          <w:szCs w:val="24"/>
        </w:rPr>
      </w:pPr>
      <w:r w:rsidRPr="00E2688B">
        <w:rPr>
          <w:sz w:val="24"/>
          <w:szCs w:val="24"/>
        </w:rPr>
        <w:t xml:space="preserve">Segundo </w:t>
      </w:r>
      <w:proofErr w:type="spellStart"/>
      <w:r w:rsidRPr="00E2688B">
        <w:rPr>
          <w:sz w:val="24"/>
          <w:szCs w:val="24"/>
        </w:rPr>
        <w:t>Crenshaw</w:t>
      </w:r>
      <w:proofErr w:type="spellEnd"/>
      <w:r w:rsidRPr="00E2688B">
        <w:rPr>
          <w:sz w:val="24"/>
          <w:szCs w:val="24"/>
        </w:rPr>
        <w:t xml:space="preserve"> (1991), o </w:t>
      </w:r>
      <w:r w:rsidR="002C2BAC" w:rsidRPr="00E2688B">
        <w:rPr>
          <w:sz w:val="24"/>
          <w:szCs w:val="24"/>
        </w:rPr>
        <w:t>sistema legal muitas vezes falha</w:t>
      </w:r>
      <w:r w:rsidRPr="00E2688B">
        <w:rPr>
          <w:sz w:val="24"/>
          <w:szCs w:val="24"/>
        </w:rPr>
        <w:t xml:space="preserve"> em reconhecer as múltiplas dimensões da violência, especialmente quando interseccionadas por raça, classe e orientação sexual. A formalidade da lei pode ignorar os contextos </w:t>
      </w:r>
      <w:r w:rsidRPr="00E2688B">
        <w:rPr>
          <w:sz w:val="24"/>
          <w:szCs w:val="24"/>
        </w:rPr>
        <w:lastRenderedPageBreak/>
        <w:t xml:space="preserve">culturais que naturalizam a violência doméstica ou a </w:t>
      </w:r>
      <w:proofErr w:type="spellStart"/>
      <w:r w:rsidRPr="00E2688B">
        <w:rPr>
          <w:sz w:val="24"/>
          <w:szCs w:val="24"/>
        </w:rPr>
        <w:t>culpabilização</w:t>
      </w:r>
      <w:proofErr w:type="spellEnd"/>
      <w:r w:rsidRPr="00E2688B">
        <w:rPr>
          <w:sz w:val="24"/>
          <w:szCs w:val="24"/>
        </w:rPr>
        <w:t xml:space="preserve"> da vítima.</w:t>
      </w:r>
      <w:r w:rsidR="00350FE7" w:rsidRPr="00E2688B">
        <w:rPr>
          <w:sz w:val="24"/>
          <w:szCs w:val="24"/>
        </w:rPr>
        <w:t xml:space="preserve"> </w:t>
      </w:r>
      <w:r w:rsidRPr="00E2688B">
        <w:rPr>
          <w:sz w:val="24"/>
          <w:szCs w:val="24"/>
        </w:rPr>
        <w:t>Collins (2019) afirma que o pensamento feminista negro é uma das bases para essa transformação, pois oferece epistemologias baseadas na resistência, no cuidado e na comunidade.</w:t>
      </w:r>
      <w:r w:rsidR="00350FE7" w:rsidRPr="00E2688B">
        <w:rPr>
          <w:sz w:val="24"/>
          <w:szCs w:val="24"/>
        </w:rPr>
        <w:t xml:space="preserve"> </w:t>
      </w:r>
      <w:r w:rsidRPr="00E2688B">
        <w:rPr>
          <w:sz w:val="24"/>
          <w:szCs w:val="24"/>
        </w:rPr>
        <w:t>Santos (2006) propõe a ideia de emergências sociais como forma de visibilizar alternativas que já existem nos territórios e movimentos sociais. Tais práticas como redes de cuidado entre mulheres, coletivos feministas e espaços de escuta popular, devem ser valorizadas como instrumentos de transformação social.</w:t>
      </w:r>
    </w:p>
    <w:p w14:paraId="62FCF495" w14:textId="77777777" w:rsidR="005002F3" w:rsidRPr="00E2688B" w:rsidRDefault="005002F3" w:rsidP="00E2688B">
      <w:pPr>
        <w:spacing w:line="360" w:lineRule="auto"/>
        <w:ind w:firstLine="709"/>
        <w:jc w:val="both"/>
        <w:rPr>
          <w:sz w:val="24"/>
          <w:szCs w:val="24"/>
        </w:rPr>
      </w:pPr>
    </w:p>
    <w:p w14:paraId="1D3FE0BB" w14:textId="77777777" w:rsidR="005002F3" w:rsidRPr="00E2688B" w:rsidRDefault="005C5E60" w:rsidP="00E2688B">
      <w:pPr>
        <w:spacing w:line="360" w:lineRule="auto"/>
        <w:jc w:val="both"/>
        <w:rPr>
          <w:sz w:val="24"/>
          <w:szCs w:val="24"/>
        </w:rPr>
      </w:pPr>
      <w:r w:rsidRPr="00E2688B">
        <w:rPr>
          <w:b/>
          <w:sz w:val="24"/>
          <w:szCs w:val="24"/>
        </w:rPr>
        <w:t>3 RESULTADOS E DISCUSSÃO</w:t>
      </w:r>
    </w:p>
    <w:p w14:paraId="07A74EBC" w14:textId="77777777" w:rsidR="008C6AE9" w:rsidRPr="00E2688B" w:rsidRDefault="008C6AE9" w:rsidP="00E2688B">
      <w:pPr>
        <w:spacing w:line="360" w:lineRule="auto"/>
        <w:ind w:firstLine="709"/>
        <w:jc w:val="both"/>
        <w:rPr>
          <w:sz w:val="24"/>
          <w:szCs w:val="24"/>
        </w:rPr>
      </w:pPr>
    </w:p>
    <w:p w14:paraId="74768CED" w14:textId="77777777" w:rsidR="00BE7495" w:rsidRPr="00E2688B" w:rsidRDefault="004B0971" w:rsidP="00E2688B">
      <w:pPr>
        <w:spacing w:line="360" w:lineRule="auto"/>
        <w:ind w:firstLine="709"/>
        <w:jc w:val="both"/>
        <w:rPr>
          <w:sz w:val="24"/>
          <w:szCs w:val="24"/>
        </w:rPr>
      </w:pPr>
      <w:r w:rsidRPr="00E2688B">
        <w:rPr>
          <w:sz w:val="24"/>
          <w:szCs w:val="24"/>
        </w:rPr>
        <w:t xml:space="preserve">Observou-se que a aplicação da Lei Maria da Penha enfrenta diversos entraves, como a falta de estrutura dos serviços de acolhimento, a </w:t>
      </w:r>
      <w:proofErr w:type="spellStart"/>
      <w:r w:rsidRPr="00E2688B">
        <w:rPr>
          <w:sz w:val="24"/>
          <w:szCs w:val="24"/>
        </w:rPr>
        <w:t>revitimização</w:t>
      </w:r>
      <w:proofErr w:type="spellEnd"/>
      <w:r w:rsidRPr="00E2688B">
        <w:rPr>
          <w:sz w:val="24"/>
          <w:szCs w:val="24"/>
        </w:rPr>
        <w:t xml:space="preserve"> de mulheres nos atendimentos policiais e judiciais, e a ausência de campanhas de conscientização permanentes. A Lei do </w:t>
      </w:r>
      <w:proofErr w:type="spellStart"/>
      <w:r w:rsidRPr="00E2688B">
        <w:rPr>
          <w:sz w:val="24"/>
          <w:szCs w:val="24"/>
        </w:rPr>
        <w:t>Feminicídio</w:t>
      </w:r>
      <w:proofErr w:type="spellEnd"/>
      <w:r w:rsidRPr="00E2688B">
        <w:rPr>
          <w:sz w:val="24"/>
          <w:szCs w:val="24"/>
        </w:rPr>
        <w:t>, embora represente um avanço ao reconhecer o assassinato de mulheres por razões de gênero, ainda é pouco compreendida por grande parte dos operadores do direito, o que compromete sua efetividade.</w:t>
      </w:r>
      <w:r w:rsidR="00BE7495" w:rsidRPr="00E2688B">
        <w:rPr>
          <w:sz w:val="24"/>
          <w:szCs w:val="24"/>
        </w:rPr>
        <w:t xml:space="preserve"> </w:t>
      </w:r>
    </w:p>
    <w:p w14:paraId="31988C8A" w14:textId="22F06C37" w:rsidR="009C160F" w:rsidRPr="00E2688B" w:rsidRDefault="009C160F" w:rsidP="00E2688B">
      <w:pPr>
        <w:spacing w:line="360" w:lineRule="auto"/>
        <w:ind w:firstLine="709"/>
        <w:jc w:val="both"/>
        <w:rPr>
          <w:sz w:val="24"/>
          <w:szCs w:val="24"/>
        </w:rPr>
      </w:pPr>
      <w:r w:rsidRPr="00E2688B">
        <w:rPr>
          <w:sz w:val="24"/>
          <w:szCs w:val="24"/>
        </w:rPr>
        <w:t>P</w:t>
      </w:r>
      <w:r w:rsidR="005C5E60" w:rsidRPr="00E2688B">
        <w:rPr>
          <w:sz w:val="24"/>
          <w:szCs w:val="24"/>
        </w:rPr>
        <w:t xml:space="preserve">esquisas realizadas pelo </w:t>
      </w:r>
      <w:proofErr w:type="spellStart"/>
      <w:r w:rsidR="005C5E60" w:rsidRPr="00E2688B">
        <w:rPr>
          <w:sz w:val="24"/>
          <w:szCs w:val="24"/>
        </w:rPr>
        <w:t>DataSenado</w:t>
      </w:r>
      <w:proofErr w:type="spellEnd"/>
      <w:r w:rsidR="005C5E60" w:rsidRPr="00E2688B">
        <w:rPr>
          <w:sz w:val="24"/>
          <w:szCs w:val="24"/>
        </w:rPr>
        <w:t xml:space="preserve"> revelam que mais de 30% das mulheres brasileiras afirmam já ter sofrido violência doméstica ou familiar, e que muitas não denunciam por medo de represálias, vergonha ou desconfiança nas instituições. Esse medo, é um dos principais mecanismos de controle </w:t>
      </w:r>
      <w:r w:rsidR="00642A84" w:rsidRPr="00E2688B">
        <w:rPr>
          <w:sz w:val="24"/>
          <w:szCs w:val="24"/>
        </w:rPr>
        <w:t>nas relações abusivas. E</w:t>
      </w:r>
      <w:r w:rsidR="005C5E60" w:rsidRPr="00E2688B">
        <w:rPr>
          <w:sz w:val="24"/>
          <w:szCs w:val="24"/>
        </w:rPr>
        <w:t>stá intrinsecamente relacionado à estrutura patriarcal, que oprime e silencia as mulheres em diversas esferas da privada à pública.</w:t>
      </w:r>
      <w:r w:rsidR="00350FE7" w:rsidRPr="00E2688B">
        <w:rPr>
          <w:sz w:val="24"/>
          <w:szCs w:val="24"/>
        </w:rPr>
        <w:t xml:space="preserve"> </w:t>
      </w:r>
      <w:r w:rsidR="005C5E60" w:rsidRPr="00E2688B">
        <w:rPr>
          <w:sz w:val="24"/>
          <w:szCs w:val="24"/>
        </w:rPr>
        <w:t xml:space="preserve">Outro ponto relevante diz respeito à forma como a submissão feminina é naturalizada em diferentes contextos sociais. Os estudos analisados indicam que, desde a infância, meninas são educadas para obedecer, cuidar e se sacrificar, enquanto meninos são incentivados à liderança e à autonomia. Essa desigualdade simbólica prepara o terreno para </w:t>
      </w:r>
      <w:r w:rsidR="005C5E60" w:rsidRPr="00E2688B">
        <w:rPr>
          <w:sz w:val="24"/>
          <w:szCs w:val="24"/>
        </w:rPr>
        <w:lastRenderedPageBreak/>
        <w:t>relações desiguais, onde o poder masculino é constantemente reafirmado.</w:t>
      </w:r>
      <w:r w:rsidR="008C6AE9" w:rsidRPr="00E2688B">
        <w:rPr>
          <w:sz w:val="24"/>
          <w:szCs w:val="24"/>
        </w:rPr>
        <w:t xml:space="preserve"> </w:t>
      </w:r>
      <w:r w:rsidRPr="00E2688B">
        <w:rPr>
          <w:sz w:val="24"/>
          <w:szCs w:val="24"/>
        </w:rPr>
        <w:t>A tabela 1 evidencia o contexto atual da violência contra mulheres no Brasil.</w:t>
      </w:r>
    </w:p>
    <w:p w14:paraId="32B9E7ED" w14:textId="77777777" w:rsidR="004B7093" w:rsidRPr="00E2688B" w:rsidRDefault="004B7093" w:rsidP="00E2688B">
      <w:pPr>
        <w:spacing w:line="360" w:lineRule="auto"/>
        <w:ind w:firstLine="709"/>
        <w:jc w:val="both"/>
        <w:rPr>
          <w:sz w:val="24"/>
          <w:szCs w:val="24"/>
        </w:rPr>
      </w:pPr>
    </w:p>
    <w:p w14:paraId="445462C6" w14:textId="77777777" w:rsidR="009C160F" w:rsidRPr="00E2688B" w:rsidRDefault="009C160F" w:rsidP="00E2688B">
      <w:pPr>
        <w:spacing w:line="240" w:lineRule="auto"/>
        <w:jc w:val="center"/>
        <w:rPr>
          <w:sz w:val="20"/>
          <w:szCs w:val="20"/>
        </w:rPr>
      </w:pPr>
      <w:r w:rsidRPr="00E2688B">
        <w:rPr>
          <w:b/>
          <w:sz w:val="20"/>
          <w:szCs w:val="20"/>
        </w:rPr>
        <w:t>Tabela 1</w:t>
      </w:r>
      <w:r w:rsidRPr="00E2688B">
        <w:rPr>
          <w:sz w:val="20"/>
          <w:szCs w:val="20"/>
        </w:rPr>
        <w:t xml:space="preserve"> - </w:t>
      </w:r>
      <w:r w:rsidRPr="00E2688B">
        <w:rPr>
          <w:rFonts w:eastAsia="Times New Roman"/>
          <w:bCs/>
          <w:sz w:val="20"/>
          <w:szCs w:val="20"/>
        </w:rPr>
        <w:t>Violência contra mulheres no Brasil – Contexto atual</w:t>
      </w:r>
    </w:p>
    <w:tbl>
      <w:tblPr>
        <w:tblStyle w:val="Tabelacomgrade"/>
        <w:tblW w:w="9072" w:type="dxa"/>
        <w:tblInd w:w="-5" w:type="dxa"/>
        <w:tblLook w:val="04A0" w:firstRow="1" w:lastRow="0" w:firstColumn="1" w:lastColumn="0" w:noHBand="0" w:noVBand="1"/>
      </w:tblPr>
      <w:tblGrid>
        <w:gridCol w:w="2836"/>
        <w:gridCol w:w="2831"/>
        <w:gridCol w:w="3405"/>
      </w:tblGrid>
      <w:tr w:rsidR="00E2688B" w:rsidRPr="00E2688B" w14:paraId="470885F3" w14:textId="77777777" w:rsidTr="007C6DA0">
        <w:tc>
          <w:tcPr>
            <w:tcW w:w="2836" w:type="dxa"/>
          </w:tcPr>
          <w:p w14:paraId="745E1B32"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eastAsia="Times New Roman" w:hAnsi="Arial" w:cs="Arial"/>
                <w:bCs/>
                <w:sz w:val="20"/>
                <w:szCs w:val="20"/>
                <w:lang w:eastAsia="pt-BR"/>
              </w:rPr>
              <w:t>Indicador</w:t>
            </w:r>
          </w:p>
        </w:tc>
        <w:tc>
          <w:tcPr>
            <w:tcW w:w="2831" w:type="dxa"/>
          </w:tcPr>
          <w:p w14:paraId="59464220"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Quantidade / Percentual</w:t>
            </w:r>
          </w:p>
        </w:tc>
        <w:tc>
          <w:tcPr>
            <w:tcW w:w="3405" w:type="dxa"/>
          </w:tcPr>
          <w:p w14:paraId="7763B44B"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Ano / Fonte</w:t>
            </w:r>
          </w:p>
        </w:tc>
      </w:tr>
      <w:tr w:rsidR="00E2688B" w:rsidRPr="00E2688B" w14:paraId="46A0A22A" w14:textId="77777777" w:rsidTr="007C6DA0">
        <w:tc>
          <w:tcPr>
            <w:tcW w:w="2836" w:type="dxa"/>
          </w:tcPr>
          <w:p w14:paraId="2D0799EA"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Casos de violência doméstica</w:t>
            </w:r>
          </w:p>
        </w:tc>
        <w:tc>
          <w:tcPr>
            <w:tcW w:w="2831" w:type="dxa"/>
          </w:tcPr>
          <w:p w14:paraId="17A8694C"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258.941 registros (aumento de 9,8% em relação a 2022)</w:t>
            </w:r>
          </w:p>
        </w:tc>
        <w:tc>
          <w:tcPr>
            <w:tcW w:w="3405" w:type="dxa"/>
          </w:tcPr>
          <w:p w14:paraId="32DC406F"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Anuário Brasileiro de Segurança Pública (IBSP) 2023</w:t>
            </w:r>
          </w:p>
        </w:tc>
      </w:tr>
      <w:tr w:rsidR="00E2688B" w:rsidRPr="00E2688B" w14:paraId="037EE5F3" w14:textId="77777777" w:rsidTr="007C6DA0">
        <w:tc>
          <w:tcPr>
            <w:tcW w:w="2836" w:type="dxa"/>
          </w:tcPr>
          <w:p w14:paraId="1B79F5CF"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eastAsia="Times New Roman" w:hAnsi="Arial" w:cs="Arial"/>
                <w:bCs/>
                <w:sz w:val="20"/>
                <w:szCs w:val="20"/>
                <w:lang w:eastAsia="pt-BR"/>
              </w:rPr>
              <w:t>Ameaças</w:t>
            </w:r>
          </w:p>
        </w:tc>
        <w:tc>
          <w:tcPr>
            <w:tcW w:w="2831" w:type="dxa"/>
          </w:tcPr>
          <w:p w14:paraId="30D7C3CB"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778.921 casos (+16,5%)</w:t>
            </w:r>
          </w:p>
        </w:tc>
        <w:tc>
          <w:tcPr>
            <w:tcW w:w="3405" w:type="dxa"/>
          </w:tcPr>
          <w:p w14:paraId="607F020F"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IBSP 2023</w:t>
            </w:r>
          </w:p>
        </w:tc>
      </w:tr>
      <w:tr w:rsidR="00E2688B" w:rsidRPr="00E2688B" w14:paraId="72930EFD" w14:textId="77777777" w:rsidTr="007C6DA0">
        <w:tc>
          <w:tcPr>
            <w:tcW w:w="2836" w:type="dxa"/>
          </w:tcPr>
          <w:p w14:paraId="36484F5A"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 xml:space="preserve">Tentativas de </w:t>
            </w:r>
            <w:proofErr w:type="spellStart"/>
            <w:r w:rsidRPr="00E2688B">
              <w:rPr>
                <w:rFonts w:ascii="Arial" w:hAnsi="Arial" w:cs="Arial"/>
                <w:sz w:val="20"/>
                <w:szCs w:val="20"/>
              </w:rPr>
              <w:t>feminicídio</w:t>
            </w:r>
            <w:proofErr w:type="spellEnd"/>
          </w:p>
        </w:tc>
        <w:tc>
          <w:tcPr>
            <w:tcW w:w="2831" w:type="dxa"/>
          </w:tcPr>
          <w:p w14:paraId="0F1912C1"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2.797 (+7,1%)</w:t>
            </w:r>
          </w:p>
        </w:tc>
        <w:tc>
          <w:tcPr>
            <w:tcW w:w="3405" w:type="dxa"/>
          </w:tcPr>
          <w:p w14:paraId="4FF12E89"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IBSP 2023</w:t>
            </w:r>
          </w:p>
        </w:tc>
      </w:tr>
      <w:tr w:rsidR="00E2688B" w:rsidRPr="00E2688B" w14:paraId="2E700384" w14:textId="77777777" w:rsidTr="007C6DA0">
        <w:tc>
          <w:tcPr>
            <w:tcW w:w="2836" w:type="dxa"/>
          </w:tcPr>
          <w:p w14:paraId="0EB2FC38" w14:textId="77777777" w:rsidR="009C160F" w:rsidRPr="00E2688B" w:rsidRDefault="009C160F" w:rsidP="00E2688B">
            <w:pPr>
              <w:spacing w:line="240" w:lineRule="auto"/>
              <w:ind w:leftChars="0" w:firstLineChars="0"/>
              <w:jc w:val="center"/>
              <w:rPr>
                <w:rFonts w:ascii="Arial" w:hAnsi="Arial" w:cs="Arial"/>
                <w:sz w:val="20"/>
                <w:szCs w:val="20"/>
              </w:rPr>
            </w:pPr>
            <w:proofErr w:type="spellStart"/>
            <w:r w:rsidRPr="00E2688B">
              <w:rPr>
                <w:rFonts w:ascii="Arial" w:hAnsi="Arial" w:cs="Arial"/>
                <w:sz w:val="20"/>
                <w:szCs w:val="20"/>
              </w:rPr>
              <w:t>Feminicídios</w:t>
            </w:r>
            <w:proofErr w:type="spellEnd"/>
            <w:r w:rsidRPr="00E2688B">
              <w:rPr>
                <w:rFonts w:ascii="Arial" w:hAnsi="Arial" w:cs="Arial"/>
                <w:sz w:val="20"/>
                <w:szCs w:val="20"/>
              </w:rPr>
              <w:t xml:space="preserve"> consumados</w:t>
            </w:r>
          </w:p>
        </w:tc>
        <w:tc>
          <w:tcPr>
            <w:tcW w:w="2831" w:type="dxa"/>
          </w:tcPr>
          <w:p w14:paraId="0382B103"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1.457 (média de 4,0 mortes por dia) (+0,8%)</w:t>
            </w:r>
          </w:p>
        </w:tc>
        <w:tc>
          <w:tcPr>
            <w:tcW w:w="3405" w:type="dxa"/>
          </w:tcPr>
          <w:p w14:paraId="47CD6A33"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BSP 2023</w:t>
            </w:r>
          </w:p>
        </w:tc>
      </w:tr>
      <w:tr w:rsidR="00E2688B" w:rsidRPr="00E2688B" w14:paraId="7C4395C7" w14:textId="77777777" w:rsidTr="007C6DA0">
        <w:tc>
          <w:tcPr>
            <w:tcW w:w="2836" w:type="dxa"/>
          </w:tcPr>
          <w:p w14:paraId="1A43A264"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Percentual de vítimas negras</w:t>
            </w:r>
          </w:p>
        </w:tc>
        <w:tc>
          <w:tcPr>
            <w:tcW w:w="2831" w:type="dxa"/>
          </w:tcPr>
          <w:p w14:paraId="2FB99C16"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 xml:space="preserve">63,6% dos casos de </w:t>
            </w:r>
            <w:proofErr w:type="spellStart"/>
            <w:r w:rsidRPr="00E2688B">
              <w:rPr>
                <w:rFonts w:ascii="Arial" w:hAnsi="Arial" w:cs="Arial"/>
                <w:sz w:val="20"/>
                <w:szCs w:val="20"/>
              </w:rPr>
              <w:t>feminicídio</w:t>
            </w:r>
            <w:proofErr w:type="spellEnd"/>
          </w:p>
        </w:tc>
        <w:tc>
          <w:tcPr>
            <w:tcW w:w="340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2688B" w:rsidRPr="00E2688B" w14:paraId="3B0DC2F0" w14:textId="77777777" w:rsidTr="00511016">
              <w:trPr>
                <w:tblCellSpacing w:w="15" w:type="dxa"/>
              </w:trPr>
              <w:tc>
                <w:tcPr>
                  <w:tcW w:w="0" w:type="auto"/>
                  <w:vAlign w:val="center"/>
                  <w:hideMark/>
                </w:tcPr>
                <w:p w14:paraId="7EA5D5F3" w14:textId="77777777" w:rsidR="009C160F" w:rsidRPr="00E2688B" w:rsidRDefault="009C160F" w:rsidP="00E2688B">
                  <w:pPr>
                    <w:spacing w:line="240" w:lineRule="auto"/>
                    <w:jc w:val="center"/>
                    <w:textDirection w:val="btLr"/>
                    <w:rPr>
                      <w:rFonts w:eastAsia="Times New Roman"/>
                      <w:sz w:val="20"/>
                      <w:szCs w:val="20"/>
                    </w:rPr>
                  </w:pPr>
                </w:p>
              </w:tc>
            </w:tr>
          </w:tbl>
          <w:p w14:paraId="19FC4E2D" w14:textId="77777777" w:rsidR="009C160F" w:rsidRPr="00E2688B" w:rsidRDefault="009C160F" w:rsidP="00E2688B">
            <w:pPr>
              <w:spacing w:line="240" w:lineRule="auto"/>
              <w:ind w:leftChars="0" w:firstLineChars="0"/>
              <w:jc w:val="center"/>
              <w:rPr>
                <w:rFonts w:ascii="Arial" w:eastAsia="Times New Roman" w:hAnsi="Arial" w:cs="Arial"/>
                <w:vanish/>
                <w:sz w:val="20"/>
                <w:szCs w:val="20"/>
                <w:lang w:eastAsia="pt-B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36"/>
            </w:tblGrid>
            <w:tr w:rsidR="00E2688B" w:rsidRPr="00E2688B" w14:paraId="3515FFC7" w14:textId="77777777" w:rsidTr="00511016">
              <w:trPr>
                <w:tblCellSpacing w:w="15" w:type="dxa"/>
              </w:trPr>
              <w:tc>
                <w:tcPr>
                  <w:tcW w:w="0" w:type="auto"/>
                  <w:vAlign w:val="center"/>
                  <w:hideMark/>
                </w:tcPr>
                <w:p w14:paraId="7F4FD7C8" w14:textId="77777777" w:rsidR="009C160F" w:rsidRPr="00E2688B" w:rsidRDefault="009C160F" w:rsidP="00E2688B">
                  <w:pPr>
                    <w:spacing w:line="240" w:lineRule="auto"/>
                    <w:jc w:val="center"/>
                    <w:textDirection w:val="btLr"/>
                    <w:rPr>
                      <w:rFonts w:eastAsia="Times New Roman"/>
                      <w:sz w:val="20"/>
                      <w:szCs w:val="20"/>
                    </w:rPr>
                  </w:pPr>
                  <w:r w:rsidRPr="00E2688B">
                    <w:rPr>
                      <w:rFonts w:eastAsia="Times New Roman"/>
                      <w:sz w:val="20"/>
                      <w:szCs w:val="20"/>
                    </w:rPr>
                    <w:t>Câmara dos Deputados (2024)</w:t>
                  </w:r>
                </w:p>
              </w:tc>
            </w:tr>
          </w:tbl>
          <w:p w14:paraId="28025354" w14:textId="77777777" w:rsidR="009C160F" w:rsidRPr="00E2688B" w:rsidRDefault="009C160F" w:rsidP="00E2688B">
            <w:pPr>
              <w:spacing w:line="240" w:lineRule="auto"/>
              <w:ind w:leftChars="0" w:firstLineChars="0"/>
              <w:jc w:val="center"/>
              <w:rPr>
                <w:rFonts w:ascii="Arial" w:hAnsi="Arial" w:cs="Arial"/>
                <w:sz w:val="20"/>
                <w:szCs w:val="20"/>
              </w:rPr>
            </w:pPr>
          </w:p>
        </w:tc>
      </w:tr>
      <w:tr w:rsidR="00E2688B" w:rsidRPr="00E2688B" w14:paraId="495D3C22" w14:textId="77777777" w:rsidTr="007C6DA0">
        <w:tc>
          <w:tcPr>
            <w:tcW w:w="2836" w:type="dxa"/>
          </w:tcPr>
          <w:p w14:paraId="47D5F272"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Denúncias via Disque 180</w:t>
            </w:r>
          </w:p>
        </w:tc>
        <w:tc>
          <w:tcPr>
            <w:tcW w:w="2831" w:type="dxa"/>
          </w:tcPr>
          <w:p w14:paraId="75C2E2B1"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1,5 milhão de ligações (70% por violência física, psicológica ou sexual)</w:t>
            </w:r>
          </w:p>
        </w:tc>
        <w:tc>
          <w:tcPr>
            <w:tcW w:w="3405" w:type="dxa"/>
          </w:tcPr>
          <w:p w14:paraId="507F93FD"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Ministério da Mulher (2023)</w:t>
            </w:r>
          </w:p>
        </w:tc>
      </w:tr>
      <w:tr w:rsidR="00E2688B" w:rsidRPr="00E2688B" w14:paraId="3B5AA30E" w14:textId="77777777" w:rsidTr="007C6DA0">
        <w:tc>
          <w:tcPr>
            <w:tcW w:w="2836" w:type="dxa"/>
          </w:tcPr>
          <w:p w14:paraId="18D8BB6C"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Medidas protetivas concedidas</w:t>
            </w:r>
          </w:p>
        </w:tc>
        <w:tc>
          <w:tcPr>
            <w:tcW w:w="2831" w:type="dxa"/>
          </w:tcPr>
          <w:p w14:paraId="4D9AD442"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400 mil (2023); +152% em 4 anos (2020→2024 com 851.958 medidas)</w:t>
            </w:r>
          </w:p>
        </w:tc>
        <w:tc>
          <w:tcPr>
            <w:tcW w:w="3405" w:type="dxa"/>
          </w:tcPr>
          <w:p w14:paraId="47CDC064"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Ministério da Mulher; CNJ</w:t>
            </w:r>
          </w:p>
        </w:tc>
      </w:tr>
      <w:tr w:rsidR="00E2688B" w:rsidRPr="00E2688B" w14:paraId="5EA4E845" w14:textId="77777777" w:rsidTr="007C6DA0">
        <w:tc>
          <w:tcPr>
            <w:tcW w:w="2836" w:type="dxa"/>
          </w:tcPr>
          <w:p w14:paraId="1F2E2B0D"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Desconhecimento da Lei Maria da Penha</w:t>
            </w:r>
          </w:p>
        </w:tc>
        <w:tc>
          <w:tcPr>
            <w:tcW w:w="2831" w:type="dxa"/>
          </w:tcPr>
          <w:p w14:paraId="493658D4"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Apenas 20–24% das mulheres dizem conhecer bem a lei</w:t>
            </w:r>
          </w:p>
        </w:tc>
        <w:tc>
          <w:tcPr>
            <w:tcW w:w="3405" w:type="dxa"/>
          </w:tcPr>
          <w:p w14:paraId="44FAA551"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Agência Brasil (2024)</w:t>
            </w:r>
          </w:p>
        </w:tc>
      </w:tr>
      <w:tr w:rsidR="00E2688B" w:rsidRPr="00E2688B" w14:paraId="7917C290" w14:textId="77777777" w:rsidTr="007C6DA0">
        <w:tc>
          <w:tcPr>
            <w:tcW w:w="2836" w:type="dxa"/>
          </w:tcPr>
          <w:p w14:paraId="776F82B8"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Processos judiciais (Lei da Penha)</w:t>
            </w:r>
          </w:p>
        </w:tc>
        <w:tc>
          <w:tcPr>
            <w:tcW w:w="2831" w:type="dxa"/>
          </w:tcPr>
          <w:p w14:paraId="0BF6BD04"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640.867 processos em 2022 pelo CNJ</w:t>
            </w:r>
          </w:p>
        </w:tc>
        <w:tc>
          <w:tcPr>
            <w:tcW w:w="3405" w:type="dxa"/>
          </w:tcPr>
          <w:p w14:paraId="13BDF2C9" w14:textId="77777777" w:rsidR="009C160F" w:rsidRPr="00E2688B" w:rsidRDefault="009C160F" w:rsidP="00E2688B">
            <w:pPr>
              <w:spacing w:line="240" w:lineRule="auto"/>
              <w:ind w:leftChars="0" w:firstLineChars="0"/>
              <w:jc w:val="center"/>
              <w:rPr>
                <w:rFonts w:ascii="Arial" w:hAnsi="Arial" w:cs="Arial"/>
                <w:sz w:val="20"/>
                <w:szCs w:val="20"/>
              </w:rPr>
            </w:pPr>
            <w:r w:rsidRPr="00E2688B">
              <w:rPr>
                <w:rFonts w:ascii="Arial" w:hAnsi="Arial" w:cs="Arial"/>
                <w:sz w:val="20"/>
                <w:szCs w:val="20"/>
              </w:rPr>
              <w:t>Conselho Nacional de Justiça</w:t>
            </w:r>
          </w:p>
        </w:tc>
      </w:tr>
    </w:tbl>
    <w:p w14:paraId="1F8FFB56" w14:textId="77777777" w:rsidR="009C160F" w:rsidRPr="00E2688B" w:rsidRDefault="009C160F" w:rsidP="00E2688B">
      <w:pPr>
        <w:spacing w:line="240" w:lineRule="auto"/>
        <w:jc w:val="center"/>
        <w:rPr>
          <w:sz w:val="20"/>
          <w:szCs w:val="20"/>
        </w:rPr>
      </w:pPr>
      <w:r w:rsidRPr="00E2688B">
        <w:rPr>
          <w:sz w:val="20"/>
          <w:szCs w:val="20"/>
        </w:rPr>
        <w:t>Autoria própria (2025)</w:t>
      </w:r>
    </w:p>
    <w:p w14:paraId="71A9D0CE" w14:textId="77777777" w:rsidR="009C160F" w:rsidRPr="00E2688B" w:rsidRDefault="009C160F" w:rsidP="00E2688B">
      <w:pPr>
        <w:pBdr>
          <w:top w:val="nil"/>
          <w:left w:val="nil"/>
          <w:bottom w:val="nil"/>
          <w:right w:val="nil"/>
          <w:between w:val="nil"/>
        </w:pBdr>
        <w:spacing w:line="360" w:lineRule="auto"/>
        <w:ind w:firstLine="720"/>
        <w:jc w:val="both"/>
        <w:rPr>
          <w:sz w:val="24"/>
          <w:szCs w:val="24"/>
        </w:rPr>
      </w:pPr>
      <w:bookmarkStart w:id="2" w:name="_Hlk202279654"/>
    </w:p>
    <w:p w14:paraId="618283E2" w14:textId="7C7441AF" w:rsidR="00687153" w:rsidRPr="00E2688B" w:rsidRDefault="009C160F" w:rsidP="00E2688B">
      <w:pPr>
        <w:spacing w:line="360" w:lineRule="auto"/>
        <w:ind w:firstLine="709"/>
        <w:jc w:val="both"/>
        <w:rPr>
          <w:sz w:val="24"/>
          <w:szCs w:val="24"/>
        </w:rPr>
      </w:pPr>
      <w:r w:rsidRPr="00E2688B">
        <w:rPr>
          <w:sz w:val="24"/>
          <w:szCs w:val="24"/>
        </w:rPr>
        <w:t>A violência não é apenas imposta por meio da força física, mas ensinada e reforçada desde a infância, por meio de discursos sociais que associam a feminilidade à passividade, à obediência e à tolerância.</w:t>
      </w:r>
      <w:bookmarkEnd w:id="2"/>
      <w:r w:rsidR="00126C58" w:rsidRPr="00E2688B">
        <w:rPr>
          <w:sz w:val="24"/>
          <w:szCs w:val="24"/>
        </w:rPr>
        <w:t xml:space="preserve"> </w:t>
      </w:r>
      <w:r w:rsidR="00A3468F" w:rsidRPr="00E2688B">
        <w:rPr>
          <w:sz w:val="24"/>
          <w:szCs w:val="24"/>
        </w:rPr>
        <w:t>A</w:t>
      </w:r>
      <w:r w:rsidR="00B813A8" w:rsidRPr="00E2688B">
        <w:rPr>
          <w:sz w:val="24"/>
          <w:szCs w:val="24"/>
        </w:rPr>
        <w:t xml:space="preserve"> tabela 2</w:t>
      </w:r>
      <w:r w:rsidR="00687153" w:rsidRPr="00E2688B">
        <w:rPr>
          <w:sz w:val="24"/>
          <w:szCs w:val="24"/>
        </w:rPr>
        <w:t xml:space="preserve">, </w:t>
      </w:r>
      <w:r w:rsidR="00A3468F" w:rsidRPr="00E2688B">
        <w:rPr>
          <w:sz w:val="24"/>
          <w:szCs w:val="24"/>
        </w:rPr>
        <w:t>apresenta dados a</w:t>
      </w:r>
      <w:r w:rsidR="008E000A" w:rsidRPr="00E2688B">
        <w:rPr>
          <w:sz w:val="24"/>
          <w:szCs w:val="24"/>
        </w:rPr>
        <w:t>ssinala</w:t>
      </w:r>
      <w:r w:rsidR="00A3468F" w:rsidRPr="00E2688B">
        <w:rPr>
          <w:sz w:val="24"/>
          <w:szCs w:val="24"/>
        </w:rPr>
        <w:t>ndo</w:t>
      </w:r>
      <w:r w:rsidR="005C5E60" w:rsidRPr="00E2688B">
        <w:rPr>
          <w:sz w:val="24"/>
          <w:szCs w:val="24"/>
        </w:rPr>
        <w:t xml:space="preserve"> que mulheres em situações de maior vulnerabilidade como negras, indígenas, transexuais, com deficiê</w:t>
      </w:r>
      <w:r w:rsidR="00350FE7" w:rsidRPr="00E2688B">
        <w:rPr>
          <w:sz w:val="24"/>
          <w:szCs w:val="24"/>
        </w:rPr>
        <w:t xml:space="preserve">ncia ou em situação de pobreza </w:t>
      </w:r>
      <w:r w:rsidR="008E000A" w:rsidRPr="00E2688B">
        <w:rPr>
          <w:sz w:val="24"/>
          <w:szCs w:val="24"/>
        </w:rPr>
        <w:t>abarbam</w:t>
      </w:r>
      <w:r w:rsidR="005C5E60" w:rsidRPr="00E2688B">
        <w:rPr>
          <w:sz w:val="24"/>
          <w:szCs w:val="24"/>
        </w:rPr>
        <w:t xml:space="preserve"> níveis ainda mais elevados de violência e têm menos acesso a mecanismos de proteção. Isso </w:t>
      </w:r>
      <w:r w:rsidR="004542C4" w:rsidRPr="00E2688B">
        <w:rPr>
          <w:sz w:val="24"/>
          <w:szCs w:val="24"/>
        </w:rPr>
        <w:t>robustece</w:t>
      </w:r>
      <w:r w:rsidR="005C5E60" w:rsidRPr="00E2688B">
        <w:rPr>
          <w:sz w:val="24"/>
          <w:szCs w:val="24"/>
        </w:rPr>
        <w:t xml:space="preserve"> a importância de uma abordagem interseccional, que reconheça como diferentes formas de opressão se sobrepõem e potencializam o risco de violência.</w:t>
      </w:r>
    </w:p>
    <w:p w14:paraId="71C1BA09" w14:textId="77777777" w:rsidR="00896938" w:rsidRPr="00E2688B" w:rsidRDefault="00896938" w:rsidP="00E2688B">
      <w:pPr>
        <w:pBdr>
          <w:top w:val="nil"/>
          <w:left w:val="nil"/>
          <w:bottom w:val="nil"/>
          <w:right w:val="nil"/>
          <w:between w:val="nil"/>
        </w:pBdr>
        <w:spacing w:line="240" w:lineRule="auto"/>
        <w:ind w:left="2835"/>
        <w:jc w:val="center"/>
        <w:rPr>
          <w:rFonts w:eastAsia="Times New Roman"/>
          <w:b/>
          <w:bCs/>
          <w:sz w:val="18"/>
          <w:szCs w:val="18"/>
        </w:rPr>
      </w:pPr>
    </w:p>
    <w:p w14:paraId="3A77B807" w14:textId="1308D043" w:rsidR="00687153" w:rsidRPr="00E2688B" w:rsidRDefault="00B813A8" w:rsidP="00E2688B">
      <w:pPr>
        <w:pBdr>
          <w:top w:val="nil"/>
          <w:left w:val="nil"/>
          <w:bottom w:val="nil"/>
          <w:right w:val="nil"/>
          <w:between w:val="nil"/>
        </w:pBdr>
        <w:spacing w:line="240" w:lineRule="auto"/>
        <w:jc w:val="center"/>
        <w:rPr>
          <w:sz w:val="20"/>
          <w:szCs w:val="20"/>
        </w:rPr>
      </w:pPr>
      <w:r w:rsidRPr="00E2688B">
        <w:rPr>
          <w:rFonts w:eastAsia="Times New Roman"/>
          <w:b/>
          <w:bCs/>
          <w:sz w:val="20"/>
          <w:szCs w:val="20"/>
        </w:rPr>
        <w:t>Tabela 2</w:t>
      </w:r>
      <w:r w:rsidR="00687153" w:rsidRPr="00E2688B">
        <w:rPr>
          <w:rFonts w:eastAsia="Times New Roman"/>
          <w:b/>
          <w:bCs/>
          <w:sz w:val="20"/>
          <w:szCs w:val="20"/>
        </w:rPr>
        <w:t xml:space="preserve"> </w:t>
      </w:r>
      <w:r w:rsidR="00687153" w:rsidRPr="00E2688B">
        <w:rPr>
          <w:rFonts w:eastAsia="Times New Roman"/>
          <w:bCs/>
          <w:sz w:val="20"/>
          <w:szCs w:val="20"/>
        </w:rPr>
        <w:t>–</w:t>
      </w:r>
      <w:r w:rsidR="00687153" w:rsidRPr="00E2688B">
        <w:rPr>
          <w:rFonts w:eastAsia="Times New Roman"/>
          <w:b/>
          <w:bCs/>
          <w:sz w:val="20"/>
          <w:szCs w:val="20"/>
        </w:rPr>
        <w:t xml:space="preserve"> </w:t>
      </w:r>
      <w:r w:rsidR="00687153" w:rsidRPr="00E2688B">
        <w:rPr>
          <w:rFonts w:eastAsia="Times New Roman"/>
          <w:bCs/>
          <w:sz w:val="20"/>
          <w:szCs w:val="20"/>
        </w:rPr>
        <w:t xml:space="preserve">Quadro comparativo – Violência contra mulheres em contextos de vulnerabilidade </w:t>
      </w:r>
    </w:p>
    <w:tbl>
      <w:tblPr>
        <w:tblStyle w:val="Tabelacomgrade"/>
        <w:tblW w:w="9072" w:type="dxa"/>
        <w:tblInd w:w="-5" w:type="dxa"/>
        <w:tblLook w:val="04A0" w:firstRow="1" w:lastRow="0" w:firstColumn="1" w:lastColumn="0" w:noHBand="0" w:noVBand="1"/>
      </w:tblPr>
      <w:tblGrid>
        <w:gridCol w:w="2552"/>
        <w:gridCol w:w="4252"/>
        <w:gridCol w:w="2268"/>
      </w:tblGrid>
      <w:tr w:rsidR="00E2688B" w:rsidRPr="00E2688B" w14:paraId="278B8C6B" w14:textId="77777777" w:rsidTr="00896938">
        <w:tc>
          <w:tcPr>
            <w:tcW w:w="2552" w:type="dxa"/>
          </w:tcPr>
          <w:p w14:paraId="1DDBBBC3"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b/>
                <w:bCs/>
                <w:sz w:val="20"/>
                <w:szCs w:val="20"/>
                <w:lang w:eastAsia="pt-BR"/>
              </w:rPr>
              <w:t>Grupo de mulheres</w:t>
            </w:r>
          </w:p>
        </w:tc>
        <w:tc>
          <w:tcPr>
            <w:tcW w:w="4252" w:type="dxa"/>
          </w:tcPr>
          <w:p w14:paraId="11BEEBCE"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b/>
                <w:bCs/>
                <w:sz w:val="20"/>
                <w:szCs w:val="20"/>
                <w:lang w:eastAsia="pt-BR"/>
              </w:rPr>
              <w:t>Indicadores de violência</w:t>
            </w:r>
          </w:p>
        </w:tc>
        <w:tc>
          <w:tcPr>
            <w:tcW w:w="2268" w:type="dxa"/>
          </w:tcPr>
          <w:p w14:paraId="6468E7A5"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b/>
                <w:bCs/>
                <w:sz w:val="20"/>
                <w:szCs w:val="20"/>
                <w:lang w:eastAsia="pt-BR"/>
              </w:rPr>
              <w:t>Fontes</w:t>
            </w:r>
          </w:p>
        </w:tc>
      </w:tr>
      <w:tr w:rsidR="00E2688B" w:rsidRPr="00E2688B" w14:paraId="3C926523" w14:textId="77777777" w:rsidTr="00896938">
        <w:tc>
          <w:tcPr>
            <w:tcW w:w="2552" w:type="dxa"/>
          </w:tcPr>
          <w:p w14:paraId="2F96B8CB"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bCs/>
                <w:sz w:val="20"/>
                <w:szCs w:val="20"/>
                <w:lang w:eastAsia="pt-BR"/>
              </w:rPr>
              <w:lastRenderedPageBreak/>
              <w:t>Mulheres negras</w:t>
            </w:r>
          </w:p>
        </w:tc>
        <w:tc>
          <w:tcPr>
            <w:tcW w:w="4252" w:type="dxa"/>
          </w:tcPr>
          <w:p w14:paraId="443C0801"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sz w:val="20"/>
                <w:szCs w:val="20"/>
                <w:lang w:eastAsia="pt-BR"/>
              </w:rPr>
              <w:t xml:space="preserve">- 61,1% dos </w:t>
            </w:r>
            <w:proofErr w:type="spellStart"/>
            <w:r w:rsidRPr="00E2688B">
              <w:rPr>
                <w:rFonts w:ascii="Arial" w:eastAsia="Times New Roman" w:hAnsi="Arial" w:cs="Arial"/>
                <w:sz w:val="20"/>
                <w:szCs w:val="20"/>
                <w:lang w:eastAsia="pt-BR"/>
              </w:rPr>
              <w:t>feminicídios</w:t>
            </w:r>
            <w:proofErr w:type="spellEnd"/>
            <w:r w:rsidRPr="00E2688B">
              <w:rPr>
                <w:rFonts w:ascii="Arial" w:eastAsia="Times New Roman" w:hAnsi="Arial" w:cs="Arial"/>
                <w:sz w:val="20"/>
                <w:szCs w:val="20"/>
                <w:lang w:eastAsia="pt-BR"/>
              </w:rPr>
              <w:t xml:space="preserve"> em 2022</w:t>
            </w:r>
            <w:r w:rsidRPr="00E2688B">
              <w:rPr>
                <w:rFonts w:ascii="Arial" w:eastAsia="Times New Roman" w:hAnsi="Arial" w:cs="Arial"/>
                <w:sz w:val="20"/>
                <w:szCs w:val="20"/>
                <w:lang w:eastAsia="pt-BR"/>
              </w:rPr>
              <w:br/>
              <w:t>- 85% convivem com o agressor</w:t>
            </w:r>
            <w:r w:rsidRPr="00E2688B">
              <w:rPr>
                <w:rFonts w:ascii="Arial" w:eastAsia="Times New Roman" w:hAnsi="Arial" w:cs="Arial"/>
                <w:sz w:val="20"/>
                <w:szCs w:val="20"/>
                <w:lang w:eastAsia="pt-BR"/>
              </w:rPr>
              <w:br/>
              <w:t>- 70% não denunciam por medo ou dependência</w:t>
            </w:r>
          </w:p>
        </w:tc>
        <w:tc>
          <w:tcPr>
            <w:tcW w:w="2268" w:type="dxa"/>
          </w:tcPr>
          <w:p w14:paraId="4E0BFA69"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sz w:val="20"/>
                <w:szCs w:val="20"/>
                <w:lang w:eastAsia="pt-BR"/>
              </w:rPr>
              <w:t xml:space="preserve">Fórum Brasileiro de Segurança Pública (2023); </w:t>
            </w:r>
            <w:proofErr w:type="spellStart"/>
            <w:r w:rsidRPr="00E2688B">
              <w:rPr>
                <w:rFonts w:ascii="Arial" w:eastAsia="Times New Roman" w:hAnsi="Arial" w:cs="Arial"/>
                <w:sz w:val="20"/>
                <w:szCs w:val="20"/>
                <w:lang w:eastAsia="pt-BR"/>
              </w:rPr>
              <w:t>DataSenado</w:t>
            </w:r>
            <w:proofErr w:type="spellEnd"/>
          </w:p>
        </w:tc>
      </w:tr>
      <w:tr w:rsidR="00E2688B" w:rsidRPr="00E2688B" w14:paraId="1D519F6A" w14:textId="77777777" w:rsidTr="00896938">
        <w:tc>
          <w:tcPr>
            <w:tcW w:w="2552" w:type="dxa"/>
          </w:tcPr>
          <w:p w14:paraId="573EC522"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bCs/>
                <w:sz w:val="20"/>
                <w:szCs w:val="20"/>
                <w:lang w:eastAsia="pt-BR"/>
              </w:rPr>
              <w:t>Mulheres indígenas</w:t>
            </w:r>
          </w:p>
        </w:tc>
        <w:tc>
          <w:tcPr>
            <w:tcW w:w="4252" w:type="dxa"/>
          </w:tcPr>
          <w:p w14:paraId="1E1D85E4"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sz w:val="20"/>
                <w:szCs w:val="20"/>
                <w:lang w:eastAsia="pt-BR"/>
              </w:rPr>
              <w:t>- Alta subnotificação</w:t>
            </w:r>
            <w:r w:rsidRPr="00E2688B">
              <w:rPr>
                <w:rFonts w:ascii="Arial" w:eastAsia="Times New Roman" w:hAnsi="Arial" w:cs="Arial"/>
                <w:sz w:val="20"/>
                <w:szCs w:val="20"/>
                <w:lang w:eastAsia="pt-BR"/>
              </w:rPr>
              <w:br/>
              <w:t>- Violência majoritariamente doméstica</w:t>
            </w:r>
            <w:r w:rsidRPr="00E2688B">
              <w:rPr>
                <w:rFonts w:ascii="Arial" w:eastAsia="Times New Roman" w:hAnsi="Arial" w:cs="Arial"/>
                <w:sz w:val="20"/>
                <w:szCs w:val="20"/>
                <w:lang w:eastAsia="pt-BR"/>
              </w:rPr>
              <w:br/>
              <w:t>- Barreiras geográficas, linguísticas e culturais</w:t>
            </w:r>
          </w:p>
        </w:tc>
        <w:tc>
          <w:tcPr>
            <w:tcW w:w="2268" w:type="dxa"/>
          </w:tcPr>
          <w:p w14:paraId="6DA63BD0"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sz w:val="20"/>
                <w:szCs w:val="20"/>
                <w:lang w:eastAsia="pt-BR"/>
              </w:rPr>
              <w:t>SESAI; Funai; Instituto Socioambiental</w:t>
            </w:r>
          </w:p>
        </w:tc>
      </w:tr>
      <w:tr w:rsidR="00E2688B" w:rsidRPr="00E2688B" w14:paraId="1DF8FDCC" w14:textId="77777777" w:rsidTr="00896938">
        <w:tc>
          <w:tcPr>
            <w:tcW w:w="2552" w:type="dxa"/>
          </w:tcPr>
          <w:p w14:paraId="5F5D5AEE"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bCs/>
                <w:sz w:val="20"/>
                <w:szCs w:val="20"/>
                <w:lang w:eastAsia="pt-BR"/>
              </w:rPr>
              <w:t xml:space="preserve">Mulheres </w:t>
            </w:r>
            <w:proofErr w:type="spellStart"/>
            <w:r w:rsidRPr="00E2688B">
              <w:rPr>
                <w:rFonts w:ascii="Arial" w:eastAsia="Times New Roman" w:hAnsi="Arial" w:cs="Arial"/>
                <w:bCs/>
                <w:sz w:val="20"/>
                <w:szCs w:val="20"/>
                <w:lang w:eastAsia="pt-BR"/>
              </w:rPr>
              <w:t>trans</w:t>
            </w:r>
            <w:proofErr w:type="spellEnd"/>
            <w:r w:rsidRPr="00E2688B">
              <w:rPr>
                <w:rFonts w:ascii="Arial" w:eastAsia="Times New Roman" w:hAnsi="Arial" w:cs="Arial"/>
                <w:bCs/>
                <w:sz w:val="20"/>
                <w:szCs w:val="20"/>
                <w:lang w:eastAsia="pt-BR"/>
              </w:rPr>
              <w:t>/travestis</w:t>
            </w:r>
          </w:p>
        </w:tc>
        <w:tc>
          <w:tcPr>
            <w:tcW w:w="4252" w:type="dxa"/>
          </w:tcPr>
          <w:p w14:paraId="1B7649DC"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sz w:val="20"/>
                <w:szCs w:val="20"/>
                <w:lang w:eastAsia="pt-BR"/>
              </w:rPr>
              <w:t xml:space="preserve">- 76% das vítimas </w:t>
            </w:r>
            <w:proofErr w:type="spellStart"/>
            <w:r w:rsidRPr="00E2688B">
              <w:rPr>
                <w:rFonts w:ascii="Arial" w:eastAsia="Times New Roman" w:hAnsi="Arial" w:cs="Arial"/>
                <w:sz w:val="20"/>
                <w:szCs w:val="20"/>
                <w:lang w:eastAsia="pt-BR"/>
              </w:rPr>
              <w:t>trans</w:t>
            </w:r>
            <w:proofErr w:type="spellEnd"/>
            <w:r w:rsidRPr="00E2688B">
              <w:rPr>
                <w:rFonts w:ascii="Arial" w:eastAsia="Times New Roman" w:hAnsi="Arial" w:cs="Arial"/>
                <w:sz w:val="20"/>
                <w:szCs w:val="20"/>
                <w:lang w:eastAsia="pt-BR"/>
              </w:rPr>
              <w:t xml:space="preserve"> assassinadas são negras</w:t>
            </w:r>
            <w:r w:rsidRPr="00E2688B">
              <w:rPr>
                <w:rFonts w:ascii="Arial" w:eastAsia="Times New Roman" w:hAnsi="Arial" w:cs="Arial"/>
                <w:sz w:val="20"/>
                <w:szCs w:val="20"/>
                <w:lang w:eastAsia="pt-BR"/>
              </w:rPr>
              <w:br/>
              <w:t xml:space="preserve">- Brasil concentra 38% dos assassinatos </w:t>
            </w:r>
            <w:proofErr w:type="spellStart"/>
            <w:r w:rsidRPr="00E2688B">
              <w:rPr>
                <w:rFonts w:ascii="Arial" w:eastAsia="Times New Roman" w:hAnsi="Arial" w:cs="Arial"/>
                <w:sz w:val="20"/>
                <w:szCs w:val="20"/>
                <w:lang w:eastAsia="pt-BR"/>
              </w:rPr>
              <w:t>trans</w:t>
            </w:r>
            <w:proofErr w:type="spellEnd"/>
            <w:r w:rsidRPr="00E2688B">
              <w:rPr>
                <w:rFonts w:ascii="Arial" w:eastAsia="Times New Roman" w:hAnsi="Arial" w:cs="Arial"/>
                <w:sz w:val="20"/>
                <w:szCs w:val="20"/>
                <w:lang w:eastAsia="pt-BR"/>
              </w:rPr>
              <w:t xml:space="preserve"> no mundo</w:t>
            </w:r>
            <w:r w:rsidRPr="00E2688B">
              <w:rPr>
                <w:rFonts w:ascii="Arial" w:eastAsia="Times New Roman" w:hAnsi="Arial" w:cs="Arial"/>
                <w:sz w:val="20"/>
                <w:szCs w:val="20"/>
                <w:lang w:eastAsia="pt-BR"/>
              </w:rPr>
              <w:br/>
              <w:t>- 90% recorrem à prostituição por exclusão social</w:t>
            </w:r>
          </w:p>
        </w:tc>
        <w:tc>
          <w:tcPr>
            <w:tcW w:w="2268" w:type="dxa"/>
          </w:tcPr>
          <w:p w14:paraId="23FC37E4"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sz w:val="20"/>
                <w:szCs w:val="20"/>
                <w:lang w:eastAsia="pt-BR"/>
              </w:rPr>
              <w:t xml:space="preserve">ANTRA (2024); </w:t>
            </w:r>
            <w:proofErr w:type="spellStart"/>
            <w:r w:rsidRPr="00E2688B">
              <w:rPr>
                <w:rFonts w:ascii="Arial" w:eastAsia="Times New Roman" w:hAnsi="Arial" w:cs="Arial"/>
                <w:sz w:val="20"/>
                <w:szCs w:val="20"/>
                <w:lang w:eastAsia="pt-BR"/>
              </w:rPr>
              <w:t>Transgender</w:t>
            </w:r>
            <w:proofErr w:type="spellEnd"/>
            <w:r w:rsidRPr="00E2688B">
              <w:rPr>
                <w:rFonts w:ascii="Arial" w:eastAsia="Times New Roman" w:hAnsi="Arial" w:cs="Arial"/>
                <w:sz w:val="20"/>
                <w:szCs w:val="20"/>
                <w:lang w:eastAsia="pt-BR"/>
              </w:rPr>
              <w:t xml:space="preserve"> </w:t>
            </w:r>
            <w:proofErr w:type="spellStart"/>
            <w:r w:rsidRPr="00E2688B">
              <w:rPr>
                <w:rFonts w:ascii="Arial" w:eastAsia="Times New Roman" w:hAnsi="Arial" w:cs="Arial"/>
                <w:sz w:val="20"/>
                <w:szCs w:val="20"/>
                <w:lang w:eastAsia="pt-BR"/>
              </w:rPr>
              <w:t>Europe</w:t>
            </w:r>
            <w:proofErr w:type="spellEnd"/>
            <w:r w:rsidRPr="00E2688B">
              <w:rPr>
                <w:rFonts w:ascii="Arial" w:eastAsia="Times New Roman" w:hAnsi="Arial" w:cs="Arial"/>
                <w:sz w:val="20"/>
                <w:szCs w:val="20"/>
                <w:lang w:eastAsia="pt-BR"/>
              </w:rPr>
              <w:t>; A Pública</w:t>
            </w:r>
          </w:p>
        </w:tc>
      </w:tr>
      <w:tr w:rsidR="00E2688B" w:rsidRPr="00E2688B" w14:paraId="74A5CE13" w14:textId="77777777" w:rsidTr="00896938">
        <w:tc>
          <w:tcPr>
            <w:tcW w:w="2552" w:type="dxa"/>
          </w:tcPr>
          <w:p w14:paraId="742D3806"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bCs/>
                <w:sz w:val="20"/>
                <w:szCs w:val="20"/>
                <w:lang w:eastAsia="pt-BR"/>
              </w:rPr>
              <w:t>Mulheres com deficiência</w:t>
            </w:r>
          </w:p>
        </w:tc>
        <w:tc>
          <w:tcPr>
            <w:tcW w:w="4252" w:type="dxa"/>
          </w:tcPr>
          <w:p w14:paraId="05CB31DF"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sz w:val="20"/>
                <w:szCs w:val="20"/>
                <w:lang w:eastAsia="pt-BR"/>
              </w:rPr>
              <w:t>- Sofrem violência 2 a 3 vezes mais do que mulheres sem deficiência</w:t>
            </w:r>
            <w:r w:rsidRPr="00E2688B">
              <w:rPr>
                <w:rFonts w:ascii="Arial" w:eastAsia="Times New Roman" w:hAnsi="Arial" w:cs="Arial"/>
                <w:sz w:val="20"/>
                <w:szCs w:val="20"/>
                <w:lang w:eastAsia="pt-BR"/>
              </w:rPr>
              <w:br/>
              <w:t>- Dependência de cuidadores amplia o risco</w:t>
            </w:r>
          </w:p>
        </w:tc>
        <w:tc>
          <w:tcPr>
            <w:tcW w:w="2268" w:type="dxa"/>
          </w:tcPr>
          <w:p w14:paraId="5F44FCDF"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sz w:val="20"/>
                <w:szCs w:val="20"/>
                <w:lang w:eastAsia="pt-BR"/>
              </w:rPr>
              <w:t>IBGE; ONU Mulheres; APAE Brasil</w:t>
            </w:r>
          </w:p>
        </w:tc>
      </w:tr>
      <w:tr w:rsidR="00E2688B" w:rsidRPr="00E2688B" w14:paraId="0402CFEB" w14:textId="77777777" w:rsidTr="00896938">
        <w:tc>
          <w:tcPr>
            <w:tcW w:w="2552" w:type="dxa"/>
          </w:tcPr>
          <w:p w14:paraId="17DFB1A8"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bCs/>
                <w:sz w:val="20"/>
                <w:szCs w:val="20"/>
                <w:lang w:eastAsia="pt-BR"/>
              </w:rPr>
              <w:t>Mulheres em situação de pobreza</w:t>
            </w:r>
          </w:p>
        </w:tc>
        <w:tc>
          <w:tcPr>
            <w:tcW w:w="4252" w:type="dxa"/>
          </w:tcPr>
          <w:p w14:paraId="7BAF2C28" w14:textId="77777777" w:rsidR="00687153" w:rsidRPr="00E2688B" w:rsidRDefault="00687153" w:rsidP="00E2688B">
            <w:pPr>
              <w:spacing w:line="240" w:lineRule="auto"/>
              <w:ind w:left="0" w:hanging="2"/>
              <w:jc w:val="center"/>
              <w:rPr>
                <w:rFonts w:ascii="Arial" w:hAnsi="Arial" w:cs="Arial"/>
                <w:sz w:val="20"/>
                <w:szCs w:val="20"/>
              </w:rPr>
            </w:pPr>
            <w:r w:rsidRPr="00E2688B">
              <w:rPr>
                <w:rFonts w:ascii="Arial" w:eastAsia="Times New Roman" w:hAnsi="Arial" w:cs="Arial"/>
                <w:sz w:val="20"/>
                <w:szCs w:val="20"/>
                <w:lang w:eastAsia="pt-BR"/>
              </w:rPr>
              <w:t>- 32% das mulheres negras sem renda sofrem violência</w:t>
            </w:r>
            <w:r w:rsidRPr="00E2688B">
              <w:rPr>
                <w:rFonts w:ascii="Arial" w:eastAsia="Times New Roman" w:hAnsi="Arial" w:cs="Arial"/>
                <w:sz w:val="20"/>
                <w:szCs w:val="20"/>
                <w:lang w:eastAsia="pt-BR"/>
              </w:rPr>
              <w:br/>
              <w:t>- Apenas 27% solicitam medidas protetivas</w:t>
            </w:r>
            <w:r w:rsidRPr="00E2688B">
              <w:rPr>
                <w:rFonts w:ascii="Arial" w:eastAsia="Times New Roman" w:hAnsi="Arial" w:cs="Arial"/>
                <w:sz w:val="20"/>
                <w:szCs w:val="20"/>
                <w:lang w:eastAsia="pt-BR"/>
              </w:rPr>
              <w:br/>
              <w:t>- Acesso precário a serviços de proteção</w:t>
            </w:r>
          </w:p>
        </w:tc>
        <w:tc>
          <w:tcPr>
            <w:tcW w:w="2268" w:type="dxa"/>
          </w:tcPr>
          <w:p w14:paraId="0A3DE83B" w14:textId="77777777" w:rsidR="00687153" w:rsidRPr="00E2688B" w:rsidRDefault="00687153" w:rsidP="00E2688B">
            <w:pPr>
              <w:spacing w:line="240" w:lineRule="auto"/>
              <w:ind w:left="0" w:hanging="2"/>
              <w:jc w:val="center"/>
              <w:rPr>
                <w:rFonts w:ascii="Arial" w:hAnsi="Arial" w:cs="Arial"/>
                <w:sz w:val="20"/>
                <w:szCs w:val="20"/>
              </w:rPr>
            </w:pPr>
            <w:proofErr w:type="spellStart"/>
            <w:r w:rsidRPr="00E2688B">
              <w:rPr>
                <w:rFonts w:ascii="Arial" w:eastAsia="Times New Roman" w:hAnsi="Arial" w:cs="Arial"/>
                <w:sz w:val="20"/>
                <w:szCs w:val="20"/>
                <w:lang w:eastAsia="pt-BR"/>
              </w:rPr>
              <w:t>DataSenado</w:t>
            </w:r>
            <w:proofErr w:type="spellEnd"/>
            <w:r w:rsidRPr="00E2688B">
              <w:rPr>
                <w:rFonts w:ascii="Arial" w:eastAsia="Times New Roman" w:hAnsi="Arial" w:cs="Arial"/>
                <w:sz w:val="20"/>
                <w:szCs w:val="20"/>
                <w:lang w:eastAsia="pt-BR"/>
              </w:rPr>
              <w:t>; IPEA; Fórum Brasileiro de Segurança Pública</w:t>
            </w:r>
          </w:p>
        </w:tc>
      </w:tr>
    </w:tbl>
    <w:p w14:paraId="7AEF0B7C" w14:textId="77777777" w:rsidR="00687153" w:rsidRPr="00E2688B" w:rsidRDefault="00687153" w:rsidP="00E2688B">
      <w:pPr>
        <w:pBdr>
          <w:top w:val="nil"/>
          <w:left w:val="nil"/>
          <w:bottom w:val="nil"/>
          <w:right w:val="nil"/>
          <w:between w:val="nil"/>
        </w:pBdr>
        <w:spacing w:line="240" w:lineRule="auto"/>
        <w:ind w:left="2835"/>
        <w:rPr>
          <w:sz w:val="20"/>
          <w:szCs w:val="20"/>
        </w:rPr>
      </w:pPr>
      <w:r w:rsidRPr="00E2688B">
        <w:rPr>
          <w:sz w:val="20"/>
          <w:szCs w:val="20"/>
        </w:rPr>
        <w:t>Fonte: Autoria própria (2025)</w:t>
      </w:r>
    </w:p>
    <w:p w14:paraId="3884352D" w14:textId="77777777" w:rsidR="008C6AE9" w:rsidRPr="00E2688B" w:rsidRDefault="008C6AE9" w:rsidP="00E2688B">
      <w:pPr>
        <w:spacing w:line="360" w:lineRule="auto"/>
        <w:ind w:firstLine="709"/>
        <w:jc w:val="both"/>
        <w:rPr>
          <w:sz w:val="24"/>
          <w:szCs w:val="24"/>
        </w:rPr>
      </w:pPr>
    </w:p>
    <w:p w14:paraId="158A8359" w14:textId="47D4424E" w:rsidR="00896938" w:rsidRPr="00E2688B" w:rsidRDefault="00896938" w:rsidP="00E2688B">
      <w:pPr>
        <w:spacing w:line="360" w:lineRule="auto"/>
        <w:ind w:firstLine="709"/>
        <w:jc w:val="both"/>
        <w:rPr>
          <w:sz w:val="24"/>
          <w:szCs w:val="24"/>
        </w:rPr>
      </w:pPr>
      <w:r w:rsidRPr="00E2688B">
        <w:rPr>
          <w:sz w:val="24"/>
          <w:szCs w:val="24"/>
        </w:rPr>
        <w:t xml:space="preserve">A sobreposição de marcadores sociais, como raça, identidade de gênero, deficiência e classe, </w:t>
      </w:r>
      <w:r w:rsidRPr="00E2688B">
        <w:rPr>
          <w:rStyle w:val="Forte"/>
          <w:b w:val="0"/>
          <w:sz w:val="24"/>
          <w:szCs w:val="24"/>
        </w:rPr>
        <w:t>aumenta significativamente o risco de violência e a exclusão do acesso à</w:t>
      </w:r>
      <w:r w:rsidRPr="00E2688B">
        <w:rPr>
          <w:rStyle w:val="Forte"/>
          <w:sz w:val="24"/>
          <w:szCs w:val="24"/>
        </w:rPr>
        <w:t xml:space="preserve"> </w:t>
      </w:r>
      <w:r w:rsidRPr="00E2688B">
        <w:rPr>
          <w:rStyle w:val="Forte"/>
          <w:b w:val="0"/>
          <w:sz w:val="24"/>
          <w:szCs w:val="24"/>
        </w:rPr>
        <w:t>justiça</w:t>
      </w:r>
      <w:r w:rsidRPr="00E2688B">
        <w:rPr>
          <w:b/>
          <w:sz w:val="24"/>
          <w:szCs w:val="24"/>
        </w:rPr>
        <w:t>.</w:t>
      </w:r>
      <w:r w:rsidRPr="00E2688B">
        <w:rPr>
          <w:sz w:val="24"/>
          <w:szCs w:val="24"/>
        </w:rPr>
        <w:t xml:space="preserve"> A abordagem </w:t>
      </w:r>
      <w:r w:rsidRPr="00E2688B">
        <w:rPr>
          <w:rStyle w:val="Forte"/>
          <w:b w:val="0"/>
          <w:sz w:val="24"/>
          <w:szCs w:val="24"/>
        </w:rPr>
        <w:t>interseccional</w:t>
      </w:r>
      <w:r w:rsidRPr="00E2688B">
        <w:rPr>
          <w:sz w:val="24"/>
          <w:szCs w:val="24"/>
        </w:rPr>
        <w:t xml:space="preserve"> é fundamental para o desenvolvimento de políticas públicas eficazes e inclusivas. Esses dados evidenciam que a violência é manifestada de formas diversas e cumulativas, reforçada por estereótipos e exclusões raciais, econômicas, culturais e </w:t>
      </w:r>
      <w:proofErr w:type="spellStart"/>
      <w:r w:rsidRPr="00E2688B">
        <w:rPr>
          <w:sz w:val="24"/>
          <w:szCs w:val="24"/>
        </w:rPr>
        <w:t>identitárias</w:t>
      </w:r>
      <w:proofErr w:type="spellEnd"/>
      <w:r w:rsidRPr="00E2688B">
        <w:rPr>
          <w:sz w:val="24"/>
          <w:szCs w:val="24"/>
        </w:rPr>
        <w:t>.</w:t>
      </w:r>
      <w:r w:rsidR="00AE04F2" w:rsidRPr="00E2688B">
        <w:rPr>
          <w:sz w:val="24"/>
          <w:szCs w:val="24"/>
        </w:rPr>
        <w:t xml:space="preserve"> </w:t>
      </w:r>
      <w:r w:rsidRPr="00E2688B">
        <w:rPr>
          <w:sz w:val="24"/>
          <w:szCs w:val="24"/>
        </w:rPr>
        <w:t xml:space="preserve">A combinação de fatores como racismo, </w:t>
      </w:r>
      <w:proofErr w:type="spellStart"/>
      <w:r w:rsidRPr="00E2688B">
        <w:rPr>
          <w:sz w:val="24"/>
          <w:szCs w:val="24"/>
        </w:rPr>
        <w:t>sexismo</w:t>
      </w:r>
      <w:proofErr w:type="spellEnd"/>
      <w:r w:rsidRPr="00E2688B">
        <w:rPr>
          <w:sz w:val="24"/>
          <w:szCs w:val="24"/>
        </w:rPr>
        <w:t xml:space="preserve">, pobreza, </w:t>
      </w:r>
      <w:proofErr w:type="spellStart"/>
      <w:r w:rsidRPr="00E2688B">
        <w:rPr>
          <w:sz w:val="24"/>
          <w:szCs w:val="24"/>
        </w:rPr>
        <w:t>transfobia</w:t>
      </w:r>
      <w:proofErr w:type="spellEnd"/>
      <w:r w:rsidRPr="00E2688B">
        <w:rPr>
          <w:sz w:val="24"/>
          <w:szCs w:val="24"/>
        </w:rPr>
        <w:t xml:space="preserve">, distância geográfica e barreiras institucionais expõe essas mulheres a riscos maiores e menor acesso a mecanismos de proteção. </w:t>
      </w:r>
      <w:r w:rsidRPr="00E2688B">
        <w:rPr>
          <w:rStyle w:val="Forte"/>
          <w:b w:val="0"/>
          <w:sz w:val="24"/>
          <w:szCs w:val="24"/>
        </w:rPr>
        <w:t>Portanto, uma abordagem interseccional</w:t>
      </w:r>
      <w:r w:rsidRPr="00E2688B">
        <w:rPr>
          <w:sz w:val="24"/>
          <w:szCs w:val="24"/>
        </w:rPr>
        <w:t>, que reconhece que diferentes opressões se sobrepõem, é fundamental para entender essa realidade e formular respostas robustas e equitativas.</w:t>
      </w:r>
    </w:p>
    <w:p w14:paraId="7DDDB316" w14:textId="2C0F3A69" w:rsidR="00896938" w:rsidRPr="00E2688B" w:rsidRDefault="00896938" w:rsidP="00E2688B">
      <w:pPr>
        <w:pBdr>
          <w:top w:val="nil"/>
          <w:left w:val="nil"/>
          <w:bottom w:val="nil"/>
          <w:right w:val="nil"/>
          <w:between w:val="nil"/>
        </w:pBdr>
        <w:spacing w:line="360" w:lineRule="auto"/>
        <w:ind w:firstLine="708"/>
        <w:jc w:val="both"/>
        <w:rPr>
          <w:sz w:val="24"/>
          <w:szCs w:val="24"/>
        </w:rPr>
      </w:pPr>
      <w:r w:rsidRPr="00E2688B">
        <w:rPr>
          <w:sz w:val="24"/>
          <w:szCs w:val="24"/>
        </w:rPr>
        <w:t xml:space="preserve">Os resultados apontam que a submissão é culturalmente imposta às mulheres como uma norma social esperada, sustentada e reproduzida por meio de discursos midiáticos, práticas familiares e estruturas institucionais. A mídia, por exemplo, </w:t>
      </w:r>
      <w:r w:rsidRPr="00E2688B">
        <w:rPr>
          <w:sz w:val="24"/>
          <w:szCs w:val="24"/>
        </w:rPr>
        <w:lastRenderedPageBreak/>
        <w:t xml:space="preserve">frequentemente representa mulheres em papéis de dependência emocional, fragilidade e passividade, enquanto reforça estereótipos que </w:t>
      </w:r>
      <w:proofErr w:type="spellStart"/>
      <w:r w:rsidRPr="00E2688B">
        <w:rPr>
          <w:sz w:val="24"/>
          <w:szCs w:val="24"/>
        </w:rPr>
        <w:t>culpabilizam</w:t>
      </w:r>
      <w:proofErr w:type="spellEnd"/>
      <w:r w:rsidRPr="00E2688B">
        <w:rPr>
          <w:sz w:val="24"/>
          <w:szCs w:val="24"/>
        </w:rPr>
        <w:t xml:space="preserve"> a vítima e romantizam relações abusivas. Em âmbito doméstico, muitas meninas ainda são educadas para "servir", "obedecer" e "evitar conflitos", o que contribui para a normalização da desigualdade de poder nas relações afetivas e familiares.</w:t>
      </w:r>
    </w:p>
    <w:p w14:paraId="796603E3" w14:textId="00D52D1E" w:rsidR="00896938" w:rsidRPr="00E2688B" w:rsidRDefault="00896938" w:rsidP="00E2688B">
      <w:pPr>
        <w:pBdr>
          <w:top w:val="nil"/>
          <w:left w:val="nil"/>
          <w:bottom w:val="nil"/>
          <w:right w:val="nil"/>
          <w:between w:val="nil"/>
        </w:pBdr>
        <w:spacing w:line="360" w:lineRule="auto"/>
        <w:ind w:firstLine="708"/>
        <w:jc w:val="both"/>
        <w:rPr>
          <w:sz w:val="24"/>
          <w:szCs w:val="24"/>
        </w:rPr>
      </w:pPr>
      <w:r w:rsidRPr="00E2688B">
        <w:rPr>
          <w:sz w:val="24"/>
          <w:szCs w:val="24"/>
        </w:rPr>
        <w:t xml:space="preserve">O medo, por sua vez, atua como um mecanismo central de controle. Segundo o </w:t>
      </w:r>
      <w:r w:rsidRPr="00E2688B">
        <w:rPr>
          <w:rStyle w:val="nfase"/>
          <w:i w:val="0"/>
          <w:sz w:val="24"/>
          <w:szCs w:val="24"/>
        </w:rPr>
        <w:t>Anuário Brasileiro de Segurança Pública de 2023</w:t>
      </w:r>
      <w:r w:rsidRPr="00E2688B">
        <w:rPr>
          <w:i/>
          <w:sz w:val="24"/>
          <w:szCs w:val="24"/>
        </w:rPr>
        <w:t>,</w:t>
      </w:r>
      <w:r w:rsidRPr="00E2688B">
        <w:rPr>
          <w:sz w:val="24"/>
          <w:szCs w:val="24"/>
        </w:rPr>
        <w:t xml:space="preserve"> mais de 70% das vítimas de violência doméstica não registram boletim de ocorrência, seja por medo de retaliação do agressor, descrença no sistema de justiça ou dependência econômica. Esse dado revela o</w:t>
      </w:r>
      <w:r w:rsidR="009D76E4" w:rsidRPr="00E2688B">
        <w:rPr>
          <w:sz w:val="24"/>
          <w:szCs w:val="24"/>
        </w:rPr>
        <w:t xml:space="preserve"> impacto simbólico do medo: </w:t>
      </w:r>
      <w:r w:rsidRPr="00E2688B">
        <w:rPr>
          <w:sz w:val="24"/>
          <w:szCs w:val="24"/>
        </w:rPr>
        <w:t>silencia, isola e impede a denúncia, garantindo a continuidade do domínio masculino.</w:t>
      </w:r>
      <w:r w:rsidR="00AE04F2" w:rsidRPr="00E2688B">
        <w:rPr>
          <w:sz w:val="24"/>
          <w:szCs w:val="24"/>
        </w:rPr>
        <w:t xml:space="preserve"> </w:t>
      </w:r>
      <w:r w:rsidRPr="00E2688B">
        <w:rPr>
          <w:sz w:val="24"/>
          <w:szCs w:val="24"/>
        </w:rPr>
        <w:t xml:space="preserve">A abordagem interseccional revelou que essas formas de controle operam de maneira ainda mais intensa sobre mulheres negras, indígenas, </w:t>
      </w:r>
      <w:proofErr w:type="spellStart"/>
      <w:r w:rsidRPr="00E2688B">
        <w:rPr>
          <w:sz w:val="24"/>
          <w:szCs w:val="24"/>
        </w:rPr>
        <w:t>trans</w:t>
      </w:r>
      <w:proofErr w:type="spellEnd"/>
      <w:r w:rsidRPr="00E2688B">
        <w:rPr>
          <w:sz w:val="24"/>
          <w:szCs w:val="24"/>
        </w:rPr>
        <w:t xml:space="preserve">, periféricas e com deficiência, que enfrentam barreiras adicionais ao acesso à justiça, proteção e serviços de apoio. Por exemplo, mulheres negras representaram 67% das vítimas de </w:t>
      </w:r>
      <w:proofErr w:type="spellStart"/>
      <w:r w:rsidRPr="00E2688B">
        <w:rPr>
          <w:sz w:val="24"/>
          <w:szCs w:val="24"/>
        </w:rPr>
        <w:t>feminicídio</w:t>
      </w:r>
      <w:proofErr w:type="spellEnd"/>
      <w:r w:rsidRPr="00E2688B">
        <w:rPr>
          <w:sz w:val="24"/>
          <w:szCs w:val="24"/>
        </w:rPr>
        <w:t xml:space="preserve"> no Brasil em 2022, segundo o mesmo anuário, evidenciando como o racismo e o </w:t>
      </w:r>
      <w:proofErr w:type="spellStart"/>
      <w:r w:rsidRPr="00E2688B">
        <w:rPr>
          <w:sz w:val="24"/>
          <w:szCs w:val="24"/>
        </w:rPr>
        <w:t>sexismo</w:t>
      </w:r>
      <w:proofErr w:type="spellEnd"/>
      <w:r w:rsidRPr="00E2688B">
        <w:rPr>
          <w:sz w:val="24"/>
          <w:szCs w:val="24"/>
        </w:rPr>
        <w:t xml:space="preserve"> se entrelaçam para produzir níveis mais agudos de vulnerabilidade.</w:t>
      </w:r>
    </w:p>
    <w:p w14:paraId="34E4F42B" w14:textId="77777777" w:rsidR="005002F3" w:rsidRPr="00E2688B" w:rsidRDefault="005002F3" w:rsidP="00E2688B">
      <w:pPr>
        <w:spacing w:line="360" w:lineRule="auto"/>
        <w:jc w:val="both"/>
        <w:rPr>
          <w:sz w:val="24"/>
          <w:szCs w:val="24"/>
        </w:rPr>
      </w:pPr>
    </w:p>
    <w:p w14:paraId="69080099" w14:textId="1822BD90" w:rsidR="005002F3" w:rsidRPr="00E2688B" w:rsidRDefault="005C5E60" w:rsidP="00E2688B">
      <w:pPr>
        <w:spacing w:line="360" w:lineRule="auto"/>
        <w:jc w:val="both"/>
        <w:rPr>
          <w:b/>
          <w:sz w:val="24"/>
          <w:szCs w:val="24"/>
        </w:rPr>
      </w:pPr>
      <w:r w:rsidRPr="00E2688B">
        <w:rPr>
          <w:b/>
          <w:sz w:val="24"/>
          <w:szCs w:val="24"/>
        </w:rPr>
        <w:t>4 CONCLUSÃO</w:t>
      </w:r>
    </w:p>
    <w:p w14:paraId="5836B49D" w14:textId="77777777" w:rsidR="008C6AE9" w:rsidRPr="00E2688B" w:rsidRDefault="008C6AE9" w:rsidP="00E2688B">
      <w:pPr>
        <w:spacing w:line="360" w:lineRule="auto"/>
        <w:jc w:val="both"/>
        <w:rPr>
          <w:sz w:val="24"/>
          <w:szCs w:val="24"/>
        </w:rPr>
      </w:pPr>
    </w:p>
    <w:p w14:paraId="730BE790" w14:textId="5EAE6009" w:rsidR="005002F3" w:rsidRPr="00E2688B" w:rsidRDefault="00650619" w:rsidP="00E2688B">
      <w:pPr>
        <w:spacing w:line="360" w:lineRule="auto"/>
        <w:ind w:firstLine="720"/>
        <w:jc w:val="both"/>
        <w:rPr>
          <w:sz w:val="24"/>
          <w:szCs w:val="24"/>
        </w:rPr>
      </w:pPr>
      <w:r w:rsidRPr="00E2688B">
        <w:rPr>
          <w:sz w:val="24"/>
          <w:szCs w:val="24"/>
        </w:rPr>
        <w:t>Esta</w:t>
      </w:r>
      <w:r w:rsidR="005C5E60" w:rsidRPr="00E2688B">
        <w:rPr>
          <w:sz w:val="24"/>
          <w:szCs w:val="24"/>
        </w:rPr>
        <w:t xml:space="preserve"> investigação revelou que</w:t>
      </w:r>
      <w:r w:rsidRPr="00E2688B">
        <w:rPr>
          <w:sz w:val="24"/>
          <w:szCs w:val="24"/>
        </w:rPr>
        <w:t xml:space="preserve"> as normas sociais, construídas historicamente sob a lógica patriarcal, contribuem para a manutenção da desigualdade de gênero e da violência contra as mulheres, e </w:t>
      </w:r>
      <w:r w:rsidR="005C5E60" w:rsidRPr="00E2688B">
        <w:rPr>
          <w:sz w:val="24"/>
          <w:szCs w:val="24"/>
        </w:rPr>
        <w:t>não apenas definem papéis sociais rígidos para homens e mulheres, mas também naturalizam a submissão feminina como traço esperado e desejável, sendo socialmente ensinada e re</w:t>
      </w:r>
      <w:r w:rsidRPr="00E2688B">
        <w:rPr>
          <w:sz w:val="24"/>
          <w:szCs w:val="24"/>
        </w:rPr>
        <w:t>forçada em múltiplos contextos,</w:t>
      </w:r>
      <w:r w:rsidR="005C5E60" w:rsidRPr="00E2688B">
        <w:rPr>
          <w:sz w:val="24"/>
          <w:szCs w:val="24"/>
        </w:rPr>
        <w:t xml:space="preserve"> especialmente nos ambientes familiar, educacional e cultural.</w:t>
      </w:r>
    </w:p>
    <w:p w14:paraId="2ABF746D" w14:textId="77777777" w:rsidR="004B0971" w:rsidRPr="00E2688B" w:rsidRDefault="005C5E60" w:rsidP="00E2688B">
      <w:pPr>
        <w:spacing w:line="360" w:lineRule="auto"/>
        <w:ind w:firstLine="720"/>
        <w:jc w:val="both"/>
        <w:rPr>
          <w:sz w:val="24"/>
          <w:szCs w:val="24"/>
        </w:rPr>
      </w:pPr>
      <w:r w:rsidRPr="00E2688B">
        <w:rPr>
          <w:sz w:val="24"/>
          <w:szCs w:val="24"/>
        </w:rPr>
        <w:lastRenderedPageBreak/>
        <w:t xml:space="preserve">Verificou-se que o medo é um elemento estruturante da vivência de muitas mulheres, funcionando como mecanismo de controle, coerção e </w:t>
      </w:r>
      <w:proofErr w:type="spellStart"/>
      <w:r w:rsidRPr="00E2688B">
        <w:rPr>
          <w:sz w:val="24"/>
          <w:szCs w:val="24"/>
        </w:rPr>
        <w:t>silenciamento</w:t>
      </w:r>
      <w:proofErr w:type="spellEnd"/>
      <w:r w:rsidRPr="00E2688B">
        <w:rPr>
          <w:sz w:val="24"/>
          <w:szCs w:val="24"/>
        </w:rPr>
        <w:t xml:space="preserve"> em relações atravessadas pela violência. Ainda que existam marcos legais importantes, como a Lei Maria da Penha e a Lei do </w:t>
      </w:r>
      <w:proofErr w:type="spellStart"/>
      <w:r w:rsidRPr="00E2688B">
        <w:rPr>
          <w:sz w:val="24"/>
          <w:szCs w:val="24"/>
        </w:rPr>
        <w:t>Feminicídio</w:t>
      </w:r>
      <w:proofErr w:type="spellEnd"/>
      <w:r w:rsidRPr="00E2688B">
        <w:rPr>
          <w:sz w:val="24"/>
          <w:szCs w:val="24"/>
        </w:rPr>
        <w:t>, os dados demonstram que a violência de gênero continua sendo uma realidade alarmante, sobretudo entre mulheres negras, periféricas e em situação de vulnerabilidade, o que reforça a importância de uma abordagem interseccional para comp</w:t>
      </w:r>
      <w:r w:rsidR="004B0971" w:rsidRPr="00E2688B">
        <w:rPr>
          <w:sz w:val="24"/>
          <w:szCs w:val="24"/>
        </w:rPr>
        <w:t>reender e enfrentar o problema.</w:t>
      </w:r>
    </w:p>
    <w:p w14:paraId="177DE510" w14:textId="5E165CF0" w:rsidR="005002F3" w:rsidRPr="00E2688B" w:rsidRDefault="00896938" w:rsidP="00E2688B">
      <w:pPr>
        <w:pBdr>
          <w:top w:val="nil"/>
          <w:left w:val="nil"/>
          <w:bottom w:val="nil"/>
          <w:right w:val="nil"/>
          <w:between w:val="nil"/>
        </w:pBdr>
        <w:spacing w:line="360" w:lineRule="auto"/>
        <w:ind w:firstLine="708"/>
        <w:jc w:val="both"/>
        <w:rPr>
          <w:sz w:val="24"/>
          <w:szCs w:val="24"/>
        </w:rPr>
      </w:pPr>
      <w:r w:rsidRPr="00E2688B">
        <w:rPr>
          <w:sz w:val="24"/>
          <w:szCs w:val="24"/>
        </w:rPr>
        <w:t>Conclui-se que o enfrentamento à violência contra mulheres demanda muito mais do que respostas individuais de proteção. É necessária uma transformação estrutural e cultural, que passa pela desconstrução das normas sociais que naturalizam a desigualdade de gênero, pela promoção de políticas públicas efetivas com recorte interseccional e por estratégias educacionais que fomentem a equidade, o respeito às diversidades e a justiça social.</w:t>
      </w:r>
    </w:p>
    <w:p w14:paraId="1AF838E8" w14:textId="77777777" w:rsidR="009E1EC2" w:rsidRPr="00E2688B" w:rsidRDefault="009E1EC2" w:rsidP="00E2688B">
      <w:pPr>
        <w:pBdr>
          <w:top w:val="nil"/>
          <w:left w:val="nil"/>
          <w:bottom w:val="nil"/>
          <w:right w:val="nil"/>
          <w:between w:val="nil"/>
        </w:pBdr>
        <w:spacing w:line="240" w:lineRule="auto"/>
        <w:ind w:firstLine="708"/>
        <w:jc w:val="both"/>
        <w:rPr>
          <w:sz w:val="24"/>
          <w:szCs w:val="24"/>
        </w:rPr>
      </w:pPr>
    </w:p>
    <w:p w14:paraId="5A24C8A6" w14:textId="09832A4A" w:rsidR="003E2DF9" w:rsidRPr="00E2688B" w:rsidRDefault="005C5E60" w:rsidP="00E2688B">
      <w:pPr>
        <w:spacing w:line="240" w:lineRule="auto"/>
        <w:jc w:val="center"/>
        <w:rPr>
          <w:b/>
          <w:sz w:val="24"/>
          <w:szCs w:val="24"/>
        </w:rPr>
      </w:pPr>
      <w:r w:rsidRPr="00E2688B">
        <w:rPr>
          <w:b/>
          <w:sz w:val="24"/>
          <w:szCs w:val="24"/>
        </w:rPr>
        <w:t xml:space="preserve">REFERÊNCIAS </w:t>
      </w:r>
    </w:p>
    <w:p w14:paraId="2D67F301" w14:textId="77777777" w:rsidR="004B7093" w:rsidRPr="00E2688B" w:rsidRDefault="004B7093" w:rsidP="00E2688B">
      <w:pPr>
        <w:spacing w:line="240" w:lineRule="auto"/>
        <w:jc w:val="center"/>
        <w:rPr>
          <w:sz w:val="24"/>
          <w:szCs w:val="24"/>
        </w:rPr>
      </w:pPr>
    </w:p>
    <w:p w14:paraId="41259729" w14:textId="77777777" w:rsidR="003E2DF9" w:rsidRPr="00E2688B" w:rsidRDefault="003E2DF9" w:rsidP="00E2688B">
      <w:pPr>
        <w:pBdr>
          <w:top w:val="nil"/>
          <w:left w:val="nil"/>
          <w:bottom w:val="nil"/>
          <w:right w:val="nil"/>
          <w:between w:val="nil"/>
        </w:pBdr>
        <w:spacing w:line="240" w:lineRule="auto"/>
        <w:rPr>
          <w:sz w:val="24"/>
          <w:szCs w:val="24"/>
        </w:rPr>
      </w:pPr>
      <w:r w:rsidRPr="00E2688B">
        <w:rPr>
          <w:rStyle w:val="Forte"/>
          <w:sz w:val="24"/>
          <w:szCs w:val="24"/>
        </w:rPr>
        <w:t>ANUÁRIO BRASILEIRO DE SEGURANÇA PÚBLICA.</w:t>
      </w:r>
      <w:r w:rsidRPr="00E2688B">
        <w:rPr>
          <w:sz w:val="24"/>
          <w:szCs w:val="24"/>
        </w:rPr>
        <w:t xml:space="preserve"> 17. ed. São Paulo: Fórum Brasileiro de Segurança Pública, 2023. ISSN 1983</w:t>
      </w:r>
      <w:r w:rsidRPr="00E2688B">
        <w:rPr>
          <w:sz w:val="24"/>
          <w:szCs w:val="24"/>
        </w:rPr>
        <w:noBreakHyphen/>
        <w:t>7364.</w:t>
      </w:r>
    </w:p>
    <w:p w14:paraId="50327074" w14:textId="77777777" w:rsidR="003E2DF9" w:rsidRPr="00E2688B" w:rsidRDefault="003E2DF9" w:rsidP="00E2688B">
      <w:pPr>
        <w:pBdr>
          <w:top w:val="nil"/>
          <w:left w:val="nil"/>
          <w:bottom w:val="nil"/>
          <w:right w:val="nil"/>
          <w:between w:val="nil"/>
        </w:pBdr>
        <w:spacing w:line="240" w:lineRule="auto"/>
        <w:rPr>
          <w:sz w:val="24"/>
          <w:szCs w:val="24"/>
        </w:rPr>
      </w:pPr>
    </w:p>
    <w:p w14:paraId="7987BD5F" w14:textId="77777777" w:rsidR="00690997" w:rsidRPr="00E2688B" w:rsidRDefault="00690997" w:rsidP="00E2688B">
      <w:pPr>
        <w:pBdr>
          <w:top w:val="nil"/>
          <w:left w:val="nil"/>
          <w:bottom w:val="nil"/>
          <w:right w:val="nil"/>
          <w:between w:val="nil"/>
        </w:pBdr>
        <w:spacing w:line="240" w:lineRule="auto"/>
        <w:rPr>
          <w:sz w:val="24"/>
          <w:szCs w:val="24"/>
        </w:rPr>
      </w:pPr>
      <w:r w:rsidRPr="00E2688B">
        <w:rPr>
          <w:sz w:val="24"/>
          <w:szCs w:val="24"/>
        </w:rPr>
        <w:t xml:space="preserve">BUTLER, Judith. </w:t>
      </w:r>
      <w:r w:rsidRPr="00E2688B">
        <w:rPr>
          <w:rStyle w:val="nfase"/>
          <w:b/>
          <w:i w:val="0"/>
          <w:sz w:val="24"/>
          <w:szCs w:val="24"/>
        </w:rPr>
        <w:t>Problemas de gênero: feminismo e subversão da identidade</w:t>
      </w:r>
      <w:r w:rsidRPr="00E2688B">
        <w:rPr>
          <w:sz w:val="24"/>
          <w:szCs w:val="24"/>
        </w:rPr>
        <w:t>. Tradução de Renato Aguiar. 2. ed. Rio de Janeiro: Civilização Brasileira, 2016. (Original publicado em 1990).</w:t>
      </w:r>
    </w:p>
    <w:p w14:paraId="7F57ABC8" w14:textId="77777777" w:rsidR="006669FA" w:rsidRPr="00E2688B" w:rsidRDefault="006669FA" w:rsidP="00E2688B">
      <w:pPr>
        <w:spacing w:line="240" w:lineRule="auto"/>
        <w:rPr>
          <w:rFonts w:eastAsia="Times New Roman"/>
          <w:sz w:val="24"/>
          <w:szCs w:val="24"/>
        </w:rPr>
      </w:pPr>
    </w:p>
    <w:p w14:paraId="61662199" w14:textId="77777777" w:rsidR="006669FA" w:rsidRPr="00E2688B" w:rsidRDefault="006669FA" w:rsidP="00E2688B">
      <w:pPr>
        <w:spacing w:line="240" w:lineRule="auto"/>
        <w:rPr>
          <w:rFonts w:eastAsia="Times New Roman"/>
          <w:b/>
          <w:sz w:val="24"/>
          <w:szCs w:val="24"/>
        </w:rPr>
      </w:pPr>
      <w:proofErr w:type="gramStart"/>
      <w:r w:rsidRPr="00E2688B">
        <w:rPr>
          <w:rFonts w:eastAsia="Times New Roman"/>
          <w:sz w:val="24"/>
          <w:szCs w:val="24"/>
        </w:rPr>
        <w:t>BUTLER,  Judith</w:t>
      </w:r>
      <w:proofErr w:type="gramEnd"/>
      <w:r w:rsidRPr="00E2688B">
        <w:rPr>
          <w:rFonts w:eastAsia="Times New Roman"/>
          <w:sz w:val="24"/>
          <w:szCs w:val="24"/>
        </w:rPr>
        <w:t xml:space="preserve">.  Gênero, Trajetórias e perspectivas.  In: </w:t>
      </w:r>
      <w:r w:rsidRPr="00E2688B">
        <w:rPr>
          <w:rFonts w:eastAsia="Times New Roman"/>
          <w:b/>
          <w:sz w:val="24"/>
          <w:szCs w:val="24"/>
        </w:rPr>
        <w:t xml:space="preserve">Cadernos </w:t>
      </w:r>
      <w:proofErr w:type="spellStart"/>
      <w:r w:rsidRPr="00E2688B">
        <w:rPr>
          <w:rFonts w:eastAsia="Times New Roman"/>
          <w:b/>
          <w:sz w:val="24"/>
          <w:szCs w:val="24"/>
        </w:rPr>
        <w:t>Pagu</w:t>
      </w:r>
      <w:proofErr w:type="spellEnd"/>
      <w:r w:rsidRPr="00E2688B">
        <w:rPr>
          <w:rFonts w:eastAsia="Times New Roman"/>
          <w:b/>
          <w:sz w:val="24"/>
          <w:szCs w:val="24"/>
        </w:rPr>
        <w:t xml:space="preserve">. </w:t>
      </w:r>
    </w:p>
    <w:p w14:paraId="2623D3DC" w14:textId="77777777" w:rsidR="006669FA" w:rsidRPr="00E2688B" w:rsidRDefault="006669FA" w:rsidP="00E2688B">
      <w:pPr>
        <w:spacing w:line="240" w:lineRule="auto"/>
        <w:rPr>
          <w:rFonts w:eastAsia="Times New Roman"/>
          <w:sz w:val="24"/>
          <w:szCs w:val="24"/>
        </w:rPr>
      </w:pPr>
      <w:r w:rsidRPr="00E2688B">
        <w:rPr>
          <w:rFonts w:eastAsia="Times New Roman"/>
          <w:b/>
          <w:sz w:val="24"/>
          <w:szCs w:val="24"/>
        </w:rPr>
        <w:t>Trajetórias do gênero, masculinidades</w:t>
      </w:r>
      <w:r w:rsidRPr="00E2688B">
        <w:rPr>
          <w:rFonts w:eastAsia="Times New Roman"/>
          <w:sz w:val="24"/>
          <w:szCs w:val="24"/>
        </w:rPr>
        <w:t xml:space="preserve">. No.11. Campinas: </w:t>
      </w:r>
      <w:proofErr w:type="spellStart"/>
      <w:r w:rsidRPr="00E2688B">
        <w:rPr>
          <w:rFonts w:eastAsia="Times New Roman"/>
          <w:sz w:val="24"/>
          <w:szCs w:val="24"/>
        </w:rPr>
        <w:t>Pagu</w:t>
      </w:r>
      <w:proofErr w:type="spellEnd"/>
      <w:r w:rsidRPr="00E2688B">
        <w:rPr>
          <w:rFonts w:eastAsia="Times New Roman"/>
          <w:sz w:val="24"/>
          <w:szCs w:val="24"/>
        </w:rPr>
        <w:t xml:space="preserve">, 1998. </w:t>
      </w:r>
    </w:p>
    <w:p w14:paraId="47835A44" w14:textId="77777777" w:rsidR="006669FA" w:rsidRPr="00E2688B" w:rsidRDefault="006669FA" w:rsidP="00E2688B">
      <w:pPr>
        <w:spacing w:line="240" w:lineRule="auto"/>
        <w:rPr>
          <w:rFonts w:eastAsia="Times New Roman"/>
          <w:sz w:val="24"/>
          <w:szCs w:val="24"/>
        </w:rPr>
      </w:pPr>
    </w:p>
    <w:p w14:paraId="7CD989BB" w14:textId="77777777" w:rsidR="005002F3" w:rsidRPr="00E2688B" w:rsidRDefault="005C5E60" w:rsidP="00E2688B">
      <w:pPr>
        <w:spacing w:line="240" w:lineRule="auto"/>
        <w:rPr>
          <w:sz w:val="24"/>
          <w:szCs w:val="24"/>
        </w:rPr>
      </w:pPr>
      <w:r w:rsidRPr="00E2688B">
        <w:rPr>
          <w:sz w:val="24"/>
          <w:szCs w:val="24"/>
        </w:rPr>
        <w:t xml:space="preserve">BRASIL. Lei 11.340/2006. </w:t>
      </w:r>
      <w:r w:rsidRPr="00E2688B">
        <w:rPr>
          <w:b/>
          <w:sz w:val="24"/>
          <w:szCs w:val="24"/>
        </w:rPr>
        <w:t>Lei Maria da Penha</w:t>
      </w:r>
      <w:r w:rsidRPr="00E2688B">
        <w:rPr>
          <w:sz w:val="24"/>
          <w:szCs w:val="24"/>
        </w:rPr>
        <w:t>. Brasília, 2006</w:t>
      </w:r>
    </w:p>
    <w:p w14:paraId="4085C31E" w14:textId="77777777" w:rsidR="005002F3" w:rsidRPr="00E2688B" w:rsidRDefault="005002F3" w:rsidP="00E2688B">
      <w:pPr>
        <w:spacing w:line="240" w:lineRule="auto"/>
        <w:rPr>
          <w:sz w:val="24"/>
          <w:szCs w:val="24"/>
        </w:rPr>
      </w:pPr>
    </w:p>
    <w:p w14:paraId="669B3D39" w14:textId="77777777" w:rsidR="005002F3" w:rsidRPr="00E2688B" w:rsidRDefault="005C5E60" w:rsidP="00E2688B">
      <w:pPr>
        <w:spacing w:line="240" w:lineRule="auto"/>
        <w:rPr>
          <w:sz w:val="24"/>
          <w:szCs w:val="24"/>
        </w:rPr>
      </w:pPr>
      <w:r w:rsidRPr="00E2688B">
        <w:rPr>
          <w:sz w:val="24"/>
          <w:szCs w:val="24"/>
        </w:rPr>
        <w:t xml:space="preserve">BRASIL. Lei 13.104/2015. </w:t>
      </w:r>
      <w:r w:rsidRPr="00E2688B">
        <w:rPr>
          <w:b/>
          <w:sz w:val="24"/>
          <w:szCs w:val="24"/>
        </w:rPr>
        <w:t xml:space="preserve">Lei do </w:t>
      </w:r>
      <w:proofErr w:type="spellStart"/>
      <w:r w:rsidRPr="00E2688B">
        <w:rPr>
          <w:b/>
          <w:sz w:val="24"/>
          <w:szCs w:val="24"/>
        </w:rPr>
        <w:t>Feminicídio</w:t>
      </w:r>
      <w:proofErr w:type="spellEnd"/>
      <w:r w:rsidRPr="00E2688B">
        <w:rPr>
          <w:sz w:val="24"/>
          <w:szCs w:val="24"/>
        </w:rPr>
        <w:t>. Brasília, 2015.</w:t>
      </w:r>
    </w:p>
    <w:p w14:paraId="2372510B" w14:textId="77777777" w:rsidR="00F87E11" w:rsidRPr="00E2688B" w:rsidRDefault="00F87E11" w:rsidP="00E2688B">
      <w:pPr>
        <w:spacing w:line="240" w:lineRule="auto"/>
        <w:rPr>
          <w:sz w:val="24"/>
          <w:szCs w:val="24"/>
        </w:rPr>
      </w:pPr>
    </w:p>
    <w:p w14:paraId="6F2A7958" w14:textId="03CAAF49" w:rsidR="00F87E11" w:rsidRPr="00E2688B" w:rsidRDefault="00F87E11" w:rsidP="00E2688B">
      <w:pPr>
        <w:pBdr>
          <w:top w:val="nil"/>
          <w:left w:val="nil"/>
          <w:bottom w:val="nil"/>
          <w:right w:val="nil"/>
          <w:between w:val="nil"/>
        </w:pBdr>
        <w:spacing w:line="240" w:lineRule="auto"/>
        <w:rPr>
          <w:sz w:val="24"/>
          <w:szCs w:val="24"/>
        </w:rPr>
      </w:pPr>
      <w:r w:rsidRPr="00E2688B">
        <w:rPr>
          <w:sz w:val="24"/>
          <w:szCs w:val="24"/>
        </w:rPr>
        <w:t>BRASIL. Ministério das Mulheres</w:t>
      </w:r>
      <w:r w:rsidRPr="00E2688B">
        <w:rPr>
          <w:i/>
          <w:sz w:val="24"/>
          <w:szCs w:val="24"/>
        </w:rPr>
        <w:t xml:space="preserve">. </w:t>
      </w:r>
      <w:r w:rsidRPr="00E2688B">
        <w:rPr>
          <w:rStyle w:val="nfase"/>
          <w:b/>
          <w:i w:val="0"/>
          <w:sz w:val="24"/>
          <w:szCs w:val="24"/>
        </w:rPr>
        <w:t>Relatório de atendimento 180 – Disque</w:t>
      </w:r>
      <w:r w:rsidRPr="00E2688B">
        <w:rPr>
          <w:rStyle w:val="nfase"/>
          <w:b/>
          <w:i w:val="0"/>
          <w:sz w:val="24"/>
          <w:szCs w:val="24"/>
        </w:rPr>
        <w:noBreakHyphen/>
        <w:t>denúncia contra a violência à mulher</w:t>
      </w:r>
      <w:r w:rsidRPr="00E2688B">
        <w:rPr>
          <w:b/>
          <w:i/>
          <w:sz w:val="24"/>
          <w:szCs w:val="24"/>
        </w:rPr>
        <w:t>, 2023</w:t>
      </w:r>
      <w:r w:rsidRPr="00E2688B">
        <w:rPr>
          <w:i/>
          <w:sz w:val="24"/>
          <w:szCs w:val="24"/>
        </w:rPr>
        <w:t xml:space="preserve">. </w:t>
      </w:r>
    </w:p>
    <w:p w14:paraId="4B7E13A3" w14:textId="77777777" w:rsidR="00F87E11" w:rsidRPr="00E2688B" w:rsidRDefault="00F87E11" w:rsidP="00E2688B">
      <w:pPr>
        <w:pBdr>
          <w:top w:val="nil"/>
          <w:left w:val="nil"/>
          <w:bottom w:val="nil"/>
          <w:right w:val="nil"/>
          <w:between w:val="nil"/>
        </w:pBdr>
        <w:spacing w:line="240" w:lineRule="auto"/>
        <w:rPr>
          <w:sz w:val="24"/>
          <w:szCs w:val="24"/>
        </w:rPr>
      </w:pPr>
    </w:p>
    <w:p w14:paraId="3EC438FE" w14:textId="2DBFC901" w:rsidR="00F87E11" w:rsidRPr="00E2688B" w:rsidRDefault="00F87E11" w:rsidP="00E2688B">
      <w:pPr>
        <w:pBdr>
          <w:top w:val="nil"/>
          <w:left w:val="nil"/>
          <w:bottom w:val="nil"/>
          <w:right w:val="nil"/>
          <w:between w:val="nil"/>
        </w:pBdr>
        <w:spacing w:line="240" w:lineRule="auto"/>
        <w:rPr>
          <w:sz w:val="24"/>
          <w:szCs w:val="24"/>
        </w:rPr>
      </w:pPr>
      <w:r w:rsidRPr="00E2688B">
        <w:rPr>
          <w:sz w:val="24"/>
          <w:szCs w:val="24"/>
        </w:rPr>
        <w:lastRenderedPageBreak/>
        <w:t xml:space="preserve">BRASIL. Agência Brasil. </w:t>
      </w:r>
      <w:r w:rsidRPr="00E2688B">
        <w:rPr>
          <w:rStyle w:val="nfase"/>
          <w:i w:val="0"/>
          <w:sz w:val="24"/>
          <w:szCs w:val="24"/>
        </w:rPr>
        <w:t>Somente 20 % das mulheres brasileiras conhecem bem a Lei Maria da Penha</w:t>
      </w:r>
      <w:r w:rsidRPr="00E2688B">
        <w:rPr>
          <w:i/>
          <w:sz w:val="24"/>
          <w:szCs w:val="24"/>
        </w:rPr>
        <w:t xml:space="preserve">. </w:t>
      </w:r>
      <w:r w:rsidRPr="00E2688B">
        <w:rPr>
          <w:sz w:val="24"/>
          <w:szCs w:val="24"/>
        </w:rPr>
        <w:t xml:space="preserve">São Paulo: </w:t>
      </w:r>
      <w:r w:rsidRPr="00E2688B">
        <w:rPr>
          <w:b/>
          <w:sz w:val="24"/>
          <w:szCs w:val="24"/>
        </w:rPr>
        <w:t>Agência Brasil, 28 fev. 2024</w:t>
      </w:r>
      <w:r w:rsidRPr="00E2688B">
        <w:rPr>
          <w:sz w:val="24"/>
          <w:szCs w:val="24"/>
        </w:rPr>
        <w:t xml:space="preserve">. </w:t>
      </w:r>
    </w:p>
    <w:p w14:paraId="08CB4DE1" w14:textId="77777777" w:rsidR="00F87E11" w:rsidRPr="00E2688B" w:rsidRDefault="00F87E11" w:rsidP="00E2688B">
      <w:pPr>
        <w:pBdr>
          <w:top w:val="nil"/>
          <w:left w:val="nil"/>
          <w:bottom w:val="nil"/>
          <w:right w:val="nil"/>
          <w:between w:val="nil"/>
        </w:pBdr>
        <w:spacing w:line="240" w:lineRule="auto"/>
        <w:rPr>
          <w:sz w:val="24"/>
          <w:szCs w:val="24"/>
        </w:rPr>
      </w:pPr>
    </w:p>
    <w:p w14:paraId="7A776FE6" w14:textId="318F04C1" w:rsidR="00F87E11" w:rsidRPr="00E2688B" w:rsidRDefault="00F87E11" w:rsidP="00E2688B">
      <w:pPr>
        <w:pBdr>
          <w:top w:val="nil"/>
          <w:left w:val="nil"/>
          <w:bottom w:val="nil"/>
          <w:right w:val="nil"/>
          <w:between w:val="nil"/>
        </w:pBdr>
        <w:spacing w:line="240" w:lineRule="auto"/>
        <w:rPr>
          <w:sz w:val="24"/>
          <w:szCs w:val="24"/>
        </w:rPr>
      </w:pPr>
      <w:r w:rsidRPr="00E2688B">
        <w:rPr>
          <w:sz w:val="24"/>
          <w:szCs w:val="24"/>
        </w:rPr>
        <w:t xml:space="preserve">CÂMARA DOS DEPUTADOS. </w:t>
      </w:r>
      <w:r w:rsidRPr="00E2688B">
        <w:rPr>
          <w:rStyle w:val="nfase"/>
          <w:b/>
          <w:i w:val="0"/>
          <w:sz w:val="24"/>
          <w:szCs w:val="24"/>
        </w:rPr>
        <w:t>Exposição “21 Dias de Ativismo</w:t>
      </w:r>
      <w:r w:rsidRPr="00E2688B">
        <w:rPr>
          <w:rStyle w:val="nfase"/>
          <w:b/>
          <w:sz w:val="24"/>
          <w:szCs w:val="24"/>
        </w:rPr>
        <w:t>” – Painel sobre violência doméstica</w:t>
      </w:r>
      <w:r w:rsidRPr="00E2688B">
        <w:rPr>
          <w:b/>
          <w:sz w:val="24"/>
          <w:szCs w:val="24"/>
        </w:rPr>
        <w:t>.</w:t>
      </w:r>
      <w:r w:rsidRPr="00E2688B">
        <w:rPr>
          <w:sz w:val="24"/>
          <w:szCs w:val="24"/>
        </w:rPr>
        <w:t xml:space="preserve"> Brasília: Câmara dos Deputados, 2024. </w:t>
      </w:r>
    </w:p>
    <w:p w14:paraId="530CCF7A" w14:textId="77777777" w:rsidR="00F87E11" w:rsidRPr="00E2688B" w:rsidRDefault="00F87E11" w:rsidP="00E2688B">
      <w:pPr>
        <w:pBdr>
          <w:top w:val="nil"/>
          <w:left w:val="nil"/>
          <w:bottom w:val="nil"/>
          <w:right w:val="nil"/>
          <w:between w:val="nil"/>
        </w:pBdr>
        <w:spacing w:line="240" w:lineRule="auto"/>
        <w:rPr>
          <w:sz w:val="24"/>
          <w:szCs w:val="24"/>
        </w:rPr>
      </w:pPr>
    </w:p>
    <w:p w14:paraId="2D805E27" w14:textId="73AFEAC6" w:rsidR="00F87E11" w:rsidRPr="00E2688B" w:rsidRDefault="00F87E11" w:rsidP="00E2688B">
      <w:pPr>
        <w:pBdr>
          <w:top w:val="nil"/>
          <w:left w:val="nil"/>
          <w:bottom w:val="nil"/>
          <w:right w:val="nil"/>
          <w:between w:val="nil"/>
        </w:pBdr>
        <w:spacing w:line="240" w:lineRule="auto"/>
        <w:rPr>
          <w:sz w:val="24"/>
          <w:szCs w:val="24"/>
        </w:rPr>
      </w:pPr>
      <w:r w:rsidRPr="00E2688B">
        <w:rPr>
          <w:sz w:val="24"/>
          <w:szCs w:val="24"/>
        </w:rPr>
        <w:t xml:space="preserve">CONSELHO NACIONAL DE JUSTIÇA. </w:t>
      </w:r>
      <w:r w:rsidRPr="00E2688B">
        <w:rPr>
          <w:rStyle w:val="nfase"/>
          <w:b/>
          <w:i w:val="0"/>
          <w:sz w:val="24"/>
          <w:szCs w:val="24"/>
        </w:rPr>
        <w:t>Painel da Violência Doméstica – Dados 2024: processos judiciais relacionados à Lei Maria da Penha</w:t>
      </w:r>
      <w:r w:rsidRPr="00E2688B">
        <w:rPr>
          <w:i/>
          <w:sz w:val="24"/>
          <w:szCs w:val="24"/>
        </w:rPr>
        <w:t>.</w:t>
      </w:r>
      <w:r w:rsidRPr="00E2688B">
        <w:rPr>
          <w:sz w:val="24"/>
          <w:szCs w:val="24"/>
        </w:rPr>
        <w:t xml:space="preserve"> Brasília: CNJ, 2025. </w:t>
      </w:r>
    </w:p>
    <w:p w14:paraId="30A8C80C" w14:textId="77777777" w:rsidR="00F87E11" w:rsidRPr="00E2688B" w:rsidRDefault="00F87E11" w:rsidP="00E2688B">
      <w:pPr>
        <w:pBdr>
          <w:top w:val="nil"/>
          <w:left w:val="nil"/>
          <w:bottom w:val="nil"/>
          <w:right w:val="nil"/>
          <w:between w:val="nil"/>
        </w:pBdr>
        <w:spacing w:line="240" w:lineRule="auto"/>
        <w:rPr>
          <w:sz w:val="24"/>
          <w:szCs w:val="24"/>
        </w:rPr>
      </w:pPr>
    </w:p>
    <w:p w14:paraId="560F51F2" w14:textId="7C0FC377" w:rsidR="00F87E11" w:rsidRPr="00E2688B" w:rsidRDefault="00F87E11" w:rsidP="00E2688B">
      <w:pPr>
        <w:pBdr>
          <w:top w:val="nil"/>
          <w:left w:val="nil"/>
          <w:bottom w:val="nil"/>
          <w:right w:val="nil"/>
          <w:between w:val="nil"/>
        </w:pBdr>
        <w:spacing w:line="240" w:lineRule="auto"/>
        <w:rPr>
          <w:sz w:val="24"/>
          <w:szCs w:val="24"/>
        </w:rPr>
      </w:pPr>
      <w:r w:rsidRPr="00E2688B">
        <w:rPr>
          <w:sz w:val="24"/>
          <w:szCs w:val="24"/>
        </w:rPr>
        <w:t xml:space="preserve">CONSELHO NACIONAL DE JUSTIÇA. </w:t>
      </w:r>
      <w:r w:rsidRPr="00E2688B">
        <w:rPr>
          <w:rStyle w:val="nfase"/>
          <w:b/>
          <w:i w:val="0"/>
          <w:sz w:val="24"/>
          <w:szCs w:val="24"/>
        </w:rPr>
        <w:t>Painel de monitoramento da violência contra a mulher – Dados 2024: medidas protetivas de urgência</w:t>
      </w:r>
      <w:r w:rsidRPr="00E2688B">
        <w:rPr>
          <w:sz w:val="24"/>
          <w:szCs w:val="24"/>
        </w:rPr>
        <w:t xml:space="preserve">. Brasília: CNJ, 2025. </w:t>
      </w:r>
    </w:p>
    <w:p w14:paraId="6C88A00D" w14:textId="77777777" w:rsidR="005002F3" w:rsidRPr="00E2688B" w:rsidRDefault="005002F3" w:rsidP="00E2688B">
      <w:pPr>
        <w:spacing w:line="240" w:lineRule="auto"/>
        <w:rPr>
          <w:sz w:val="24"/>
          <w:szCs w:val="24"/>
        </w:rPr>
      </w:pPr>
    </w:p>
    <w:p w14:paraId="50710596" w14:textId="77777777" w:rsidR="005002F3" w:rsidRPr="00E2688B" w:rsidRDefault="005C5E60" w:rsidP="00E2688B">
      <w:pPr>
        <w:spacing w:line="240" w:lineRule="auto"/>
        <w:rPr>
          <w:sz w:val="24"/>
          <w:szCs w:val="24"/>
        </w:rPr>
      </w:pPr>
      <w:r w:rsidRPr="00E2688B">
        <w:rPr>
          <w:sz w:val="24"/>
          <w:szCs w:val="24"/>
        </w:rPr>
        <w:t xml:space="preserve">COLLINS, </w:t>
      </w:r>
      <w:proofErr w:type="spellStart"/>
      <w:r w:rsidRPr="00E2688B">
        <w:rPr>
          <w:sz w:val="24"/>
          <w:szCs w:val="24"/>
        </w:rPr>
        <w:t>Patricia</w:t>
      </w:r>
      <w:proofErr w:type="spellEnd"/>
      <w:r w:rsidRPr="00E2688B">
        <w:rPr>
          <w:sz w:val="24"/>
          <w:szCs w:val="24"/>
        </w:rPr>
        <w:t xml:space="preserve"> Hill. </w:t>
      </w:r>
      <w:r w:rsidRPr="00E2688B">
        <w:rPr>
          <w:b/>
          <w:sz w:val="24"/>
          <w:szCs w:val="24"/>
        </w:rPr>
        <w:t xml:space="preserve">Pensamento feminista negro: saberes, consciências e a política do </w:t>
      </w:r>
      <w:proofErr w:type="spellStart"/>
      <w:r w:rsidRPr="00E2688B">
        <w:rPr>
          <w:b/>
          <w:sz w:val="24"/>
          <w:szCs w:val="24"/>
        </w:rPr>
        <w:t>empoderamento</w:t>
      </w:r>
      <w:proofErr w:type="spellEnd"/>
      <w:r w:rsidRPr="00E2688B">
        <w:rPr>
          <w:b/>
          <w:sz w:val="24"/>
          <w:szCs w:val="24"/>
        </w:rPr>
        <w:t>.</w:t>
      </w:r>
      <w:r w:rsidRPr="00E2688B">
        <w:rPr>
          <w:sz w:val="24"/>
          <w:szCs w:val="24"/>
        </w:rPr>
        <w:t xml:space="preserve"> São Paulo: </w:t>
      </w:r>
      <w:proofErr w:type="spellStart"/>
      <w:r w:rsidRPr="00E2688B">
        <w:rPr>
          <w:sz w:val="24"/>
          <w:szCs w:val="24"/>
        </w:rPr>
        <w:t>Boitempo</w:t>
      </w:r>
      <w:proofErr w:type="spellEnd"/>
      <w:r w:rsidRPr="00E2688B">
        <w:rPr>
          <w:sz w:val="24"/>
          <w:szCs w:val="24"/>
        </w:rPr>
        <w:t>, 2019.</w:t>
      </w:r>
    </w:p>
    <w:p w14:paraId="1AF036DE" w14:textId="77777777" w:rsidR="005002F3" w:rsidRPr="00E2688B" w:rsidRDefault="005002F3" w:rsidP="00E2688B">
      <w:pPr>
        <w:spacing w:line="240" w:lineRule="auto"/>
        <w:rPr>
          <w:sz w:val="24"/>
          <w:szCs w:val="24"/>
        </w:rPr>
      </w:pPr>
    </w:p>
    <w:p w14:paraId="0C75A14B" w14:textId="77777777" w:rsidR="005002F3" w:rsidRPr="00E2688B" w:rsidRDefault="005C5E60" w:rsidP="00E2688B">
      <w:pPr>
        <w:spacing w:line="240" w:lineRule="auto"/>
        <w:rPr>
          <w:sz w:val="24"/>
          <w:szCs w:val="24"/>
        </w:rPr>
      </w:pPr>
      <w:r w:rsidRPr="00E2688B">
        <w:rPr>
          <w:sz w:val="24"/>
          <w:szCs w:val="24"/>
        </w:rPr>
        <w:t xml:space="preserve">CRENSHAW, </w:t>
      </w:r>
      <w:proofErr w:type="spellStart"/>
      <w:r w:rsidRPr="00E2688B">
        <w:rPr>
          <w:sz w:val="24"/>
          <w:szCs w:val="24"/>
        </w:rPr>
        <w:t>Kimberlé</w:t>
      </w:r>
      <w:proofErr w:type="spellEnd"/>
      <w:r w:rsidRPr="00E2688B">
        <w:rPr>
          <w:sz w:val="24"/>
          <w:szCs w:val="24"/>
        </w:rPr>
        <w:t xml:space="preserve">. </w:t>
      </w:r>
      <w:proofErr w:type="spellStart"/>
      <w:r w:rsidRPr="00E2688B">
        <w:rPr>
          <w:b/>
          <w:i/>
          <w:sz w:val="24"/>
          <w:szCs w:val="24"/>
        </w:rPr>
        <w:t>Mapping</w:t>
      </w:r>
      <w:proofErr w:type="spellEnd"/>
      <w:r w:rsidRPr="00E2688B">
        <w:rPr>
          <w:b/>
          <w:i/>
          <w:sz w:val="24"/>
          <w:szCs w:val="24"/>
        </w:rPr>
        <w:t xml:space="preserve"> </w:t>
      </w:r>
      <w:proofErr w:type="spellStart"/>
      <w:r w:rsidRPr="00E2688B">
        <w:rPr>
          <w:b/>
          <w:i/>
          <w:sz w:val="24"/>
          <w:szCs w:val="24"/>
        </w:rPr>
        <w:t>the</w:t>
      </w:r>
      <w:proofErr w:type="spellEnd"/>
      <w:r w:rsidRPr="00E2688B">
        <w:rPr>
          <w:b/>
          <w:i/>
          <w:sz w:val="24"/>
          <w:szCs w:val="24"/>
        </w:rPr>
        <w:t xml:space="preserve"> </w:t>
      </w:r>
      <w:proofErr w:type="spellStart"/>
      <w:r w:rsidRPr="00E2688B">
        <w:rPr>
          <w:b/>
          <w:i/>
          <w:sz w:val="24"/>
          <w:szCs w:val="24"/>
        </w:rPr>
        <w:t>margins</w:t>
      </w:r>
      <w:proofErr w:type="spellEnd"/>
      <w:r w:rsidRPr="00E2688B">
        <w:rPr>
          <w:b/>
          <w:i/>
          <w:sz w:val="24"/>
          <w:szCs w:val="24"/>
        </w:rPr>
        <w:t xml:space="preserve">: </w:t>
      </w:r>
      <w:proofErr w:type="spellStart"/>
      <w:r w:rsidRPr="00E2688B">
        <w:rPr>
          <w:b/>
          <w:i/>
          <w:sz w:val="24"/>
          <w:szCs w:val="24"/>
        </w:rPr>
        <w:t>Intersectionality</w:t>
      </w:r>
      <w:proofErr w:type="spellEnd"/>
      <w:r w:rsidRPr="00E2688B">
        <w:rPr>
          <w:b/>
          <w:i/>
          <w:sz w:val="24"/>
          <w:szCs w:val="24"/>
        </w:rPr>
        <w:t xml:space="preserve">, </w:t>
      </w:r>
      <w:proofErr w:type="spellStart"/>
      <w:r w:rsidRPr="00E2688B">
        <w:rPr>
          <w:b/>
          <w:i/>
          <w:sz w:val="24"/>
          <w:szCs w:val="24"/>
        </w:rPr>
        <w:t>identity</w:t>
      </w:r>
      <w:proofErr w:type="spellEnd"/>
      <w:r w:rsidRPr="00E2688B">
        <w:rPr>
          <w:b/>
          <w:i/>
          <w:sz w:val="24"/>
          <w:szCs w:val="24"/>
        </w:rPr>
        <w:t xml:space="preserve"> </w:t>
      </w:r>
      <w:proofErr w:type="spellStart"/>
      <w:r w:rsidRPr="00E2688B">
        <w:rPr>
          <w:b/>
          <w:i/>
          <w:sz w:val="24"/>
          <w:szCs w:val="24"/>
        </w:rPr>
        <w:t>politics</w:t>
      </w:r>
      <w:proofErr w:type="spellEnd"/>
      <w:r w:rsidRPr="00E2688B">
        <w:rPr>
          <w:b/>
          <w:i/>
          <w:sz w:val="24"/>
          <w:szCs w:val="24"/>
        </w:rPr>
        <w:t xml:space="preserve">, </w:t>
      </w:r>
      <w:proofErr w:type="spellStart"/>
      <w:r w:rsidRPr="00E2688B">
        <w:rPr>
          <w:b/>
          <w:i/>
          <w:sz w:val="24"/>
          <w:szCs w:val="24"/>
        </w:rPr>
        <w:t>and</w:t>
      </w:r>
      <w:proofErr w:type="spellEnd"/>
      <w:r w:rsidRPr="00E2688B">
        <w:rPr>
          <w:b/>
          <w:i/>
          <w:sz w:val="24"/>
          <w:szCs w:val="24"/>
        </w:rPr>
        <w:t xml:space="preserve"> </w:t>
      </w:r>
      <w:proofErr w:type="spellStart"/>
      <w:r w:rsidRPr="00E2688B">
        <w:rPr>
          <w:b/>
          <w:i/>
          <w:sz w:val="24"/>
          <w:szCs w:val="24"/>
        </w:rPr>
        <w:t>violence</w:t>
      </w:r>
      <w:proofErr w:type="spellEnd"/>
      <w:r w:rsidRPr="00E2688B">
        <w:rPr>
          <w:b/>
          <w:i/>
          <w:sz w:val="24"/>
          <w:szCs w:val="24"/>
        </w:rPr>
        <w:t xml:space="preserve"> </w:t>
      </w:r>
      <w:proofErr w:type="spellStart"/>
      <w:r w:rsidRPr="00E2688B">
        <w:rPr>
          <w:b/>
          <w:i/>
          <w:sz w:val="24"/>
          <w:szCs w:val="24"/>
        </w:rPr>
        <w:t>against</w:t>
      </w:r>
      <w:proofErr w:type="spellEnd"/>
      <w:r w:rsidRPr="00E2688B">
        <w:rPr>
          <w:b/>
          <w:i/>
          <w:sz w:val="24"/>
          <w:szCs w:val="24"/>
        </w:rPr>
        <w:t xml:space="preserve"> </w:t>
      </w:r>
      <w:proofErr w:type="spellStart"/>
      <w:r w:rsidRPr="00E2688B">
        <w:rPr>
          <w:b/>
          <w:i/>
          <w:sz w:val="24"/>
          <w:szCs w:val="24"/>
        </w:rPr>
        <w:t>women</w:t>
      </w:r>
      <w:proofErr w:type="spellEnd"/>
      <w:r w:rsidRPr="00E2688B">
        <w:rPr>
          <w:b/>
          <w:i/>
          <w:sz w:val="24"/>
          <w:szCs w:val="24"/>
        </w:rPr>
        <w:t xml:space="preserve"> </w:t>
      </w:r>
      <w:proofErr w:type="spellStart"/>
      <w:r w:rsidRPr="00E2688B">
        <w:rPr>
          <w:b/>
          <w:i/>
          <w:sz w:val="24"/>
          <w:szCs w:val="24"/>
        </w:rPr>
        <w:t>of</w:t>
      </w:r>
      <w:proofErr w:type="spellEnd"/>
      <w:r w:rsidRPr="00E2688B">
        <w:rPr>
          <w:b/>
          <w:i/>
          <w:sz w:val="24"/>
          <w:szCs w:val="24"/>
        </w:rPr>
        <w:t xml:space="preserve"> color.</w:t>
      </w:r>
      <w:r w:rsidRPr="00E2688B">
        <w:rPr>
          <w:sz w:val="24"/>
          <w:szCs w:val="24"/>
        </w:rPr>
        <w:t xml:space="preserve"> Stanford Law </w:t>
      </w:r>
      <w:proofErr w:type="spellStart"/>
      <w:r w:rsidRPr="00E2688B">
        <w:rPr>
          <w:sz w:val="24"/>
          <w:szCs w:val="24"/>
        </w:rPr>
        <w:t>Review</w:t>
      </w:r>
      <w:proofErr w:type="spellEnd"/>
      <w:r w:rsidRPr="00E2688B">
        <w:rPr>
          <w:sz w:val="24"/>
          <w:szCs w:val="24"/>
        </w:rPr>
        <w:t>, 1991.</w:t>
      </w:r>
    </w:p>
    <w:p w14:paraId="17B96808" w14:textId="77777777" w:rsidR="005002F3" w:rsidRPr="00E2688B" w:rsidRDefault="005002F3" w:rsidP="00E2688B">
      <w:pPr>
        <w:spacing w:line="240" w:lineRule="auto"/>
        <w:rPr>
          <w:sz w:val="24"/>
          <w:szCs w:val="24"/>
        </w:rPr>
      </w:pPr>
    </w:p>
    <w:p w14:paraId="198CD871" w14:textId="77777777" w:rsidR="005002F3" w:rsidRPr="00E2688B" w:rsidRDefault="005C5E60" w:rsidP="00E2688B">
      <w:pPr>
        <w:spacing w:line="240" w:lineRule="auto"/>
        <w:rPr>
          <w:sz w:val="24"/>
          <w:szCs w:val="24"/>
        </w:rPr>
      </w:pPr>
      <w:r w:rsidRPr="00E2688B">
        <w:rPr>
          <w:sz w:val="24"/>
          <w:szCs w:val="24"/>
        </w:rPr>
        <w:t xml:space="preserve">FÓRUM BRASILEIRO DE SEGURANÇA PÚBLICA. Anuário Brasileiro de Segurança Pública. São Paulo: </w:t>
      </w:r>
      <w:r w:rsidRPr="00E2688B">
        <w:rPr>
          <w:b/>
          <w:sz w:val="24"/>
          <w:szCs w:val="24"/>
        </w:rPr>
        <w:t>Fórum Brasileiro de Segurança Pública</w:t>
      </w:r>
      <w:r w:rsidRPr="00E2688B">
        <w:rPr>
          <w:sz w:val="24"/>
          <w:szCs w:val="24"/>
        </w:rPr>
        <w:t>, 2023.</w:t>
      </w:r>
    </w:p>
    <w:p w14:paraId="2A821557" w14:textId="77777777" w:rsidR="00650619" w:rsidRPr="00E2688B" w:rsidRDefault="00650619" w:rsidP="00E2688B">
      <w:pPr>
        <w:spacing w:line="240" w:lineRule="auto"/>
        <w:rPr>
          <w:sz w:val="24"/>
          <w:szCs w:val="24"/>
        </w:rPr>
      </w:pPr>
    </w:p>
    <w:p w14:paraId="4B5818CE" w14:textId="77777777" w:rsidR="005002F3" w:rsidRPr="00E2688B" w:rsidRDefault="005C5E60" w:rsidP="00E2688B">
      <w:pPr>
        <w:spacing w:line="240" w:lineRule="auto"/>
        <w:rPr>
          <w:sz w:val="24"/>
          <w:szCs w:val="24"/>
        </w:rPr>
      </w:pPr>
      <w:r w:rsidRPr="00E2688B">
        <w:rPr>
          <w:sz w:val="24"/>
          <w:szCs w:val="24"/>
        </w:rPr>
        <w:t xml:space="preserve">GILLIGAN, Carol. </w:t>
      </w:r>
      <w:r w:rsidRPr="00E2688B">
        <w:rPr>
          <w:b/>
          <w:sz w:val="24"/>
          <w:szCs w:val="24"/>
        </w:rPr>
        <w:t xml:space="preserve">In a </w:t>
      </w:r>
      <w:proofErr w:type="spellStart"/>
      <w:r w:rsidRPr="00E2688B">
        <w:rPr>
          <w:b/>
          <w:sz w:val="24"/>
          <w:szCs w:val="24"/>
        </w:rPr>
        <w:t>Different</w:t>
      </w:r>
      <w:proofErr w:type="spellEnd"/>
      <w:r w:rsidRPr="00E2688B">
        <w:rPr>
          <w:b/>
          <w:sz w:val="24"/>
          <w:szCs w:val="24"/>
        </w:rPr>
        <w:t xml:space="preserve"> </w:t>
      </w:r>
      <w:proofErr w:type="spellStart"/>
      <w:r w:rsidRPr="00E2688B">
        <w:rPr>
          <w:b/>
          <w:sz w:val="24"/>
          <w:szCs w:val="24"/>
        </w:rPr>
        <w:t>Voice</w:t>
      </w:r>
      <w:proofErr w:type="spellEnd"/>
      <w:r w:rsidRPr="00E2688B">
        <w:rPr>
          <w:sz w:val="24"/>
          <w:szCs w:val="24"/>
        </w:rPr>
        <w:t xml:space="preserve">. Harvard </w:t>
      </w:r>
      <w:proofErr w:type="spellStart"/>
      <w:r w:rsidRPr="00E2688B">
        <w:rPr>
          <w:sz w:val="24"/>
          <w:szCs w:val="24"/>
        </w:rPr>
        <w:t>University</w:t>
      </w:r>
      <w:proofErr w:type="spellEnd"/>
      <w:r w:rsidRPr="00E2688B">
        <w:rPr>
          <w:sz w:val="24"/>
          <w:szCs w:val="24"/>
        </w:rPr>
        <w:t xml:space="preserve"> Press, 1982.</w:t>
      </w:r>
    </w:p>
    <w:p w14:paraId="34953B91" w14:textId="77777777" w:rsidR="005C3ACB" w:rsidRPr="00E2688B" w:rsidRDefault="005C3ACB" w:rsidP="00E2688B">
      <w:pPr>
        <w:spacing w:line="240" w:lineRule="auto"/>
        <w:rPr>
          <w:sz w:val="24"/>
          <w:szCs w:val="24"/>
        </w:rPr>
      </w:pPr>
    </w:p>
    <w:p w14:paraId="7525575B" w14:textId="77777777" w:rsidR="005C3ACB" w:rsidRPr="00E2688B" w:rsidRDefault="005C3ACB" w:rsidP="00E2688B">
      <w:pPr>
        <w:pBdr>
          <w:top w:val="nil"/>
          <w:left w:val="nil"/>
          <w:bottom w:val="nil"/>
          <w:right w:val="nil"/>
          <w:between w:val="nil"/>
        </w:pBdr>
        <w:spacing w:line="240" w:lineRule="auto"/>
        <w:rPr>
          <w:rStyle w:val="Forte"/>
          <w:b w:val="0"/>
          <w:bCs w:val="0"/>
          <w:i/>
          <w:sz w:val="24"/>
          <w:szCs w:val="24"/>
        </w:rPr>
      </w:pPr>
      <w:r w:rsidRPr="00E2688B">
        <w:rPr>
          <w:sz w:val="24"/>
          <w:szCs w:val="24"/>
        </w:rPr>
        <w:t xml:space="preserve">GONZALEZ, Lélia. </w:t>
      </w:r>
      <w:r w:rsidRPr="00E2688B">
        <w:rPr>
          <w:rStyle w:val="nfase"/>
          <w:i w:val="0"/>
          <w:sz w:val="24"/>
          <w:szCs w:val="24"/>
        </w:rPr>
        <w:t xml:space="preserve">Racismo e </w:t>
      </w:r>
      <w:proofErr w:type="spellStart"/>
      <w:r w:rsidRPr="00E2688B">
        <w:rPr>
          <w:rStyle w:val="nfase"/>
          <w:i w:val="0"/>
          <w:sz w:val="24"/>
          <w:szCs w:val="24"/>
        </w:rPr>
        <w:t>sexismo</w:t>
      </w:r>
      <w:proofErr w:type="spellEnd"/>
      <w:r w:rsidRPr="00E2688B">
        <w:rPr>
          <w:rStyle w:val="nfase"/>
          <w:i w:val="0"/>
          <w:sz w:val="24"/>
          <w:szCs w:val="24"/>
        </w:rPr>
        <w:t xml:space="preserve"> na cultura brasileira</w:t>
      </w:r>
      <w:r w:rsidRPr="00E2688B">
        <w:rPr>
          <w:i/>
          <w:sz w:val="24"/>
          <w:szCs w:val="24"/>
        </w:rPr>
        <w:t>.</w:t>
      </w:r>
      <w:r w:rsidRPr="00E2688B">
        <w:rPr>
          <w:sz w:val="24"/>
          <w:szCs w:val="24"/>
        </w:rPr>
        <w:t xml:space="preserve"> In: GONZALEZ,</w:t>
      </w:r>
      <w:r w:rsidRPr="00E2688B">
        <w:rPr>
          <w:i/>
          <w:sz w:val="24"/>
          <w:szCs w:val="24"/>
        </w:rPr>
        <w:t xml:space="preserve"> Lélia. </w:t>
      </w:r>
      <w:r w:rsidRPr="00E2688B">
        <w:rPr>
          <w:rStyle w:val="nfase"/>
          <w:b/>
          <w:i w:val="0"/>
          <w:sz w:val="24"/>
          <w:szCs w:val="24"/>
        </w:rPr>
        <w:t>Primavera para as rosas negras: uma seleção de textos de Lélia Gonzalez</w:t>
      </w:r>
      <w:r w:rsidRPr="00E2688B">
        <w:rPr>
          <w:i/>
          <w:sz w:val="24"/>
          <w:szCs w:val="24"/>
        </w:rPr>
        <w:t>. Org. Flávia Rios e Márcia Lima. Rio de Janeiro: Zahar, 2020. p. 57–69. (Texto original de 1988).</w:t>
      </w:r>
    </w:p>
    <w:p w14:paraId="4514AA23" w14:textId="77777777" w:rsidR="003E2DF9" w:rsidRPr="00E2688B" w:rsidRDefault="003E2DF9" w:rsidP="00E2688B">
      <w:pPr>
        <w:spacing w:line="240" w:lineRule="auto"/>
        <w:rPr>
          <w:sz w:val="24"/>
          <w:szCs w:val="24"/>
        </w:rPr>
      </w:pPr>
    </w:p>
    <w:p w14:paraId="15C86D45" w14:textId="44CFD1CA" w:rsidR="003E2DF9" w:rsidRPr="00E2688B" w:rsidRDefault="003E2DF9" w:rsidP="00E2688B">
      <w:pPr>
        <w:pBdr>
          <w:top w:val="nil"/>
          <w:left w:val="nil"/>
          <w:bottom w:val="nil"/>
          <w:right w:val="nil"/>
          <w:between w:val="nil"/>
        </w:pBdr>
        <w:spacing w:line="240" w:lineRule="auto"/>
        <w:rPr>
          <w:sz w:val="24"/>
          <w:szCs w:val="24"/>
        </w:rPr>
      </w:pPr>
      <w:r w:rsidRPr="00E2688B">
        <w:rPr>
          <w:sz w:val="24"/>
          <w:szCs w:val="24"/>
        </w:rPr>
        <w:t>GREGORI, Maria Filomena.</w:t>
      </w:r>
      <w:r w:rsidRPr="00E2688B">
        <w:rPr>
          <w:i/>
          <w:sz w:val="24"/>
          <w:szCs w:val="24"/>
        </w:rPr>
        <w:t xml:space="preserve"> </w:t>
      </w:r>
      <w:r w:rsidRPr="00E2688B">
        <w:rPr>
          <w:rStyle w:val="nfase"/>
          <w:i w:val="0"/>
          <w:sz w:val="24"/>
          <w:szCs w:val="24"/>
        </w:rPr>
        <w:t>A violência doméstica e o silêncio das mulheres</w:t>
      </w:r>
      <w:r w:rsidRPr="00E2688B">
        <w:rPr>
          <w:i/>
          <w:sz w:val="24"/>
          <w:szCs w:val="24"/>
        </w:rPr>
        <w:t>. In:</w:t>
      </w:r>
      <w:r w:rsidRPr="00E2688B">
        <w:rPr>
          <w:sz w:val="24"/>
          <w:szCs w:val="24"/>
        </w:rPr>
        <w:t xml:space="preserve"> </w:t>
      </w:r>
      <w:r w:rsidRPr="00E2688B">
        <w:rPr>
          <w:rStyle w:val="Forte"/>
          <w:sz w:val="24"/>
          <w:szCs w:val="24"/>
        </w:rPr>
        <w:t>História das mulheres no Brasil</w:t>
      </w:r>
      <w:r w:rsidRPr="00E2688B">
        <w:rPr>
          <w:sz w:val="24"/>
          <w:szCs w:val="24"/>
        </w:rPr>
        <w:t>. São Paulo: Contexto, 1998. p. 130-160.</w:t>
      </w:r>
    </w:p>
    <w:p w14:paraId="58D60581" w14:textId="77777777" w:rsidR="00910AFF" w:rsidRPr="00E2688B" w:rsidRDefault="00910AFF" w:rsidP="00E2688B">
      <w:pPr>
        <w:spacing w:line="240" w:lineRule="auto"/>
        <w:rPr>
          <w:sz w:val="24"/>
          <w:szCs w:val="24"/>
        </w:rPr>
      </w:pPr>
    </w:p>
    <w:p w14:paraId="0EFC8863" w14:textId="3D8EFE36" w:rsidR="005002F3" w:rsidRPr="00E2688B" w:rsidRDefault="005C5E60" w:rsidP="00E2688B">
      <w:pPr>
        <w:spacing w:line="240" w:lineRule="auto"/>
        <w:rPr>
          <w:sz w:val="24"/>
          <w:szCs w:val="24"/>
        </w:rPr>
      </w:pPr>
      <w:r w:rsidRPr="00E2688B">
        <w:rPr>
          <w:sz w:val="24"/>
          <w:szCs w:val="24"/>
        </w:rPr>
        <w:t xml:space="preserve">SEGATO, Rita Laura. </w:t>
      </w:r>
      <w:proofErr w:type="spellStart"/>
      <w:r w:rsidRPr="00E2688B">
        <w:rPr>
          <w:b/>
          <w:i/>
          <w:sz w:val="24"/>
          <w:szCs w:val="24"/>
        </w:rPr>
        <w:t>Las</w:t>
      </w:r>
      <w:proofErr w:type="spellEnd"/>
      <w:r w:rsidRPr="00E2688B">
        <w:rPr>
          <w:b/>
          <w:i/>
          <w:sz w:val="24"/>
          <w:szCs w:val="24"/>
        </w:rPr>
        <w:t xml:space="preserve"> </w:t>
      </w:r>
      <w:proofErr w:type="spellStart"/>
      <w:r w:rsidRPr="00E2688B">
        <w:rPr>
          <w:b/>
          <w:i/>
          <w:sz w:val="24"/>
          <w:szCs w:val="24"/>
        </w:rPr>
        <w:t>estructuras</w:t>
      </w:r>
      <w:proofErr w:type="spellEnd"/>
      <w:r w:rsidRPr="00E2688B">
        <w:rPr>
          <w:b/>
          <w:i/>
          <w:sz w:val="24"/>
          <w:szCs w:val="24"/>
        </w:rPr>
        <w:t xml:space="preserve"> elementares de </w:t>
      </w:r>
      <w:proofErr w:type="spellStart"/>
      <w:r w:rsidRPr="00E2688B">
        <w:rPr>
          <w:b/>
          <w:i/>
          <w:sz w:val="24"/>
          <w:szCs w:val="24"/>
        </w:rPr>
        <w:t>la</w:t>
      </w:r>
      <w:proofErr w:type="spellEnd"/>
      <w:r w:rsidRPr="00E2688B">
        <w:rPr>
          <w:b/>
          <w:i/>
          <w:sz w:val="24"/>
          <w:szCs w:val="24"/>
        </w:rPr>
        <w:t xml:space="preserve"> </w:t>
      </w:r>
      <w:proofErr w:type="spellStart"/>
      <w:r w:rsidRPr="00E2688B">
        <w:rPr>
          <w:b/>
          <w:i/>
          <w:sz w:val="24"/>
          <w:szCs w:val="24"/>
        </w:rPr>
        <w:t>violencia</w:t>
      </w:r>
      <w:proofErr w:type="spellEnd"/>
      <w:r w:rsidRPr="00E2688B">
        <w:rPr>
          <w:sz w:val="24"/>
          <w:szCs w:val="24"/>
        </w:rPr>
        <w:t xml:space="preserve">. Buenos Aires: </w:t>
      </w:r>
      <w:proofErr w:type="spellStart"/>
      <w:r w:rsidRPr="00E2688B">
        <w:rPr>
          <w:sz w:val="24"/>
          <w:szCs w:val="24"/>
        </w:rPr>
        <w:t>Prometeo</w:t>
      </w:r>
      <w:proofErr w:type="spellEnd"/>
      <w:r w:rsidRPr="00E2688B">
        <w:rPr>
          <w:sz w:val="24"/>
          <w:szCs w:val="24"/>
        </w:rPr>
        <w:t>, 2003.</w:t>
      </w:r>
    </w:p>
    <w:p w14:paraId="2069F3B8" w14:textId="77777777" w:rsidR="006669FA" w:rsidRPr="00E2688B" w:rsidRDefault="006669FA" w:rsidP="00E2688B">
      <w:pPr>
        <w:spacing w:line="240" w:lineRule="auto"/>
        <w:rPr>
          <w:sz w:val="24"/>
          <w:szCs w:val="24"/>
        </w:rPr>
      </w:pPr>
    </w:p>
    <w:p w14:paraId="09090394" w14:textId="11B32B29" w:rsidR="005002F3" w:rsidRPr="00E2688B" w:rsidRDefault="006669FA" w:rsidP="00E2688B">
      <w:pPr>
        <w:spacing w:line="240" w:lineRule="auto"/>
        <w:rPr>
          <w:sz w:val="24"/>
          <w:szCs w:val="24"/>
        </w:rPr>
      </w:pPr>
      <w:r w:rsidRPr="00E2688B">
        <w:rPr>
          <w:rFonts w:eastAsia="Times New Roman"/>
          <w:sz w:val="24"/>
          <w:szCs w:val="24"/>
        </w:rPr>
        <w:t xml:space="preserve">SILVA, </w:t>
      </w:r>
      <w:proofErr w:type="spellStart"/>
      <w:r w:rsidRPr="00E2688B">
        <w:rPr>
          <w:rFonts w:eastAsia="Times New Roman"/>
          <w:sz w:val="24"/>
          <w:szCs w:val="24"/>
        </w:rPr>
        <w:t>Maynara</w:t>
      </w:r>
      <w:proofErr w:type="spellEnd"/>
      <w:r w:rsidRPr="00E2688B">
        <w:rPr>
          <w:rFonts w:eastAsia="Times New Roman"/>
          <w:sz w:val="24"/>
          <w:szCs w:val="24"/>
        </w:rPr>
        <w:t xml:space="preserve"> Costa de Oliveira. Gênero categoria útil para análise política de enfrentamento à violência contra mulher. </w:t>
      </w:r>
      <w:r w:rsidRPr="00E2688B">
        <w:rPr>
          <w:rFonts w:eastAsia="Times New Roman"/>
          <w:b/>
          <w:sz w:val="24"/>
          <w:szCs w:val="24"/>
        </w:rPr>
        <w:t>Revista Espaço Acadêmico,</w:t>
      </w:r>
      <w:r w:rsidRPr="00E2688B">
        <w:rPr>
          <w:rFonts w:eastAsia="Times New Roman"/>
          <w:sz w:val="24"/>
          <w:szCs w:val="24"/>
        </w:rPr>
        <w:t xml:space="preserve"> nº 229, </w:t>
      </w:r>
      <w:proofErr w:type="spellStart"/>
      <w:r w:rsidRPr="00E2688B">
        <w:rPr>
          <w:rFonts w:eastAsia="Times New Roman"/>
          <w:sz w:val="24"/>
          <w:szCs w:val="24"/>
        </w:rPr>
        <w:t>jul</w:t>
      </w:r>
      <w:proofErr w:type="spellEnd"/>
      <w:r w:rsidRPr="00E2688B">
        <w:rPr>
          <w:rFonts w:eastAsia="Times New Roman"/>
          <w:sz w:val="24"/>
          <w:szCs w:val="24"/>
        </w:rPr>
        <w:t>/</w:t>
      </w:r>
      <w:proofErr w:type="spellStart"/>
      <w:r w:rsidRPr="00E2688B">
        <w:rPr>
          <w:rFonts w:eastAsia="Times New Roman"/>
          <w:sz w:val="24"/>
          <w:szCs w:val="24"/>
        </w:rPr>
        <w:t>ago</w:t>
      </w:r>
      <w:proofErr w:type="spellEnd"/>
      <w:r w:rsidRPr="00E2688B">
        <w:rPr>
          <w:rFonts w:eastAsia="Times New Roman"/>
          <w:sz w:val="24"/>
          <w:szCs w:val="24"/>
        </w:rPr>
        <w:t xml:space="preserve"> de 2021, bimestral. Ano XXI. ISSN: 15196186. </w:t>
      </w:r>
    </w:p>
    <w:sectPr w:rsidR="005002F3" w:rsidRPr="00E2688B" w:rsidSect="00C6743C">
      <w:headerReference w:type="even" r:id="rId9"/>
      <w:headerReference w:type="default" r:id="rId10"/>
      <w:footerReference w:type="even" r:id="rId11"/>
      <w:footerReference w:type="default" r:id="rId12"/>
      <w:headerReference w:type="first" r:id="rId13"/>
      <w:footerReference w:type="first" r:id="rId14"/>
      <w:pgSz w:w="11909" w:h="16834"/>
      <w:pgMar w:top="1701" w:right="1134" w:bottom="1134" w:left="1701" w:header="3402"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F95A96" w16cex:dateUtc="2025-07-01T13:36:00Z"/>
  <w16cex:commentExtensible w16cex:durableId="18708304" w16cex:dateUtc="2025-07-01T13:35:00Z"/>
  <w16cex:commentExtensible w16cex:durableId="685CA35D" w16cex:dateUtc="2025-07-01T13:37:00Z"/>
  <w16cex:commentExtensible w16cex:durableId="2527FD20" w16cex:dateUtc="2025-07-01T13:43:00Z"/>
  <w16cex:commentExtensible w16cex:durableId="588E1E16" w16cex:dateUtc="2025-07-01T13:44:00Z"/>
  <w16cex:commentExtensible w16cex:durableId="1DB422D1" w16cex:dateUtc="2025-07-01T13:45:00Z"/>
  <w16cex:commentExtensible w16cex:durableId="05EDA197" w16cex:dateUtc="2025-07-01T13:45:00Z"/>
  <w16cex:commentExtensible w16cex:durableId="5B88C60F" w16cex:dateUtc="2025-07-01T13:46:00Z"/>
  <w16cex:commentExtensible w16cex:durableId="3C2324DB" w16cex:dateUtc="2025-07-01T13:52:00Z"/>
  <w16cex:commentExtensible w16cex:durableId="4CF9C10C" w16cex:dateUtc="2025-07-01T13:51:00Z"/>
  <w16cex:commentExtensible w16cex:durableId="7AE30051" w16cex:dateUtc="2025-07-01T13:52:00Z"/>
  <w16cex:commentExtensible w16cex:durableId="6FC8522B" w16cex:dateUtc="2025-07-01T13:53:00Z"/>
  <w16cex:commentExtensible w16cex:durableId="4B5B8B58" w16cex:dateUtc="2025-07-01T13:53:00Z"/>
  <w16cex:commentExtensible w16cex:durableId="2A617640" w16cex:dateUtc="2025-07-01T13:55:00Z"/>
  <w16cex:commentExtensible w16cex:durableId="3C45F37D" w16cex:dateUtc="2025-07-01T14:09:00Z"/>
  <w16cex:commentExtensible w16cex:durableId="0A2704F3" w16cex:dateUtc="2025-07-01T13:58:00Z"/>
  <w16cex:commentExtensible w16cex:durableId="7A055824" w16cex:dateUtc="2025-07-01T14:03:00Z"/>
  <w16cex:commentExtensible w16cex:durableId="48A6E34E" w16cex:dateUtc="2025-07-01T14:04:00Z"/>
  <w16cex:commentExtensible w16cex:durableId="41A980CC" w16cex:dateUtc="2025-07-01T14: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6577C4" w16cid:durableId="2FF95A96"/>
  <w16cid:commentId w16cid:paraId="0CCA8056" w16cid:durableId="18708304"/>
  <w16cid:commentId w16cid:paraId="532A0C30" w16cid:durableId="685CA35D"/>
  <w16cid:commentId w16cid:paraId="04944459" w16cid:durableId="2527FD20"/>
  <w16cid:commentId w16cid:paraId="75435FCF" w16cid:durableId="588E1E16"/>
  <w16cid:commentId w16cid:paraId="3B7AC051" w16cid:durableId="1DB422D1"/>
  <w16cid:commentId w16cid:paraId="4DD82FBA" w16cid:durableId="05EDA197"/>
  <w16cid:commentId w16cid:paraId="7E7E804A" w16cid:durableId="5B88C60F"/>
  <w16cid:commentId w16cid:paraId="7FE50EC9" w16cid:durableId="3C2324DB"/>
  <w16cid:commentId w16cid:paraId="3C13F3B1" w16cid:durableId="4CF9C10C"/>
  <w16cid:commentId w16cid:paraId="11E34653" w16cid:durableId="7AE30051"/>
  <w16cid:commentId w16cid:paraId="52D3B704" w16cid:durableId="6FC8522B"/>
  <w16cid:commentId w16cid:paraId="32668909" w16cid:durableId="4B5B8B58"/>
  <w16cid:commentId w16cid:paraId="219AD590" w16cid:durableId="2A617640"/>
  <w16cid:commentId w16cid:paraId="60BB911C" w16cid:durableId="3C45F37D"/>
  <w16cid:commentId w16cid:paraId="0D13CC0F" w16cid:durableId="0A2704F3"/>
  <w16cid:commentId w16cid:paraId="15B3B7B4" w16cid:durableId="7A055824"/>
  <w16cid:commentId w16cid:paraId="126CABB3" w16cid:durableId="48A6E34E"/>
  <w16cid:commentId w16cid:paraId="5CE7F74B" w16cid:durableId="41A980C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1C7A0" w14:textId="77777777" w:rsidR="00372EA2" w:rsidRDefault="00372EA2">
      <w:pPr>
        <w:spacing w:line="240" w:lineRule="auto"/>
      </w:pPr>
      <w:r>
        <w:separator/>
      </w:r>
    </w:p>
  </w:endnote>
  <w:endnote w:type="continuationSeparator" w:id="0">
    <w:p w14:paraId="0181654F" w14:textId="77777777" w:rsidR="00372EA2" w:rsidRDefault="00372E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EF427" w14:textId="77777777" w:rsidR="005002F3" w:rsidRDefault="005002F3">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2B271" w14:textId="77777777" w:rsidR="005002F3" w:rsidRDefault="005002F3">
    <w:pPr>
      <w:pBdr>
        <w:top w:val="nil"/>
        <w:left w:val="nil"/>
        <w:bottom w:val="nil"/>
        <w:right w:val="nil"/>
        <w:between w:val="nil"/>
      </w:pBdr>
      <w:tabs>
        <w:tab w:val="center" w:pos="4252"/>
        <w:tab w:val="right" w:pos="8504"/>
      </w:tabs>
      <w:spacing w:line="240" w:lineRule="auto"/>
      <w:rPr>
        <w:color w:val="000000"/>
      </w:rPr>
    </w:pPr>
  </w:p>
  <w:p w14:paraId="3E946807" w14:textId="77777777" w:rsidR="005002F3" w:rsidRDefault="005002F3">
    <w:pPr>
      <w:pBdr>
        <w:top w:val="nil"/>
        <w:left w:val="nil"/>
        <w:bottom w:val="nil"/>
        <w:right w:val="nil"/>
        <w:between w:val="nil"/>
      </w:pBdr>
      <w:tabs>
        <w:tab w:val="center" w:pos="4252"/>
        <w:tab w:val="right" w:pos="8504"/>
      </w:tabs>
      <w:spacing w:line="240" w:lineRule="auto"/>
      <w:rPr>
        <w:color w:val="000000"/>
      </w:rPr>
    </w:pPr>
  </w:p>
  <w:p w14:paraId="5E679940" w14:textId="77777777" w:rsidR="005002F3" w:rsidRDefault="005002F3">
    <w:pPr>
      <w:pBdr>
        <w:top w:val="nil"/>
        <w:left w:val="nil"/>
        <w:bottom w:val="nil"/>
        <w:right w:val="nil"/>
        <w:between w:val="nil"/>
      </w:pBdr>
      <w:tabs>
        <w:tab w:val="center" w:pos="4252"/>
        <w:tab w:val="right" w:pos="8504"/>
      </w:tabs>
      <w:spacing w:line="240" w:lineRule="auto"/>
      <w:rPr>
        <w:color w:val="000000"/>
      </w:rPr>
    </w:pPr>
  </w:p>
  <w:p w14:paraId="476F1BBE" w14:textId="77777777" w:rsidR="005002F3" w:rsidRDefault="005002F3">
    <w:pPr>
      <w:pBdr>
        <w:top w:val="nil"/>
        <w:left w:val="nil"/>
        <w:bottom w:val="nil"/>
        <w:right w:val="nil"/>
        <w:between w:val="nil"/>
      </w:pBdr>
      <w:tabs>
        <w:tab w:val="center" w:pos="4252"/>
        <w:tab w:val="right" w:pos="8504"/>
      </w:tabs>
      <w:spacing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EAA1E" w14:textId="77777777" w:rsidR="005002F3" w:rsidRDefault="005002F3">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6B881" w14:textId="77777777" w:rsidR="00372EA2" w:rsidRDefault="00372EA2">
      <w:pPr>
        <w:spacing w:line="240" w:lineRule="auto"/>
      </w:pPr>
      <w:r>
        <w:separator/>
      </w:r>
    </w:p>
  </w:footnote>
  <w:footnote w:type="continuationSeparator" w:id="0">
    <w:p w14:paraId="077A46C6" w14:textId="77777777" w:rsidR="00372EA2" w:rsidRDefault="00372EA2">
      <w:pPr>
        <w:spacing w:line="240" w:lineRule="auto"/>
      </w:pPr>
      <w:r>
        <w:continuationSeparator/>
      </w:r>
    </w:p>
  </w:footnote>
  <w:footnote w:id="1">
    <w:p w14:paraId="4B884BB8" w14:textId="77777777" w:rsidR="008F5265" w:rsidRDefault="008F5265" w:rsidP="008F5265">
      <w:pPr>
        <w:spacing w:line="240" w:lineRule="auto"/>
        <w:ind w:hanging="2"/>
        <w:jc w:val="both"/>
        <w:rPr>
          <w:color w:val="000000"/>
          <w:sz w:val="20"/>
          <w:szCs w:val="20"/>
        </w:rPr>
      </w:pPr>
      <w:r>
        <w:rPr>
          <w:vertAlign w:val="superscript"/>
        </w:rPr>
        <w:footnoteRef/>
      </w:r>
      <w:r>
        <w:rPr>
          <w:sz w:val="20"/>
          <w:szCs w:val="20"/>
        </w:rPr>
        <w:t xml:space="preserve"> Mestranda do curso de Mestrado Acadêmico em Sociologia do Programa de Pós-Graduação em Sociologia - (PPGS), da Universidade Federal do Maranhão (UFMA).</w:t>
      </w:r>
      <w:r>
        <w:rPr>
          <w:color w:val="000000"/>
          <w:sz w:val="20"/>
          <w:szCs w:val="20"/>
          <w:highlight w:val="white"/>
        </w:rPr>
        <w:t xml:space="preserve"> </w:t>
      </w:r>
      <w:r>
        <w:rPr>
          <w:color w:val="000000"/>
          <w:sz w:val="20"/>
          <w:szCs w:val="20"/>
        </w:rPr>
        <w:t>E-mail: &lt;adriacostaibiapina@gmail.com&gt;. ID Lattes: &lt;0022408065625770&gt;.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411C0" w14:textId="77777777" w:rsidR="005002F3" w:rsidRDefault="005002F3">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E77B6" w14:textId="77777777" w:rsidR="005002F3" w:rsidRDefault="005C5E60">
    <w:r>
      <w:rPr>
        <w:noProof/>
      </w:rPr>
      <w:drawing>
        <wp:anchor distT="0" distB="0" distL="0" distR="0" simplePos="0" relativeHeight="251658240" behindDoc="1" locked="0" layoutInCell="1" hidden="0" allowOverlap="1" wp14:anchorId="701EFD11" wp14:editId="6DC71E84">
          <wp:simplePos x="0" y="0"/>
          <wp:positionH relativeFrom="page">
            <wp:align>left</wp:align>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5DA55" w14:textId="77777777" w:rsidR="005002F3" w:rsidRDefault="005002F3">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46551"/>
    <w:multiLevelType w:val="multilevel"/>
    <w:tmpl w:val="DEFAD294"/>
    <w:lvl w:ilvl="0">
      <w:start w:val="1"/>
      <w:numFmt w:val="decimal"/>
      <w:lvlText w:val="%1)"/>
      <w:lvlJc w:val="left"/>
      <w:pPr>
        <w:tabs>
          <w:tab w:val="num" w:pos="720"/>
        </w:tabs>
        <w:ind w:left="720" w:hanging="360"/>
      </w:pPr>
      <w:rPr>
        <w:rFonts w:ascii="Arial" w:eastAsiaTheme="minorHAnsi" w:hAnsi="Arial" w:cs="Arial"/>
      </w:rPr>
    </w:lvl>
    <w:lvl w:ilvl="1">
      <w:start w:val="1"/>
      <w:numFmt w:val="bullet"/>
      <w:lvlText w:val="o"/>
      <w:lvlJc w:val="left"/>
      <w:pPr>
        <w:tabs>
          <w:tab w:val="num" w:pos="1440"/>
        </w:tabs>
        <w:ind w:left="1440" w:hanging="360"/>
      </w:pPr>
      <w:rPr>
        <w:rFonts w:ascii="Courier New" w:hAnsi="Courier New" w:hint="default"/>
        <w:sz w:val="20"/>
      </w:rPr>
    </w:lvl>
    <w:lvl w:ilvl="2">
      <w:start w:val="9"/>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2F3"/>
    <w:rsid w:val="0000529C"/>
    <w:rsid w:val="00005414"/>
    <w:rsid w:val="0002467B"/>
    <w:rsid w:val="00074509"/>
    <w:rsid w:val="00086032"/>
    <w:rsid w:val="000861A7"/>
    <w:rsid w:val="000E7BB6"/>
    <w:rsid w:val="000F166C"/>
    <w:rsid w:val="00123A62"/>
    <w:rsid w:val="00126C58"/>
    <w:rsid w:val="00142682"/>
    <w:rsid w:val="0015073A"/>
    <w:rsid w:val="00150F92"/>
    <w:rsid w:val="001608E7"/>
    <w:rsid w:val="00173097"/>
    <w:rsid w:val="00184A9E"/>
    <w:rsid w:val="00185D56"/>
    <w:rsid w:val="00196BB4"/>
    <w:rsid w:val="001E3C36"/>
    <w:rsid w:val="001E7749"/>
    <w:rsid w:val="00202E12"/>
    <w:rsid w:val="00210C32"/>
    <w:rsid w:val="002163BF"/>
    <w:rsid w:val="0022285B"/>
    <w:rsid w:val="002537AF"/>
    <w:rsid w:val="0027153C"/>
    <w:rsid w:val="0027550E"/>
    <w:rsid w:val="00277D77"/>
    <w:rsid w:val="002A54ED"/>
    <w:rsid w:val="002B1FD7"/>
    <w:rsid w:val="002C2BAC"/>
    <w:rsid w:val="002D554B"/>
    <w:rsid w:val="00330BF7"/>
    <w:rsid w:val="00350FE7"/>
    <w:rsid w:val="00372EA2"/>
    <w:rsid w:val="003D2391"/>
    <w:rsid w:val="003E2DF9"/>
    <w:rsid w:val="003E4857"/>
    <w:rsid w:val="003F5EFB"/>
    <w:rsid w:val="004030B4"/>
    <w:rsid w:val="004353C5"/>
    <w:rsid w:val="00437773"/>
    <w:rsid w:val="00442E38"/>
    <w:rsid w:val="004430AD"/>
    <w:rsid w:val="0044554B"/>
    <w:rsid w:val="004542C4"/>
    <w:rsid w:val="00470391"/>
    <w:rsid w:val="004B0971"/>
    <w:rsid w:val="004B7093"/>
    <w:rsid w:val="004E6651"/>
    <w:rsid w:val="004F2EB4"/>
    <w:rsid w:val="005002F3"/>
    <w:rsid w:val="00510FE7"/>
    <w:rsid w:val="00520144"/>
    <w:rsid w:val="00525E9D"/>
    <w:rsid w:val="00544DE2"/>
    <w:rsid w:val="00560B04"/>
    <w:rsid w:val="00564E2C"/>
    <w:rsid w:val="00564EC5"/>
    <w:rsid w:val="00566F3B"/>
    <w:rsid w:val="005A3CD2"/>
    <w:rsid w:val="005B1BA5"/>
    <w:rsid w:val="005C249E"/>
    <w:rsid w:val="005C3ACB"/>
    <w:rsid w:val="005C5E60"/>
    <w:rsid w:val="005D1E1C"/>
    <w:rsid w:val="00612935"/>
    <w:rsid w:val="00621521"/>
    <w:rsid w:val="00625895"/>
    <w:rsid w:val="00642A84"/>
    <w:rsid w:val="006462AB"/>
    <w:rsid w:val="00650619"/>
    <w:rsid w:val="006669FA"/>
    <w:rsid w:val="00687153"/>
    <w:rsid w:val="00690997"/>
    <w:rsid w:val="00697D58"/>
    <w:rsid w:val="006B34C3"/>
    <w:rsid w:val="006E1B3C"/>
    <w:rsid w:val="006F443D"/>
    <w:rsid w:val="0072752D"/>
    <w:rsid w:val="0074515F"/>
    <w:rsid w:val="007A2E2C"/>
    <w:rsid w:val="007B5395"/>
    <w:rsid w:val="007C6DA0"/>
    <w:rsid w:val="007C7CF6"/>
    <w:rsid w:val="007F4B6A"/>
    <w:rsid w:val="007F594A"/>
    <w:rsid w:val="00807500"/>
    <w:rsid w:val="00807806"/>
    <w:rsid w:val="00843CB7"/>
    <w:rsid w:val="0089155C"/>
    <w:rsid w:val="0089186A"/>
    <w:rsid w:val="00896938"/>
    <w:rsid w:val="008A57C9"/>
    <w:rsid w:val="008A5D7D"/>
    <w:rsid w:val="008C17D3"/>
    <w:rsid w:val="008C6AE9"/>
    <w:rsid w:val="008E000A"/>
    <w:rsid w:val="008E2AE3"/>
    <w:rsid w:val="008E4848"/>
    <w:rsid w:val="008F1C75"/>
    <w:rsid w:val="008F3CEC"/>
    <w:rsid w:val="008F5265"/>
    <w:rsid w:val="00900CDC"/>
    <w:rsid w:val="0091019B"/>
    <w:rsid w:val="00910AFF"/>
    <w:rsid w:val="00965B8E"/>
    <w:rsid w:val="00986007"/>
    <w:rsid w:val="009B3075"/>
    <w:rsid w:val="009B5D1C"/>
    <w:rsid w:val="009C160F"/>
    <w:rsid w:val="009C2A4D"/>
    <w:rsid w:val="009D76E4"/>
    <w:rsid w:val="009E1EC2"/>
    <w:rsid w:val="009E2D02"/>
    <w:rsid w:val="009F39E5"/>
    <w:rsid w:val="009F4138"/>
    <w:rsid w:val="00A13259"/>
    <w:rsid w:val="00A178D9"/>
    <w:rsid w:val="00A24459"/>
    <w:rsid w:val="00A3468F"/>
    <w:rsid w:val="00A64BAE"/>
    <w:rsid w:val="00A64F80"/>
    <w:rsid w:val="00A75F2A"/>
    <w:rsid w:val="00A84762"/>
    <w:rsid w:val="00AB5FBA"/>
    <w:rsid w:val="00AC0AAD"/>
    <w:rsid w:val="00AC35A4"/>
    <w:rsid w:val="00AD54D9"/>
    <w:rsid w:val="00AE04F2"/>
    <w:rsid w:val="00AE65AC"/>
    <w:rsid w:val="00AF7603"/>
    <w:rsid w:val="00B05FEA"/>
    <w:rsid w:val="00B11C94"/>
    <w:rsid w:val="00B22D8D"/>
    <w:rsid w:val="00B267F5"/>
    <w:rsid w:val="00B64812"/>
    <w:rsid w:val="00B813A8"/>
    <w:rsid w:val="00BB2D55"/>
    <w:rsid w:val="00BB7B67"/>
    <w:rsid w:val="00BB7FFE"/>
    <w:rsid w:val="00BC0706"/>
    <w:rsid w:val="00BE7495"/>
    <w:rsid w:val="00C34C5E"/>
    <w:rsid w:val="00C34EC7"/>
    <w:rsid w:val="00C369E9"/>
    <w:rsid w:val="00C46074"/>
    <w:rsid w:val="00C6743C"/>
    <w:rsid w:val="00C84F24"/>
    <w:rsid w:val="00D0671B"/>
    <w:rsid w:val="00D13120"/>
    <w:rsid w:val="00D4394A"/>
    <w:rsid w:val="00D53782"/>
    <w:rsid w:val="00D620DA"/>
    <w:rsid w:val="00D70FF2"/>
    <w:rsid w:val="00D850A7"/>
    <w:rsid w:val="00D96734"/>
    <w:rsid w:val="00DA0F53"/>
    <w:rsid w:val="00DA2B58"/>
    <w:rsid w:val="00DA3B62"/>
    <w:rsid w:val="00DD497E"/>
    <w:rsid w:val="00DE3A5F"/>
    <w:rsid w:val="00DF68BA"/>
    <w:rsid w:val="00E2688B"/>
    <w:rsid w:val="00E44643"/>
    <w:rsid w:val="00E450AF"/>
    <w:rsid w:val="00E513A7"/>
    <w:rsid w:val="00E5553E"/>
    <w:rsid w:val="00E62A04"/>
    <w:rsid w:val="00E67014"/>
    <w:rsid w:val="00E80A24"/>
    <w:rsid w:val="00E8402F"/>
    <w:rsid w:val="00E84366"/>
    <w:rsid w:val="00F20829"/>
    <w:rsid w:val="00F367ED"/>
    <w:rsid w:val="00F53393"/>
    <w:rsid w:val="00F56323"/>
    <w:rsid w:val="00F87E11"/>
    <w:rsid w:val="00FB2DD8"/>
    <w:rsid w:val="00FE1D74"/>
    <w:rsid w:val="00FF36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01224"/>
  <w15:docId w15:val="{89E86580-4E55-46C5-B6C0-5DF6702E9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character" w:styleId="Forte">
    <w:name w:val="Strong"/>
    <w:uiPriority w:val="22"/>
    <w:qFormat/>
    <w:rPr>
      <w:b/>
      <w:bCs/>
      <w:w w:val="100"/>
      <w:position w:val="-1"/>
      <w:effect w:val="none"/>
      <w:vertAlign w:val="baseline"/>
      <w:cs w:val="0"/>
      <w:em w:val="none"/>
    </w:rPr>
  </w:style>
  <w:style w:type="paragraph" w:styleId="NormalWeb">
    <w:name w:val="Normal (Web)"/>
    <w:basedOn w:val="Normal"/>
    <w:uiPriority w:val="99"/>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customStyle="1" w:styleId="relative">
    <w:name w:val="relative"/>
    <w:rPr>
      <w:w w:val="100"/>
      <w:position w:val="-1"/>
      <w:effect w:val="none"/>
      <w:vertAlign w:val="baseline"/>
      <w:cs w:val="0"/>
      <w:em w:val="none"/>
    </w:rPr>
  </w:style>
  <w:style w:type="paragraph" w:styleId="PargrafodaLista">
    <w:name w:val="List Paragraph"/>
    <w:basedOn w:val="Normal"/>
    <w:uiPriority w:val="34"/>
    <w:qFormat/>
    <w:pPr>
      <w:suppressAutoHyphens/>
      <w:spacing w:after="160" w:line="259" w:lineRule="auto"/>
      <w:ind w:leftChars="-1" w:left="720" w:hangingChars="1" w:hanging="1"/>
      <w:contextualSpacing/>
      <w:textDirection w:val="btLr"/>
      <w:textAlignment w:val="top"/>
      <w:outlineLvl w:val="0"/>
    </w:pPr>
    <w:rPr>
      <w:rFonts w:ascii="Calibri" w:eastAsia="Calibri" w:hAnsi="Calibri" w:cs="Times New Roman"/>
      <w:position w:val="-1"/>
      <w:lang w:eastAsia="en-US"/>
    </w:rPr>
  </w:style>
  <w:style w:type="character" w:customStyle="1" w:styleId="ms-1">
    <w:name w:val="ms-1"/>
    <w:rPr>
      <w:w w:val="100"/>
      <w:position w:val="-1"/>
      <w:effect w:val="none"/>
      <w:vertAlign w:val="baseline"/>
      <w:cs w:val="0"/>
      <w:em w:val="none"/>
    </w:rPr>
  </w:style>
  <w:style w:type="character" w:customStyle="1" w:styleId="max-w-full">
    <w:name w:val="max-w-full"/>
    <w:rPr>
      <w:w w:val="100"/>
      <w:position w:val="-1"/>
      <w:effect w:val="none"/>
      <w:vertAlign w:val="baseline"/>
      <w:cs w:val="0"/>
      <w:em w:val="none"/>
    </w:rPr>
  </w:style>
  <w:style w:type="character" w:customStyle="1" w:styleId="-me-1">
    <w:name w:val="-me-1"/>
    <w:rPr>
      <w:w w:val="100"/>
      <w:position w:val="-1"/>
      <w:effect w:val="none"/>
      <w:vertAlign w:val="baseline"/>
      <w:cs w:val="0"/>
      <w:em w:val="none"/>
    </w:rPr>
  </w:style>
  <w:style w:type="table" w:styleId="Tabelacomgrade">
    <w:name w:val="Table Grid"/>
    <w:basedOn w:val="Tabelanormal"/>
    <w:uiPriority w:val="39"/>
    <w:pPr>
      <w:suppressAutoHyphens/>
      <w:spacing w:line="1" w:lineRule="atLeast"/>
      <w:ind w:leftChars="-1" w:left="-1" w:hangingChars="1" w:hanging="1"/>
      <w:textDirection w:val="btLr"/>
      <w:textAlignment w:val="top"/>
      <w:outlineLvl w:val="0"/>
    </w:pPr>
    <w:rPr>
      <w:rFonts w:ascii="Calibri" w:eastAsia="Calibri" w:hAnsi="Calibri" w:cs="Times New Roman"/>
      <w:position w:val="-1"/>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qFormat/>
    <w:rPr>
      <w:color w:val="0000FF"/>
      <w:w w:val="100"/>
      <w:position w:val="-1"/>
      <w:u w:val="single"/>
      <w:effect w:val="none"/>
      <w:vertAlign w:val="baseline"/>
      <w:cs w:val="0"/>
      <w:em w:val="none"/>
    </w:rPr>
  </w:style>
  <w:style w:type="character" w:styleId="nfase">
    <w:name w:val="Emphasis"/>
    <w:uiPriority w:val="20"/>
    <w:qFormat/>
    <w:rPr>
      <w:i/>
      <w:iCs/>
      <w:w w:val="100"/>
      <w:position w:val="-1"/>
      <w:effect w:val="none"/>
      <w:vertAlign w:val="baseline"/>
      <w:cs w:val="0"/>
      <w:em w:val="none"/>
    </w:rPr>
  </w:style>
  <w:style w:type="character" w:customStyle="1" w:styleId="value">
    <w:name w:val="value"/>
    <w:rPr>
      <w:w w:val="100"/>
      <w:position w:val="-1"/>
      <w:effect w:val="none"/>
      <w:vertAlign w:val="baseline"/>
      <w:cs w:val="0"/>
      <w:em w:val="none"/>
    </w:rPr>
  </w:style>
  <w:style w:type="character" w:customStyle="1" w:styleId="separator">
    <w:name w:val="separator"/>
    <w:rPr>
      <w:w w:val="100"/>
      <w:position w:val="-1"/>
      <w:effect w:val="none"/>
      <w:vertAlign w:val="baseline"/>
      <w:cs w:val="0"/>
      <w:em w:val="none"/>
    </w:rPr>
  </w:style>
  <w:style w:type="character" w:customStyle="1" w:styleId="name">
    <w:name w:val="name"/>
    <w:rPr>
      <w:w w:val="100"/>
      <w:position w:val="-1"/>
      <w:effect w:val="none"/>
      <w:vertAlign w:val="baseline"/>
      <w:cs w:val="0"/>
      <w:em w:val="none"/>
    </w:rPr>
  </w:style>
  <w:style w:type="paragraph" w:customStyle="1" w:styleId="ementa">
    <w:name w:val="ementa"/>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customStyle="1" w:styleId="apple-tab-span">
    <w:name w:val="apple-tab-span"/>
    <w:rPr>
      <w:w w:val="100"/>
      <w:position w:val="-1"/>
      <w:effect w:val="none"/>
      <w:vertAlign w:val="baseline"/>
      <w:cs w:val="0"/>
      <w:em w:val="none"/>
    </w:rPr>
  </w:style>
  <w:style w:type="paragraph" w:styleId="Textodenotaderodap">
    <w:name w:val="foot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rodapChar">
    <w:name w:val="Texto de nota de rodapé Char"/>
    <w:basedOn w:val="Fontepargpadro"/>
    <w:rPr>
      <w:w w:val="100"/>
      <w:position w:val="-1"/>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customStyle="1" w:styleId="footnotedescription">
    <w:name w:val="footnote description"/>
    <w:next w:val="Normal"/>
    <w:pPr>
      <w:suppressAutoHyphens/>
      <w:spacing w:line="259" w:lineRule="auto"/>
      <w:ind w:leftChars="-1" w:left="-1" w:hangingChars="1" w:hanging="1"/>
      <w:textDirection w:val="btLr"/>
      <w:textAlignment w:val="top"/>
      <w:outlineLvl w:val="0"/>
    </w:pPr>
    <w:rPr>
      <w:color w:val="000000"/>
      <w:position w:val="-1"/>
    </w:rPr>
  </w:style>
  <w:style w:type="character" w:customStyle="1" w:styleId="footnotedescriptionChar">
    <w:name w:val="footnote description Char"/>
    <w:rPr>
      <w:color w:val="000000"/>
      <w:w w:val="100"/>
      <w:position w:val="-1"/>
      <w:szCs w:val="22"/>
      <w:effect w:val="none"/>
      <w:vertAlign w:val="baseline"/>
      <w:cs w:val="0"/>
      <w:em w:val="none"/>
    </w:rPr>
  </w:style>
  <w:style w:type="character" w:styleId="Refdecomentrio">
    <w:name w:val="annotation reference"/>
    <w:basedOn w:val="Fontepargpadro"/>
    <w:uiPriority w:val="99"/>
    <w:semiHidden/>
    <w:unhideWhenUsed/>
    <w:rsid w:val="00566F3B"/>
    <w:rPr>
      <w:sz w:val="16"/>
      <w:szCs w:val="16"/>
    </w:rPr>
  </w:style>
  <w:style w:type="paragraph" w:styleId="Textodecomentrio">
    <w:name w:val="annotation text"/>
    <w:basedOn w:val="Normal"/>
    <w:link w:val="TextodecomentrioChar"/>
    <w:uiPriority w:val="99"/>
    <w:semiHidden/>
    <w:unhideWhenUsed/>
    <w:rsid w:val="00566F3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66F3B"/>
    <w:rPr>
      <w:sz w:val="20"/>
      <w:szCs w:val="20"/>
    </w:rPr>
  </w:style>
  <w:style w:type="paragraph" w:styleId="Assuntodocomentrio">
    <w:name w:val="annotation subject"/>
    <w:basedOn w:val="Textodecomentrio"/>
    <w:next w:val="Textodecomentrio"/>
    <w:link w:val="AssuntodocomentrioChar"/>
    <w:uiPriority w:val="99"/>
    <w:semiHidden/>
    <w:unhideWhenUsed/>
    <w:rsid w:val="00566F3B"/>
    <w:rPr>
      <w:b/>
      <w:bCs/>
    </w:rPr>
  </w:style>
  <w:style w:type="character" w:customStyle="1" w:styleId="AssuntodocomentrioChar">
    <w:name w:val="Assunto do comentário Char"/>
    <w:basedOn w:val="TextodecomentrioChar"/>
    <w:link w:val="Assuntodocomentrio"/>
    <w:uiPriority w:val="99"/>
    <w:semiHidden/>
    <w:rsid w:val="00566F3B"/>
    <w:rPr>
      <w:b/>
      <w:bCs/>
      <w:sz w:val="20"/>
      <w:szCs w:val="20"/>
    </w:rPr>
  </w:style>
  <w:style w:type="character" w:customStyle="1" w:styleId="UnresolvedMention">
    <w:name w:val="Unresolved Mention"/>
    <w:basedOn w:val="Fontepargpadro"/>
    <w:uiPriority w:val="99"/>
    <w:semiHidden/>
    <w:unhideWhenUsed/>
    <w:rsid w:val="00184A9E"/>
    <w:rPr>
      <w:color w:val="605E5C"/>
      <w:shd w:val="clear" w:color="auto" w:fill="E1DFDD"/>
    </w:rPr>
  </w:style>
  <w:style w:type="paragraph" w:styleId="Textodebalo">
    <w:name w:val="Balloon Text"/>
    <w:basedOn w:val="Normal"/>
    <w:link w:val="TextodebaloChar"/>
    <w:uiPriority w:val="99"/>
    <w:semiHidden/>
    <w:unhideWhenUsed/>
    <w:rsid w:val="00D620DA"/>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620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5236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8/08/relationships/commentsExtensible" Target="commentsExtensi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4R4aKhS8qI+BH5mf9rEddJ0OSg==">CgMxLjA4AGokChRzdWdnZXN0LjJ2dnE4YXVqcDhlZRIMw4FkcmlhIENvc3RhaiQKFHN1Z2dlc3Qud25laXdkeGNnbDN5EgzDgWRyaWEgQ29zdGFqJAoUc3VnZ2VzdC45bW9ycHRpbXVqdGUSDMOBZHJpYSBDb3N0YWokChRzdWdnZXN0LnRjMHFhcmY2Z2kxbRIMw4FkcmlhIENvc3RhaiQKFHN1Z2dlc3QuYzV4aGhpYTN6YzBzEgzDgWRyaWEgQ29zdGFqJAoUc3VnZ2VzdC5jZXZtcW0xdnltdjcSDMOBZHJpYSBDb3N0YXIhMTlNQW1BLXRtSlMzdmw5aEJySW1yUzBZZ29IRGpCSjc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77557D-691B-4B71-B6A0-83360A1FA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3691</Words>
  <Characters>19932</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Zaira Sabry</dc:creator>
  <cp:lastModifiedBy>Zaira Sabry</cp:lastModifiedBy>
  <cp:revision>2</cp:revision>
  <dcterms:created xsi:type="dcterms:W3CDTF">2025-08-18T14:06:00Z</dcterms:created>
  <dcterms:modified xsi:type="dcterms:W3CDTF">2025-08-18T14:06:00Z</dcterms:modified>
</cp:coreProperties>
</file>