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1EDFF" w14:textId="77777777" w:rsidR="00CA2481" w:rsidRDefault="00000000">
      <w:pPr>
        <w:pStyle w:val="Ttulo"/>
        <w:spacing w:before="0" w:after="60"/>
        <w:jc w:val="center"/>
        <w:rPr>
          <w:b w:val="0"/>
          <w:sz w:val="24"/>
          <w:szCs w:val="24"/>
        </w:rPr>
      </w:pPr>
      <w:bookmarkStart w:id="0" w:name="_heading=h.virllos0xxu5" w:colFirst="0" w:colLast="0"/>
      <w:bookmarkEnd w:id="0"/>
      <w:r>
        <w:rPr>
          <w:sz w:val="24"/>
          <w:szCs w:val="24"/>
        </w:rPr>
        <w:t>EXTENSÃO UNIVERSITÁRIA NA UNIVERSIDADE FEDERAL DO PARÁ (UFPA):</w:t>
      </w:r>
      <w:r>
        <w:rPr>
          <w:b w:val="0"/>
          <w:sz w:val="24"/>
          <w:szCs w:val="24"/>
        </w:rPr>
        <w:t xml:space="preserve"> os extensionistas egressos do Campus Castanhal </w:t>
      </w:r>
    </w:p>
    <w:p w14:paraId="5B2D4699" w14:textId="77777777" w:rsidR="00C96B6B" w:rsidRDefault="00C96B6B">
      <w:pPr>
        <w:spacing w:line="240" w:lineRule="auto"/>
        <w:ind w:left="2835"/>
        <w:jc w:val="right"/>
        <w:rPr>
          <w:sz w:val="20"/>
          <w:szCs w:val="20"/>
        </w:rPr>
      </w:pPr>
    </w:p>
    <w:p w14:paraId="059410C1" w14:textId="2C0BC910" w:rsidR="00CA2481" w:rsidRDefault="00000000">
      <w:pPr>
        <w:spacing w:line="240" w:lineRule="auto"/>
        <w:ind w:left="2835"/>
        <w:jc w:val="right"/>
        <w:rPr>
          <w:sz w:val="20"/>
          <w:szCs w:val="20"/>
        </w:rPr>
      </w:pPr>
      <w:r>
        <w:rPr>
          <w:sz w:val="20"/>
          <w:szCs w:val="20"/>
        </w:rPr>
        <w:t>Larissa Dayane Pereira Monteiro</w:t>
      </w:r>
      <w:r>
        <w:rPr>
          <w:sz w:val="20"/>
          <w:szCs w:val="20"/>
          <w:vertAlign w:val="superscript"/>
        </w:rPr>
        <w:footnoteReference w:id="1"/>
      </w:r>
    </w:p>
    <w:p w14:paraId="1C5369AC" w14:textId="52D086BC" w:rsidR="00CA2481" w:rsidRDefault="00000000">
      <w:pPr>
        <w:spacing w:line="240" w:lineRule="auto"/>
        <w:ind w:left="2835"/>
        <w:jc w:val="right"/>
        <w:rPr>
          <w:sz w:val="20"/>
          <w:szCs w:val="20"/>
        </w:rPr>
      </w:pPr>
      <w:r>
        <w:rPr>
          <w:sz w:val="20"/>
          <w:szCs w:val="20"/>
        </w:rPr>
        <w:t>Olinda Rodrigues</w:t>
      </w:r>
      <w:r w:rsidR="00C96B6B">
        <w:rPr>
          <w:sz w:val="20"/>
          <w:szCs w:val="20"/>
        </w:rPr>
        <w:t xml:space="preserve"> da Silva</w:t>
      </w:r>
      <w:r>
        <w:rPr>
          <w:sz w:val="20"/>
          <w:szCs w:val="20"/>
          <w:vertAlign w:val="superscript"/>
        </w:rPr>
        <w:footnoteReference w:id="2"/>
      </w:r>
    </w:p>
    <w:p w14:paraId="4709AFBE" w14:textId="77777777" w:rsidR="00CA2481" w:rsidRDefault="00CA2481">
      <w:pPr>
        <w:spacing w:line="240" w:lineRule="auto"/>
        <w:ind w:left="2835"/>
        <w:jc w:val="both"/>
        <w:rPr>
          <w:sz w:val="20"/>
          <w:szCs w:val="20"/>
        </w:rPr>
      </w:pPr>
    </w:p>
    <w:p w14:paraId="59A7F812" w14:textId="77777777" w:rsidR="00CA2481" w:rsidRDefault="00CA2481">
      <w:pPr>
        <w:spacing w:line="240" w:lineRule="auto"/>
        <w:jc w:val="both"/>
        <w:rPr>
          <w:sz w:val="20"/>
          <w:szCs w:val="20"/>
        </w:rPr>
      </w:pPr>
    </w:p>
    <w:p w14:paraId="1BE4A189" w14:textId="77777777" w:rsidR="00CA2481" w:rsidRDefault="00000000">
      <w:pPr>
        <w:spacing w:line="240" w:lineRule="auto"/>
        <w:ind w:left="2835"/>
        <w:jc w:val="both"/>
        <w:rPr>
          <w:b/>
          <w:sz w:val="20"/>
          <w:szCs w:val="20"/>
        </w:rPr>
      </w:pPr>
      <w:r>
        <w:rPr>
          <w:b/>
          <w:sz w:val="20"/>
          <w:szCs w:val="20"/>
        </w:rPr>
        <w:t>Resumo</w:t>
      </w:r>
    </w:p>
    <w:p w14:paraId="2D15B3D3" w14:textId="77777777" w:rsidR="00CA2481" w:rsidRDefault="00CA2481">
      <w:pPr>
        <w:spacing w:line="240" w:lineRule="auto"/>
        <w:ind w:left="2835"/>
        <w:jc w:val="both"/>
        <w:rPr>
          <w:b/>
          <w:sz w:val="20"/>
          <w:szCs w:val="20"/>
        </w:rPr>
      </w:pPr>
    </w:p>
    <w:p w14:paraId="34A08231" w14:textId="77777777" w:rsidR="00CA2481" w:rsidRDefault="00000000">
      <w:pPr>
        <w:spacing w:line="240" w:lineRule="auto"/>
        <w:ind w:left="2835"/>
        <w:jc w:val="both"/>
        <w:rPr>
          <w:sz w:val="20"/>
          <w:szCs w:val="20"/>
        </w:rPr>
      </w:pPr>
      <w:r>
        <w:rPr>
          <w:sz w:val="20"/>
          <w:szCs w:val="20"/>
        </w:rPr>
        <w:t xml:space="preserve">Este artigo tem o objetivo de analisar aspectos sobre egressos que frequentaram projetos de extensão universitária no Campus de Castanhal da Universidade Federal do Pará (UFPA) de 2015 a 2019. A metodologia pautou-se nas pesquisas bibliográfica e documental, e dados da pesquisa </w:t>
      </w:r>
      <w:r>
        <w:rPr>
          <w:i/>
          <w:sz w:val="20"/>
          <w:szCs w:val="20"/>
        </w:rPr>
        <w:t>“Experiência extensionista e formação universitária: os egressos da UFPA”</w:t>
      </w:r>
      <w:r>
        <w:rPr>
          <w:sz w:val="20"/>
          <w:szCs w:val="20"/>
        </w:rPr>
        <w:t xml:space="preserve">, que está em andamento, para responder tal questão: como se apresenta a participação de egressos em projetos de extensão do Campus Castanhal?. Verificou-se, então, que várias políticas públicas e resoluções vêm sendo criadas para fortalecer a extensão universitária brasileira. Na UFPA, a extensão, em seu processo de interiorização pelo estado do Pará, criou o Campus de Castanhal em 1978, o qual apresenta significativa participação na promoção de projetos extensionistas. Ademais, dados quantitativos da pesquisa revelam que, no período estudado, a participação preponderante foi de alunos bolsistas/voluntários, mulheres, parda(o)s, em projetos na área da educação. </w:t>
      </w:r>
    </w:p>
    <w:p w14:paraId="0CAF51CB" w14:textId="159A0C45" w:rsidR="00CA2481" w:rsidRDefault="00000000">
      <w:pPr>
        <w:spacing w:line="240" w:lineRule="auto"/>
        <w:ind w:left="2835"/>
        <w:jc w:val="both"/>
        <w:rPr>
          <w:sz w:val="20"/>
          <w:szCs w:val="20"/>
        </w:rPr>
      </w:pPr>
      <w:r>
        <w:rPr>
          <w:b/>
          <w:sz w:val="20"/>
          <w:szCs w:val="20"/>
        </w:rPr>
        <w:t>Palavras-chave</w:t>
      </w:r>
      <w:r>
        <w:rPr>
          <w:sz w:val="20"/>
          <w:szCs w:val="20"/>
        </w:rPr>
        <w:t xml:space="preserve">: Extensão </w:t>
      </w:r>
      <w:r w:rsidR="00CC0903">
        <w:rPr>
          <w:sz w:val="20"/>
          <w:szCs w:val="20"/>
        </w:rPr>
        <w:t>Universitária; Egressos</w:t>
      </w:r>
      <w:r>
        <w:rPr>
          <w:sz w:val="20"/>
          <w:szCs w:val="20"/>
        </w:rPr>
        <w:t xml:space="preserve">; Campus Castanhal. </w:t>
      </w:r>
    </w:p>
    <w:p w14:paraId="3CE190DE" w14:textId="77777777" w:rsidR="00CA2481" w:rsidRDefault="00CA2481">
      <w:pPr>
        <w:spacing w:line="240" w:lineRule="auto"/>
        <w:ind w:left="2835"/>
        <w:jc w:val="both"/>
        <w:rPr>
          <w:sz w:val="20"/>
          <w:szCs w:val="20"/>
        </w:rPr>
      </w:pPr>
    </w:p>
    <w:p w14:paraId="347F705D" w14:textId="77777777" w:rsidR="00CA2481" w:rsidRDefault="00000000">
      <w:pPr>
        <w:spacing w:line="240" w:lineRule="auto"/>
        <w:ind w:left="2835"/>
        <w:jc w:val="both"/>
        <w:rPr>
          <w:b/>
          <w:sz w:val="20"/>
          <w:szCs w:val="20"/>
        </w:rPr>
      </w:pPr>
      <w:r>
        <w:rPr>
          <w:b/>
          <w:sz w:val="20"/>
          <w:szCs w:val="20"/>
        </w:rPr>
        <w:t>Abstract</w:t>
      </w:r>
    </w:p>
    <w:p w14:paraId="18065FDA" w14:textId="77777777" w:rsidR="00CA2481" w:rsidRDefault="00000000">
      <w:pPr>
        <w:spacing w:line="240" w:lineRule="auto"/>
        <w:ind w:left="2835"/>
        <w:jc w:val="both"/>
        <w:rPr>
          <w:sz w:val="20"/>
          <w:szCs w:val="20"/>
        </w:rPr>
      </w:pPr>
      <w:r>
        <w:rPr>
          <w:sz w:val="20"/>
          <w:szCs w:val="20"/>
        </w:rPr>
        <w:t xml:space="preserve">This article aims to analyze aspects of graduates who attended university extension projects at the Castanhal Campus of the Federal University of Pará (UFPA) from 2015 to 2019. The methodology was based on bibliographical and documentary research, and data from the research “Extension experience and university education: UFPA graduates”, which is currently underway, to answer this question: what is the participation of graduates in extension projects at the Castanhal Campus like? It emerged that various public policies and resolutions have been created to strengthen university extension in Brazil. At UFPA, extension, in its process of internalization throughout the state of Pará, created the Castanhal Campus in 1978, which plays a significant role in promoting extension projects. In addition, quantitative data from the research reveals that, in the period studied, the preponderant participation was of scholarship students/volunteers, women, brown people, in projects in the area of education. </w:t>
      </w:r>
    </w:p>
    <w:p w14:paraId="4797ED49" w14:textId="6CCAE8C3" w:rsidR="00CA2481" w:rsidRDefault="00000000">
      <w:pPr>
        <w:spacing w:line="240" w:lineRule="auto"/>
        <w:ind w:left="2835"/>
        <w:jc w:val="both"/>
        <w:rPr>
          <w:b/>
          <w:sz w:val="20"/>
          <w:szCs w:val="20"/>
        </w:rPr>
      </w:pPr>
      <w:r>
        <w:rPr>
          <w:b/>
          <w:sz w:val="20"/>
          <w:szCs w:val="20"/>
        </w:rPr>
        <w:t xml:space="preserve">Keywords: </w:t>
      </w:r>
      <w:r>
        <w:rPr>
          <w:sz w:val="20"/>
          <w:szCs w:val="20"/>
        </w:rPr>
        <w:t xml:space="preserve">University extension; </w:t>
      </w:r>
      <w:r w:rsidR="00CC0903">
        <w:rPr>
          <w:sz w:val="20"/>
          <w:szCs w:val="20"/>
        </w:rPr>
        <w:t xml:space="preserve"> G</w:t>
      </w:r>
      <w:r>
        <w:rPr>
          <w:sz w:val="20"/>
          <w:szCs w:val="20"/>
        </w:rPr>
        <w:t>raduates; UFPA; Castanhal Campus.</w:t>
      </w:r>
    </w:p>
    <w:p w14:paraId="2A76E11D" w14:textId="77777777" w:rsidR="00CA2481" w:rsidRDefault="00CA2481">
      <w:pPr>
        <w:spacing w:line="240" w:lineRule="auto"/>
        <w:ind w:left="2835"/>
        <w:jc w:val="both"/>
        <w:rPr>
          <w:sz w:val="20"/>
          <w:szCs w:val="20"/>
        </w:rPr>
      </w:pPr>
    </w:p>
    <w:p w14:paraId="2DA6D5FA" w14:textId="77777777" w:rsidR="00CA2481" w:rsidRDefault="00CA2481">
      <w:pPr>
        <w:spacing w:line="240" w:lineRule="auto"/>
        <w:jc w:val="both"/>
        <w:rPr>
          <w:sz w:val="20"/>
          <w:szCs w:val="20"/>
        </w:rPr>
      </w:pPr>
    </w:p>
    <w:p w14:paraId="64F5E9B9" w14:textId="77777777" w:rsidR="00CA2481" w:rsidRDefault="00CA2481">
      <w:pPr>
        <w:spacing w:line="240" w:lineRule="auto"/>
        <w:ind w:left="2835"/>
        <w:jc w:val="both"/>
        <w:rPr>
          <w:sz w:val="20"/>
          <w:szCs w:val="20"/>
        </w:rPr>
      </w:pPr>
    </w:p>
    <w:p w14:paraId="09FB4838" w14:textId="77777777" w:rsidR="00CC0903" w:rsidRDefault="00CC0903">
      <w:pPr>
        <w:spacing w:line="240" w:lineRule="auto"/>
        <w:ind w:left="2835"/>
        <w:jc w:val="both"/>
        <w:rPr>
          <w:sz w:val="20"/>
          <w:szCs w:val="20"/>
        </w:rPr>
      </w:pPr>
    </w:p>
    <w:p w14:paraId="49144B61" w14:textId="77777777" w:rsidR="00CA2481" w:rsidRDefault="00CA2481">
      <w:pPr>
        <w:spacing w:line="240" w:lineRule="auto"/>
        <w:jc w:val="both"/>
        <w:rPr>
          <w:sz w:val="20"/>
          <w:szCs w:val="20"/>
        </w:rPr>
      </w:pPr>
    </w:p>
    <w:p w14:paraId="2A9C94AB" w14:textId="77777777" w:rsidR="00CA2481" w:rsidRDefault="00000000">
      <w:pPr>
        <w:spacing w:line="240" w:lineRule="auto"/>
        <w:jc w:val="both"/>
        <w:rPr>
          <w:sz w:val="24"/>
          <w:szCs w:val="24"/>
        </w:rPr>
      </w:pPr>
      <w:r>
        <w:rPr>
          <w:b/>
          <w:sz w:val="24"/>
          <w:szCs w:val="24"/>
        </w:rPr>
        <w:lastRenderedPageBreak/>
        <w:t>1</w:t>
      </w:r>
      <w:r>
        <w:rPr>
          <w:b/>
          <w:sz w:val="24"/>
          <w:szCs w:val="24"/>
        </w:rPr>
        <w:tab/>
        <w:t>INTRODUÇÃO</w:t>
      </w:r>
    </w:p>
    <w:p w14:paraId="54002216" w14:textId="77777777" w:rsidR="00CA2481" w:rsidRDefault="00CA2481">
      <w:pPr>
        <w:spacing w:line="240" w:lineRule="auto"/>
        <w:jc w:val="both"/>
        <w:rPr>
          <w:sz w:val="24"/>
          <w:szCs w:val="24"/>
        </w:rPr>
      </w:pPr>
    </w:p>
    <w:p w14:paraId="24288826" w14:textId="77777777" w:rsidR="00CA2481" w:rsidRDefault="00000000">
      <w:pPr>
        <w:spacing w:line="360" w:lineRule="auto"/>
        <w:ind w:firstLine="708"/>
        <w:jc w:val="both"/>
        <w:rPr>
          <w:sz w:val="24"/>
          <w:szCs w:val="24"/>
        </w:rPr>
      </w:pPr>
      <w:r>
        <w:rPr>
          <w:sz w:val="24"/>
          <w:szCs w:val="24"/>
        </w:rPr>
        <w:t>A extensão universitária passou por grandes mudanças de concepção, e enraizou-se institucionalmente por leis e resoluções nacionais. Na Universidade Federal do Pará (UFPA), particularmente, a extensão foi institucionalizada no ano de 2022, e vem construindo a compreensão dialógica do processo extensionista em seus 12 Campus universitários, dentre eles o Campus de Castanhal.</w:t>
      </w:r>
    </w:p>
    <w:p w14:paraId="41FBF1B2" w14:textId="77777777" w:rsidR="00CA2481" w:rsidRDefault="00000000">
      <w:pPr>
        <w:spacing w:line="360" w:lineRule="auto"/>
        <w:ind w:firstLine="709"/>
        <w:jc w:val="both"/>
        <w:rPr>
          <w:sz w:val="24"/>
          <w:szCs w:val="24"/>
        </w:rPr>
      </w:pPr>
      <w:r>
        <w:rPr>
          <w:sz w:val="24"/>
          <w:szCs w:val="24"/>
        </w:rPr>
        <w:t xml:space="preserve">Registra-se que este artigo apresenta resultados preliminares do projeto de pesquisa intitulado </w:t>
      </w:r>
      <w:r>
        <w:rPr>
          <w:i/>
          <w:sz w:val="24"/>
          <w:szCs w:val="24"/>
        </w:rPr>
        <w:t xml:space="preserve">“Experiência extensionista e formação universitária: os egressos da UFPA”, </w:t>
      </w:r>
      <w:r>
        <w:rPr>
          <w:sz w:val="24"/>
          <w:szCs w:val="24"/>
        </w:rPr>
        <w:t>com objetivo de mapear o impacto da extensão universitária para os egressos da instituição em seus 12 Campus universitários, observando que até o momento foi realizada a investigação em quatro deles: Ananindeua, Abaetetuba, Breves e Castanhal.</w:t>
      </w:r>
    </w:p>
    <w:p w14:paraId="797415F9" w14:textId="77777777" w:rsidR="00CA2481" w:rsidRDefault="00000000">
      <w:pPr>
        <w:spacing w:line="360" w:lineRule="auto"/>
        <w:ind w:firstLine="709"/>
        <w:jc w:val="both"/>
        <w:rPr>
          <w:sz w:val="24"/>
          <w:szCs w:val="24"/>
        </w:rPr>
      </w:pPr>
      <w:r>
        <w:rPr>
          <w:sz w:val="24"/>
          <w:szCs w:val="24"/>
        </w:rPr>
        <w:t xml:space="preserve">O objetivo geral, portanto, é dar a conhecer alguns aspectos sobre a participação de alunos egressos em projetos de extensão universitária no referido Campus. E, como objetivos específicos, discorrer sobre o desenvolvimento da extensão universitária no Brasil, além de apresentar análises sobre a extensão universitária na UFPA, a fim de responder como se apresenta a participação de egressos em projetos de extensão do Campus Castanhal? </w:t>
      </w:r>
    </w:p>
    <w:p w14:paraId="757BE944" w14:textId="77777777" w:rsidR="00CA2481" w:rsidRDefault="00000000">
      <w:pPr>
        <w:spacing w:line="360" w:lineRule="auto"/>
        <w:ind w:firstLine="709"/>
        <w:jc w:val="both"/>
        <w:rPr>
          <w:sz w:val="24"/>
          <w:szCs w:val="24"/>
        </w:rPr>
      </w:pPr>
      <w:r>
        <w:rPr>
          <w:sz w:val="24"/>
          <w:szCs w:val="24"/>
        </w:rPr>
        <w:t xml:space="preserve">O delineamento da pesquisa pautou-se por uma revisão bibliográfica na análise de livros, teses, dissertações e artigos científicos, pesquisa documental no Sistema Gerencial de Assistência Estudantil </w:t>
      </w:r>
      <w:r>
        <w:t>(</w:t>
      </w:r>
      <w:r>
        <w:rPr>
          <w:sz w:val="24"/>
          <w:szCs w:val="24"/>
        </w:rPr>
        <w:t xml:space="preserve">SIGAEST) ao extrair registros de voluntários e bolsistas, num total de 284 egressos vinculados aos editais Navega Saberes Infocentros, PIBEX e Eixo Transversal, registrados na Pró-Reitoria de Extensão (PROEX), assim como de dados de relatório elaborado a partir da pesquisa realizada com egressos, que participaram de projetos de extensão no período de 2015 a 2019, os quais responderam um formulário virtual, pelo Google Forms, constituindo um total de 29 respondentes, </w:t>
      </w:r>
      <w:r>
        <w:rPr>
          <w:b/>
          <w:sz w:val="24"/>
          <w:szCs w:val="24"/>
        </w:rPr>
        <w:t xml:space="preserve">assim como </w:t>
      </w:r>
      <w:r>
        <w:rPr>
          <w:sz w:val="24"/>
          <w:szCs w:val="24"/>
        </w:rPr>
        <w:t xml:space="preserve">assinarem um Termo de Consentimento Livre e Esclarecido (TCLE). </w:t>
      </w:r>
    </w:p>
    <w:p w14:paraId="2DB0C0A1" w14:textId="77777777" w:rsidR="00CA2481" w:rsidRDefault="00CA2481">
      <w:pPr>
        <w:spacing w:line="360" w:lineRule="auto"/>
        <w:ind w:firstLine="709"/>
        <w:jc w:val="both"/>
        <w:rPr>
          <w:sz w:val="24"/>
          <w:szCs w:val="24"/>
        </w:rPr>
      </w:pPr>
    </w:p>
    <w:p w14:paraId="25431202" w14:textId="77777777" w:rsidR="00CC0903" w:rsidRDefault="00CC0903">
      <w:pPr>
        <w:spacing w:line="360" w:lineRule="auto"/>
        <w:jc w:val="both"/>
        <w:rPr>
          <w:b/>
          <w:sz w:val="24"/>
          <w:szCs w:val="24"/>
        </w:rPr>
      </w:pPr>
    </w:p>
    <w:p w14:paraId="11C652CC" w14:textId="77777777" w:rsidR="00CC0903" w:rsidRDefault="00CC0903">
      <w:pPr>
        <w:spacing w:line="360" w:lineRule="auto"/>
        <w:jc w:val="both"/>
        <w:rPr>
          <w:b/>
          <w:sz w:val="24"/>
          <w:szCs w:val="24"/>
        </w:rPr>
      </w:pPr>
    </w:p>
    <w:p w14:paraId="70DA9BC1" w14:textId="19169106" w:rsidR="00CA2481" w:rsidRDefault="00000000">
      <w:pPr>
        <w:spacing w:line="360" w:lineRule="auto"/>
        <w:jc w:val="both"/>
        <w:rPr>
          <w:sz w:val="24"/>
          <w:szCs w:val="24"/>
        </w:rPr>
      </w:pPr>
      <w:r>
        <w:rPr>
          <w:b/>
          <w:sz w:val="24"/>
          <w:szCs w:val="24"/>
        </w:rPr>
        <w:lastRenderedPageBreak/>
        <w:t>2</w:t>
      </w:r>
      <w:r>
        <w:rPr>
          <w:b/>
          <w:sz w:val="24"/>
          <w:szCs w:val="24"/>
        </w:rPr>
        <w:tab/>
        <w:t>A EXTENSÃO UNIVERSITÁRIA NO BRASIL: GÊNESE E POLÍTICAS PÚBLICAS</w:t>
      </w:r>
    </w:p>
    <w:p w14:paraId="0D962EF5" w14:textId="77777777" w:rsidR="00CA2481" w:rsidRDefault="00CA2481">
      <w:pPr>
        <w:spacing w:line="240" w:lineRule="auto"/>
        <w:jc w:val="both"/>
        <w:rPr>
          <w:sz w:val="24"/>
          <w:szCs w:val="24"/>
        </w:rPr>
      </w:pPr>
    </w:p>
    <w:p w14:paraId="55941996" w14:textId="77777777" w:rsidR="00CA2481" w:rsidRDefault="00000000">
      <w:pPr>
        <w:spacing w:line="360" w:lineRule="auto"/>
        <w:ind w:firstLine="720"/>
        <w:jc w:val="both"/>
        <w:rPr>
          <w:sz w:val="24"/>
          <w:szCs w:val="24"/>
        </w:rPr>
      </w:pPr>
      <w:r>
        <w:rPr>
          <w:sz w:val="24"/>
          <w:szCs w:val="24"/>
        </w:rPr>
        <w:t xml:space="preserve">A extensão universitária compõe o chamado tripé: Ensino, Pesquisa e Extensão, que é considerado indispensável ao processo de formação acadêmica e profissional dos discentes no ensino superior, ao longo da graduação, em qualquer curso (Deus, 2020). Essa tríade praticada está assegurada juridicamente pela Constituição Federal de 1988, a qual afirma que as universidades “[...] obedecerão ao princípio de indissociabilidade entre ensino, pesquisa e extensão” (Brasil, 2024 p.185). Logo, nota-se que há um entendimento jurídico sobre a importância da inseparabilidade desses três momentos pelos quais o conhecimento universitário passa. </w:t>
      </w:r>
    </w:p>
    <w:p w14:paraId="2DA66C41" w14:textId="77777777" w:rsidR="00CA2481" w:rsidRDefault="00000000">
      <w:pPr>
        <w:spacing w:line="360" w:lineRule="auto"/>
        <w:jc w:val="both"/>
        <w:rPr>
          <w:sz w:val="24"/>
          <w:szCs w:val="24"/>
        </w:rPr>
      </w:pPr>
      <w:r>
        <w:rPr>
          <w:sz w:val="24"/>
          <w:szCs w:val="24"/>
        </w:rPr>
        <w:tab/>
        <w:t>As atividades extensionistas nas universidades brasileiras começaram em 1911 em São Paulo, logo depois no Rio de Janeiro e em Minas Gerais. O decreto n</w:t>
      </w:r>
      <w:r>
        <w:rPr>
          <w:sz w:val="24"/>
          <w:szCs w:val="24"/>
          <w:vertAlign w:val="superscript"/>
        </w:rPr>
        <w:t>o</w:t>
      </w:r>
      <w:r>
        <w:rPr>
          <w:sz w:val="24"/>
          <w:szCs w:val="24"/>
        </w:rPr>
        <w:t xml:space="preserve"> 19.851/1931 deu origem à estrutura universitária brasileira e a partir desse momento começa o processo de institucionalização da extensão nas universidades (Paula, 2013). Ademais, destaca-se que, no transcurso de sua história, a extensão universitária brasileira sofreu influência de atividades extensionistas de universidades norte-americanas, argentinas e europeias (Kochhan, 2017).</w:t>
      </w:r>
    </w:p>
    <w:p w14:paraId="6493CE81" w14:textId="77777777" w:rsidR="00CA2481" w:rsidRDefault="00000000">
      <w:pPr>
        <w:spacing w:line="360" w:lineRule="auto"/>
        <w:ind w:firstLine="720"/>
        <w:jc w:val="both"/>
        <w:rPr>
          <w:sz w:val="24"/>
          <w:szCs w:val="24"/>
        </w:rPr>
      </w:pPr>
      <w:r>
        <w:rPr>
          <w:sz w:val="24"/>
          <w:szCs w:val="24"/>
        </w:rPr>
        <w:t xml:space="preserve">A prática de extensão europeia, por exemplo, tinha marcas assistencialistas, enquanto a da América do Norte estava vinculada ao setor empresarial. Deus (2020) afirma que o conceito de extensão disseminado pelo Estatuto das Universidades Brasileiras tinha o foco em promover o crescimento econômico. Entre 1960 e 1962, segundo Paula (2013), dois seminários nacionais debateram a reforma universitária, buscando aproximar a universidade do povo, ou seja, engajar estudantes na luta dos trabalhadores. </w:t>
      </w:r>
    </w:p>
    <w:p w14:paraId="1566235A" w14:textId="77777777" w:rsidR="00CA2481" w:rsidRDefault="00000000">
      <w:pPr>
        <w:spacing w:line="360" w:lineRule="auto"/>
        <w:ind w:firstLine="720"/>
        <w:jc w:val="both"/>
        <w:rPr>
          <w:sz w:val="24"/>
          <w:szCs w:val="24"/>
        </w:rPr>
      </w:pPr>
      <w:r>
        <w:rPr>
          <w:sz w:val="24"/>
          <w:szCs w:val="24"/>
        </w:rPr>
        <w:t>Já a partir de 1987, o conceito de extensão estruturado pelo Fórum Nacional de Pró-Reitores das Instituições Públicas de Educação Superior Brasileiras (FORPROEX), passou a defender um currículo crítico, transformador e em contato constante com a realidade da população. Destaca-se que em função das discussões do FORPROEX foi criado, no ano de 2003, o Programa Nacional de Apoio à Extensão Universitária (PROEXT)</w:t>
      </w:r>
      <w:r>
        <w:rPr>
          <w:sz w:val="20"/>
          <w:szCs w:val="20"/>
          <w:vertAlign w:val="superscript"/>
        </w:rPr>
        <w:t xml:space="preserve"> </w:t>
      </w:r>
      <w:r>
        <w:rPr>
          <w:sz w:val="24"/>
          <w:szCs w:val="24"/>
        </w:rPr>
        <w:t xml:space="preserve">pelo Ministério </w:t>
      </w:r>
      <w:r>
        <w:rPr>
          <w:sz w:val="24"/>
          <w:szCs w:val="24"/>
        </w:rPr>
        <w:lastRenderedPageBreak/>
        <w:t xml:space="preserve">da Educação e Cultura (MEC). O governo investiu 6 milhões de reais no programa, em 2004, e 80 milhões em 2012. </w:t>
      </w:r>
    </w:p>
    <w:p w14:paraId="0A66EA2C" w14:textId="0B0F106B" w:rsidR="00CA2481" w:rsidRDefault="00000000">
      <w:pPr>
        <w:pBdr>
          <w:top w:val="nil"/>
          <w:left w:val="nil"/>
          <w:bottom w:val="nil"/>
          <w:right w:val="nil"/>
          <w:between w:val="nil"/>
        </w:pBdr>
        <w:spacing w:line="360" w:lineRule="auto"/>
        <w:ind w:firstLine="720"/>
        <w:jc w:val="both"/>
        <w:rPr>
          <w:sz w:val="24"/>
          <w:szCs w:val="24"/>
        </w:rPr>
      </w:pPr>
      <w:r>
        <w:rPr>
          <w:sz w:val="24"/>
          <w:szCs w:val="24"/>
        </w:rPr>
        <w:t xml:space="preserve">No ano de 2020 o Plano Nacional de Educação (2014-2024) foi ratificada uma meta que determina a inclusão de ações extensionistas nos cursos de </w:t>
      </w:r>
      <w:r w:rsidR="00C96B6B">
        <w:rPr>
          <w:sz w:val="24"/>
          <w:szCs w:val="24"/>
        </w:rPr>
        <w:t>graduação. (</w:t>
      </w:r>
      <w:r>
        <w:rPr>
          <w:sz w:val="24"/>
          <w:szCs w:val="24"/>
        </w:rPr>
        <w:t xml:space="preserve">Deus, 2020). Essas cifras demonstram que houve um aumento de 74 milhões no PROEXT, o que significa uma percepção mais acurada de que a extensão também deve se desenvolver com mais estrutura. Logo, com uma melhor estrutura, as atividades de extensão na universidade, podem comunicar os valores e as possibilidades institucionais, para que o sentido da vida e da história humana sejam demonstrados e realizados (Síveres, 2013). Ademais, os projetos acadêmicos podem ser publicizados, e isso permite que os extensionistas adquiram nesse processo novas formas de conhecimentos, novas informações, agindo e refletindo por meio de um conhecimento comprometido socialmente. </w:t>
      </w:r>
    </w:p>
    <w:p w14:paraId="29324F7C" w14:textId="77777777" w:rsidR="00CA2481" w:rsidRDefault="00000000">
      <w:pPr>
        <w:pBdr>
          <w:top w:val="nil"/>
          <w:left w:val="nil"/>
          <w:bottom w:val="nil"/>
          <w:right w:val="nil"/>
          <w:between w:val="nil"/>
        </w:pBdr>
        <w:spacing w:line="360" w:lineRule="auto"/>
        <w:ind w:firstLine="720"/>
        <w:jc w:val="both"/>
        <w:rPr>
          <w:sz w:val="24"/>
          <w:szCs w:val="24"/>
        </w:rPr>
      </w:pPr>
      <w:r>
        <w:rPr>
          <w:sz w:val="24"/>
          <w:szCs w:val="24"/>
        </w:rPr>
        <w:t xml:space="preserve">Percebe-se, então, um aprofundamento de natureza histórico institucional nas últimas décadas e uma aproximação com o social por meio de ações extensionistas, visando um contato mais concreto com as necessidades da população mediante, também, uma mudança de postura das instituições de ensino superior no Brasil em relação às demandas da sociedade. Desse modo, a Política Nacional de Extensão foi acordada entre as instituições públicas de ensino superior em 2012, tendo como fundamento o Plano Nacional de Extensão (PNE) publicado em 1999 (FORPROEX, 2007). No ano de 2001 emplacou-se o Plano Nacional de Educação (decênio 2001-2010) dando mais capilaridade institucional à extensão nas universidades.  </w:t>
      </w:r>
    </w:p>
    <w:p w14:paraId="0A20160D" w14:textId="77777777" w:rsidR="00CA2481" w:rsidRDefault="00000000">
      <w:pPr>
        <w:pBdr>
          <w:top w:val="nil"/>
          <w:left w:val="nil"/>
          <w:bottom w:val="nil"/>
          <w:right w:val="nil"/>
          <w:between w:val="nil"/>
        </w:pBdr>
        <w:spacing w:line="360" w:lineRule="auto"/>
        <w:jc w:val="both"/>
        <w:rPr>
          <w:sz w:val="24"/>
          <w:szCs w:val="24"/>
        </w:rPr>
      </w:pPr>
      <w:r>
        <w:rPr>
          <w:sz w:val="24"/>
          <w:szCs w:val="24"/>
        </w:rPr>
        <w:tab/>
        <w:t xml:space="preserve">De acordo com FORPROEX (2007) o PNE estabeleceu quatro diretrizes que devem perpassar as ações de extensão: Impacto e transformação; Interação dialógica; Interdisciplinaridade; e Indissociabilidade ensino-pesquisa-extensão. No artigo 5°, inciso I (Resolução número 7, de 18/12/2018), vemos que as práticas extensionistas devem ter como base o diálogo </w:t>
      </w:r>
      <w:r>
        <w:rPr>
          <w:i/>
          <w:sz w:val="24"/>
          <w:szCs w:val="24"/>
        </w:rPr>
        <w:t>academia/sociedade:</w:t>
      </w:r>
      <w:r>
        <w:rPr>
          <w:sz w:val="24"/>
          <w:szCs w:val="24"/>
        </w:rPr>
        <w:t xml:space="preserve"> “[...] I - a interação dialógica da comunidade acadêmica com a sociedade por meio da troca de conhecimentos, da participação e do contato com as questões complexas contemporâneas presentes no contexto social” (BRASIL, 2018, p.1). </w:t>
      </w:r>
    </w:p>
    <w:p w14:paraId="0BFAA793" w14:textId="77777777" w:rsidR="00CA2481" w:rsidRDefault="00000000">
      <w:pPr>
        <w:pBdr>
          <w:top w:val="nil"/>
          <w:left w:val="nil"/>
          <w:bottom w:val="nil"/>
          <w:right w:val="nil"/>
          <w:between w:val="nil"/>
        </w:pBdr>
        <w:spacing w:line="360" w:lineRule="auto"/>
        <w:ind w:firstLine="720"/>
        <w:jc w:val="both"/>
        <w:rPr>
          <w:sz w:val="24"/>
          <w:szCs w:val="24"/>
        </w:rPr>
      </w:pPr>
      <w:r>
        <w:rPr>
          <w:sz w:val="24"/>
          <w:szCs w:val="24"/>
        </w:rPr>
        <w:lastRenderedPageBreak/>
        <w:t xml:space="preserve">A resolução número 7, de 18/12/2018, no artigo 2º instituiu as regras para a extensão dentro do ensino superior, alinhado com o Plano Nacional de Educação (2014-2024). Andrade e Queiroz (2024) afirmam que o processo legislacional pelo qual passou a extensão é chamado de </w:t>
      </w:r>
      <w:r>
        <w:rPr>
          <w:i/>
          <w:sz w:val="24"/>
          <w:szCs w:val="24"/>
        </w:rPr>
        <w:t>curricularização da extensão</w:t>
      </w:r>
      <w:r>
        <w:rPr>
          <w:sz w:val="24"/>
          <w:szCs w:val="24"/>
        </w:rPr>
        <w:t>, assim, as legislações e diretrizes nacionais legalizaram a extensão universitária no Brasil, representando a institucionalização universitária da extensão, identificando a extensão como uma prática de formação acadêmico-profissional fundamental, tal como o ensino e pesquisa. Portanto, a institucionalização da extensão na UFPA, inicia a partir de 2005 com a aprovação da resolução n</w:t>
      </w:r>
      <w:r>
        <w:rPr>
          <w:sz w:val="24"/>
          <w:szCs w:val="24"/>
          <w:vertAlign w:val="superscript"/>
        </w:rPr>
        <w:t xml:space="preserve">o </w:t>
      </w:r>
      <w:r>
        <w:rPr>
          <w:sz w:val="24"/>
          <w:szCs w:val="24"/>
        </w:rPr>
        <w:t>3.298, cuja experiência será apresentada a seguir.</w:t>
      </w:r>
    </w:p>
    <w:p w14:paraId="29FB6462" w14:textId="77777777" w:rsidR="00CA2481" w:rsidRDefault="00CA2481">
      <w:pPr>
        <w:spacing w:line="240" w:lineRule="auto"/>
        <w:ind w:firstLine="709"/>
        <w:jc w:val="both"/>
        <w:rPr>
          <w:sz w:val="24"/>
          <w:szCs w:val="24"/>
        </w:rPr>
      </w:pPr>
    </w:p>
    <w:p w14:paraId="2C46BD00" w14:textId="77777777" w:rsidR="00CA2481" w:rsidRDefault="00000000">
      <w:pPr>
        <w:spacing w:line="360" w:lineRule="auto"/>
        <w:jc w:val="both"/>
        <w:rPr>
          <w:b/>
          <w:sz w:val="24"/>
          <w:szCs w:val="24"/>
        </w:rPr>
      </w:pPr>
      <w:r>
        <w:rPr>
          <w:b/>
          <w:sz w:val="24"/>
          <w:szCs w:val="24"/>
        </w:rPr>
        <w:t>3 EXTENSÃO UNIVERSITÁRIA NA UNIVERSIDADE FEDERAL DO PARÁ (UFPA)</w:t>
      </w:r>
    </w:p>
    <w:p w14:paraId="30CD61B9" w14:textId="77777777" w:rsidR="00CA2481" w:rsidRDefault="00CA2481">
      <w:pPr>
        <w:spacing w:line="240" w:lineRule="auto"/>
        <w:ind w:firstLine="720"/>
        <w:jc w:val="both"/>
        <w:rPr>
          <w:sz w:val="24"/>
          <w:szCs w:val="24"/>
        </w:rPr>
      </w:pPr>
    </w:p>
    <w:p w14:paraId="522ABCF0" w14:textId="3D8C6F12" w:rsidR="00CA2481" w:rsidRDefault="00000000">
      <w:pPr>
        <w:spacing w:line="360" w:lineRule="auto"/>
        <w:ind w:firstLine="708"/>
        <w:jc w:val="both"/>
        <w:rPr>
          <w:sz w:val="24"/>
          <w:szCs w:val="24"/>
        </w:rPr>
      </w:pPr>
      <w:r>
        <w:rPr>
          <w:sz w:val="24"/>
          <w:szCs w:val="24"/>
        </w:rPr>
        <w:t xml:space="preserve">Com base no Plano de Desenvolvimento Institucional, a UFPA deve estar atrelada à ideia de reconhecimento e dialogar com os modos de vida e saberes, sejam eles locais, regionais ou mundiais e com eles desenvolver o conhecimento acadêmico. Essa prática, na extensão universitária valoriza os diferentes modos de vida e racionalidades, especialmente na Região Amazônica, fortalecendo uma universidade mais conectada com as realidades </w:t>
      </w:r>
      <w:r w:rsidR="00C96B6B">
        <w:rPr>
          <w:sz w:val="24"/>
          <w:szCs w:val="24"/>
        </w:rPr>
        <w:t>locais. (</w:t>
      </w:r>
      <w:r>
        <w:rPr>
          <w:sz w:val="24"/>
          <w:szCs w:val="24"/>
        </w:rPr>
        <w:t>PDI-UFPA/2016-2025, 2016)</w:t>
      </w:r>
    </w:p>
    <w:p w14:paraId="4C9F2F02" w14:textId="0FC82909" w:rsidR="00CA2481" w:rsidRDefault="00000000">
      <w:pPr>
        <w:pBdr>
          <w:top w:val="nil"/>
          <w:left w:val="nil"/>
          <w:bottom w:val="nil"/>
          <w:right w:val="nil"/>
          <w:between w:val="nil"/>
        </w:pBdr>
        <w:spacing w:line="360" w:lineRule="auto"/>
        <w:ind w:firstLine="720"/>
        <w:jc w:val="both"/>
        <w:rPr>
          <w:sz w:val="24"/>
          <w:szCs w:val="24"/>
        </w:rPr>
      </w:pPr>
      <w:r>
        <w:rPr>
          <w:sz w:val="24"/>
          <w:szCs w:val="24"/>
        </w:rPr>
        <w:t>Analisando a resolução normativa número 5.467, de 27/1/2022</w:t>
      </w:r>
      <w:r>
        <w:rPr>
          <w:sz w:val="24"/>
          <w:szCs w:val="24"/>
          <w:vertAlign w:val="superscript"/>
        </w:rPr>
        <w:footnoteReference w:id="3"/>
      </w:r>
      <w:r>
        <w:rPr>
          <w:sz w:val="24"/>
          <w:szCs w:val="24"/>
        </w:rPr>
        <w:t>, constata-se que a extensão é entendida como uma ação transformadora envolvendo a UFPA e os setores da sociedade. O artigo 1º afirma que essa transformação será feita por meio “[...] da produção e da aplicação de conhecimentos, em articulação permanente com o ensino e a pesquisa” (UFPA/CONSEPE, 2022, p.1). O 3º artigo da resolução destaca que os currículos de todas as graduações deverão reservar pelo menos 10% da carga horária total para atividades extensionistas. Conforme consta no artigo 4º, as atividades extensionistas são classificadas nas seguintes modalidades: I- Programa; II- Projetos; III- Cursos; IV- Eventos; V- Prestação de serviços. São cursadas também em formas de disciplinas (</w:t>
      </w:r>
      <w:r>
        <w:rPr>
          <w:b/>
          <w:sz w:val="24"/>
          <w:szCs w:val="24"/>
        </w:rPr>
        <w:t>p.3). T</w:t>
      </w:r>
      <w:r>
        <w:rPr>
          <w:sz w:val="24"/>
          <w:szCs w:val="24"/>
        </w:rPr>
        <w:t xml:space="preserve">ais modalidades podem ser executadas dentro da UFPA como também em regime de colaboração </w:t>
      </w:r>
      <w:r w:rsidR="00C96B6B">
        <w:rPr>
          <w:sz w:val="24"/>
          <w:szCs w:val="24"/>
        </w:rPr>
        <w:t xml:space="preserve">com </w:t>
      </w:r>
      <w:r w:rsidR="00C96B6B">
        <w:rPr>
          <w:sz w:val="24"/>
          <w:szCs w:val="24"/>
        </w:rPr>
        <w:lastRenderedPageBreak/>
        <w:t>políticas</w:t>
      </w:r>
      <w:r>
        <w:rPr>
          <w:sz w:val="24"/>
          <w:szCs w:val="24"/>
        </w:rPr>
        <w:t xml:space="preserve"> governamentais das três esferas e entidades não governamentais, sempre em consonância com as políticas públicas.</w:t>
      </w:r>
    </w:p>
    <w:p w14:paraId="11DB482E" w14:textId="47C66F0E" w:rsidR="00CA2481" w:rsidRDefault="00C96B6B">
      <w:pPr>
        <w:pBdr>
          <w:top w:val="nil"/>
          <w:left w:val="nil"/>
          <w:bottom w:val="nil"/>
          <w:right w:val="nil"/>
          <w:between w:val="nil"/>
        </w:pBdr>
        <w:spacing w:line="360" w:lineRule="auto"/>
        <w:ind w:firstLine="720"/>
        <w:jc w:val="both"/>
        <w:rPr>
          <w:sz w:val="24"/>
          <w:szCs w:val="24"/>
        </w:rPr>
      </w:pPr>
      <w:r>
        <w:rPr>
          <w:sz w:val="24"/>
          <w:szCs w:val="24"/>
        </w:rPr>
        <w:t>No PDI</w:t>
      </w:r>
      <w:r w:rsidR="00000000">
        <w:rPr>
          <w:sz w:val="24"/>
          <w:szCs w:val="24"/>
        </w:rPr>
        <w:t xml:space="preserve"> (2016-2025) observa-se que desde o ano de 1986 há a preocupação da UFPA em aprofundar seu contato com a Amazônia. Como exemplo, registra-se o processo de interiorização que teve como foco ampliar as ações de ensino, pesquisa e extensão para o interior do estado do Pará, e esse processo culminou com a criação de vários Campus universitários, dentre eles o Campus de Castanhal, fundado em 14 de abril de 1978 (PDI-UFPA/2016-2025, 2016). </w:t>
      </w:r>
    </w:p>
    <w:p w14:paraId="246CC822" w14:textId="77777777" w:rsidR="00CA2481" w:rsidRDefault="00000000">
      <w:pPr>
        <w:pBdr>
          <w:top w:val="nil"/>
          <w:left w:val="nil"/>
          <w:bottom w:val="nil"/>
          <w:right w:val="nil"/>
          <w:between w:val="nil"/>
        </w:pBdr>
        <w:spacing w:line="360" w:lineRule="auto"/>
        <w:ind w:firstLine="720"/>
        <w:jc w:val="both"/>
        <w:rPr>
          <w:sz w:val="24"/>
          <w:szCs w:val="24"/>
        </w:rPr>
      </w:pPr>
      <w:r>
        <w:rPr>
          <w:sz w:val="24"/>
          <w:szCs w:val="24"/>
        </w:rPr>
        <w:t xml:space="preserve">No que diz respeito ao Campus de Castanhal, este mantém uma forte ligação com as ações de extensão universitária. Castanhal pertence à mesorregião Metropolitana de Belém e sua microrregião abrange os municípios de Bujaru, Inhangapi, Santa Isabel do Pará e Santo Antônio do Tauá. Em 14 de abril de 1978 a UFPA assinou o convênio que marcou a criação da UFPA na cidade, por meio do Núcleo de Educação e do Serviço de Extensão, e sua escolha se deu por sua localização estratégica, capaz de atender diferentes regiões. </w:t>
      </w:r>
    </w:p>
    <w:p w14:paraId="7C467566" w14:textId="77777777" w:rsidR="00CA2481" w:rsidRDefault="00000000">
      <w:pPr>
        <w:spacing w:line="360" w:lineRule="auto"/>
        <w:ind w:firstLine="720"/>
        <w:jc w:val="both"/>
        <w:rPr>
          <w:sz w:val="24"/>
          <w:szCs w:val="24"/>
        </w:rPr>
      </w:pPr>
      <w:r>
        <w:rPr>
          <w:sz w:val="24"/>
          <w:szCs w:val="24"/>
        </w:rPr>
        <w:t xml:space="preserve">De acordo com o PDU (2022) o Campus de Castanhal foi fundado com a finalidade de promover o ensino, a pesquisa e a extensão, tanto em formato extensivo quanto intensivo, pois possui 7 cursos de graduação e 4 cursos de Pós-Graduação. Ademais, o Campus, até o ano de 2021, apresentou 58 projetos aprovados de pesquisa e extensão, destes 24 projetos são da área de extensão. </w:t>
      </w:r>
    </w:p>
    <w:p w14:paraId="3612BAF9" w14:textId="77777777" w:rsidR="00CA2481" w:rsidRDefault="00000000">
      <w:pPr>
        <w:spacing w:line="240" w:lineRule="auto"/>
        <w:ind w:firstLine="720"/>
        <w:jc w:val="both"/>
        <w:rPr>
          <w:sz w:val="24"/>
          <w:szCs w:val="24"/>
          <w:u w:val="single"/>
        </w:rPr>
      </w:pPr>
      <w:r>
        <w:rPr>
          <w:sz w:val="24"/>
          <w:szCs w:val="24"/>
          <w:u w:val="single"/>
        </w:rPr>
        <w:t xml:space="preserve"> </w:t>
      </w:r>
    </w:p>
    <w:p w14:paraId="079BB21C" w14:textId="77777777" w:rsidR="00CA2481" w:rsidRDefault="00000000">
      <w:pPr>
        <w:spacing w:line="360" w:lineRule="auto"/>
        <w:jc w:val="both"/>
        <w:rPr>
          <w:b/>
          <w:sz w:val="24"/>
          <w:szCs w:val="24"/>
        </w:rPr>
      </w:pPr>
      <w:r>
        <w:rPr>
          <w:b/>
          <w:sz w:val="24"/>
          <w:szCs w:val="24"/>
        </w:rPr>
        <w:t xml:space="preserve">3.1       Participação dos extensionistas egressos da UFPA Campus Castanhal </w:t>
      </w:r>
    </w:p>
    <w:p w14:paraId="7B0C92DE" w14:textId="77777777" w:rsidR="00CA2481" w:rsidRDefault="00CA2481">
      <w:pPr>
        <w:spacing w:line="240" w:lineRule="auto"/>
        <w:jc w:val="both"/>
        <w:rPr>
          <w:b/>
          <w:sz w:val="24"/>
          <w:szCs w:val="24"/>
        </w:rPr>
      </w:pPr>
    </w:p>
    <w:p w14:paraId="2C6B3F6B" w14:textId="565283DA" w:rsidR="00CA2481" w:rsidRDefault="00000000">
      <w:pPr>
        <w:pBdr>
          <w:top w:val="nil"/>
          <w:left w:val="nil"/>
          <w:bottom w:val="nil"/>
          <w:right w:val="nil"/>
          <w:between w:val="nil"/>
        </w:pBdr>
        <w:spacing w:line="360" w:lineRule="auto"/>
        <w:ind w:firstLine="720"/>
        <w:jc w:val="both"/>
        <w:rPr>
          <w:sz w:val="24"/>
          <w:szCs w:val="24"/>
        </w:rPr>
      </w:pPr>
      <w:r>
        <w:rPr>
          <w:sz w:val="24"/>
          <w:szCs w:val="24"/>
        </w:rPr>
        <w:t xml:space="preserve">A partir das informações do SIGAEST, ao analisar editais lançados pela PROEX, primeiramente, destaca-se o quadro 1, no qual estão apresentados os editais e a proporção de alunos bolsistas e voluntários que participaram em projetos de extensão, no Campus </w:t>
      </w:r>
      <w:r w:rsidR="00C96B6B">
        <w:rPr>
          <w:sz w:val="24"/>
          <w:szCs w:val="24"/>
        </w:rPr>
        <w:t>Castanhal, no</w:t>
      </w:r>
      <w:r>
        <w:rPr>
          <w:sz w:val="24"/>
          <w:szCs w:val="24"/>
        </w:rPr>
        <w:t xml:space="preserve"> período de 2015 a 2019:</w:t>
      </w:r>
    </w:p>
    <w:p w14:paraId="296CAD96" w14:textId="77777777" w:rsidR="00CA2481" w:rsidRDefault="00CA2481">
      <w:pPr>
        <w:pBdr>
          <w:top w:val="nil"/>
          <w:left w:val="nil"/>
          <w:bottom w:val="nil"/>
          <w:right w:val="nil"/>
          <w:between w:val="nil"/>
        </w:pBdr>
        <w:spacing w:line="360" w:lineRule="auto"/>
        <w:ind w:firstLine="720"/>
        <w:jc w:val="both"/>
        <w:rPr>
          <w:sz w:val="24"/>
          <w:szCs w:val="24"/>
        </w:rPr>
      </w:pPr>
    </w:p>
    <w:p w14:paraId="494C126F" w14:textId="77777777" w:rsidR="00CA2481" w:rsidRDefault="00CA2481">
      <w:pPr>
        <w:pBdr>
          <w:top w:val="nil"/>
          <w:left w:val="nil"/>
          <w:bottom w:val="nil"/>
          <w:right w:val="nil"/>
          <w:between w:val="nil"/>
        </w:pBdr>
        <w:spacing w:line="360" w:lineRule="auto"/>
        <w:ind w:firstLine="720"/>
        <w:jc w:val="both"/>
        <w:rPr>
          <w:sz w:val="24"/>
          <w:szCs w:val="24"/>
        </w:rPr>
      </w:pPr>
    </w:p>
    <w:p w14:paraId="2ABE57FA" w14:textId="77777777" w:rsidR="00C96B6B" w:rsidRDefault="00C96B6B">
      <w:pPr>
        <w:pBdr>
          <w:top w:val="nil"/>
          <w:left w:val="nil"/>
          <w:bottom w:val="nil"/>
          <w:right w:val="nil"/>
          <w:between w:val="nil"/>
        </w:pBdr>
        <w:spacing w:line="360" w:lineRule="auto"/>
        <w:ind w:firstLine="720"/>
        <w:jc w:val="both"/>
        <w:rPr>
          <w:sz w:val="24"/>
          <w:szCs w:val="24"/>
        </w:rPr>
      </w:pPr>
    </w:p>
    <w:p w14:paraId="76C866DC" w14:textId="77777777" w:rsidR="00CA2481" w:rsidRDefault="00000000">
      <w:pPr>
        <w:spacing w:line="360" w:lineRule="auto"/>
        <w:ind w:firstLine="720"/>
        <w:jc w:val="both"/>
        <w:rPr>
          <w:sz w:val="24"/>
          <w:szCs w:val="24"/>
        </w:rPr>
      </w:pPr>
      <w:r>
        <w:rPr>
          <w:b/>
          <w:sz w:val="24"/>
          <w:szCs w:val="24"/>
        </w:rPr>
        <w:lastRenderedPageBreak/>
        <w:t>Quadro 1:</w:t>
      </w:r>
      <w:r>
        <w:rPr>
          <w:sz w:val="24"/>
          <w:szCs w:val="24"/>
        </w:rPr>
        <w:t xml:space="preserve"> Bolsistas e voluntários do Campus Castanhal 2015 a 2019</w:t>
      </w:r>
    </w:p>
    <w:tbl>
      <w:tblPr>
        <w:tblStyle w:val="a0"/>
        <w:tblW w:w="0" w:type="auto"/>
        <w:tblInd w:w="0" w:type="dxa"/>
        <w:tblLayout w:type="fixed"/>
        <w:tblLook w:val="0400" w:firstRow="0" w:lastRow="0" w:firstColumn="0" w:lastColumn="0" w:noHBand="0" w:noVBand="1"/>
      </w:tblPr>
      <w:tblGrid>
        <w:gridCol w:w="1205"/>
        <w:gridCol w:w="1205"/>
        <w:gridCol w:w="1205"/>
        <w:gridCol w:w="1205"/>
        <w:gridCol w:w="1205"/>
        <w:gridCol w:w="1205"/>
        <w:gridCol w:w="1205"/>
        <w:gridCol w:w="1205"/>
      </w:tblGrid>
      <w:tr w:rsidR="00CA2481" w14:paraId="3D694AB7" w14:textId="77777777">
        <w:tc>
          <w:tcPr>
            <w:tcW w:w="120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11F0D79" w14:textId="77777777" w:rsidR="00CA2481" w:rsidRDefault="00000000">
            <w:pPr>
              <w:jc w:val="center"/>
              <w:rPr>
                <w:sz w:val="20"/>
                <w:szCs w:val="20"/>
              </w:rPr>
            </w:pPr>
            <w:r>
              <w:rPr>
                <w:sz w:val="20"/>
                <w:szCs w:val="20"/>
              </w:rPr>
              <w:t xml:space="preserve"> </w:t>
            </w:r>
          </w:p>
          <w:p w14:paraId="1F547EB3" w14:textId="77777777" w:rsidR="00CA2481" w:rsidRDefault="00000000">
            <w:pPr>
              <w:jc w:val="center"/>
              <w:rPr>
                <w:sz w:val="20"/>
                <w:szCs w:val="20"/>
              </w:rPr>
            </w:pPr>
            <w:r>
              <w:rPr>
                <w:sz w:val="20"/>
                <w:szCs w:val="20"/>
              </w:rPr>
              <w:t>Ano</w:t>
            </w:r>
          </w:p>
        </w:tc>
        <w:tc>
          <w:tcPr>
            <w:tcW w:w="1205"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078D6529" w14:textId="77777777" w:rsidR="00CA2481" w:rsidRDefault="00000000">
            <w:pPr>
              <w:jc w:val="both"/>
              <w:rPr>
                <w:sz w:val="20"/>
                <w:szCs w:val="20"/>
              </w:rPr>
            </w:pPr>
            <w:r>
              <w:rPr>
                <w:sz w:val="20"/>
                <w:szCs w:val="20"/>
              </w:rPr>
              <w:t xml:space="preserve">Voluntário  </w:t>
            </w:r>
          </w:p>
        </w:tc>
        <w:tc>
          <w:tcPr>
            <w:tcW w:w="1205"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566E837D" w14:textId="77777777" w:rsidR="00CA2481" w:rsidRDefault="00000000">
            <w:pPr>
              <w:jc w:val="both"/>
              <w:rPr>
                <w:sz w:val="20"/>
                <w:szCs w:val="20"/>
              </w:rPr>
            </w:pPr>
            <w:r>
              <w:rPr>
                <w:sz w:val="20"/>
                <w:szCs w:val="20"/>
              </w:rPr>
              <w:t>Bolsista</w:t>
            </w:r>
          </w:p>
        </w:tc>
        <w:tc>
          <w:tcPr>
            <w:tcW w:w="1205"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68B72D55" w14:textId="77777777" w:rsidR="00CA2481" w:rsidRDefault="00000000">
            <w:pPr>
              <w:jc w:val="both"/>
              <w:rPr>
                <w:sz w:val="20"/>
                <w:szCs w:val="20"/>
              </w:rPr>
            </w:pPr>
            <w:r>
              <w:rPr>
                <w:sz w:val="20"/>
                <w:szCs w:val="20"/>
              </w:rPr>
              <w:t>Voluntário</w:t>
            </w:r>
          </w:p>
        </w:tc>
        <w:tc>
          <w:tcPr>
            <w:tcW w:w="1205"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56531302" w14:textId="77777777" w:rsidR="00CA2481" w:rsidRDefault="00000000">
            <w:pPr>
              <w:jc w:val="both"/>
              <w:rPr>
                <w:sz w:val="20"/>
                <w:szCs w:val="20"/>
              </w:rPr>
            </w:pPr>
            <w:r>
              <w:rPr>
                <w:sz w:val="20"/>
                <w:szCs w:val="20"/>
              </w:rPr>
              <w:t>Bolsista</w:t>
            </w:r>
          </w:p>
        </w:tc>
        <w:tc>
          <w:tcPr>
            <w:tcW w:w="1205"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4C0D1A9A" w14:textId="77777777" w:rsidR="00CA2481" w:rsidRDefault="00000000">
            <w:pPr>
              <w:jc w:val="both"/>
              <w:rPr>
                <w:sz w:val="20"/>
                <w:szCs w:val="20"/>
              </w:rPr>
            </w:pPr>
            <w:r>
              <w:rPr>
                <w:sz w:val="20"/>
                <w:szCs w:val="20"/>
              </w:rPr>
              <w:t>Voluntário</w:t>
            </w:r>
          </w:p>
        </w:tc>
        <w:tc>
          <w:tcPr>
            <w:tcW w:w="1205"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2DC26ED9" w14:textId="77777777" w:rsidR="00CA2481" w:rsidRDefault="00000000">
            <w:pPr>
              <w:jc w:val="both"/>
              <w:rPr>
                <w:sz w:val="20"/>
                <w:szCs w:val="20"/>
              </w:rPr>
            </w:pPr>
            <w:r>
              <w:rPr>
                <w:sz w:val="20"/>
                <w:szCs w:val="20"/>
              </w:rPr>
              <w:t>Bolsista</w:t>
            </w:r>
          </w:p>
        </w:tc>
        <w:tc>
          <w:tcPr>
            <w:tcW w:w="1205"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172339B3" w14:textId="77777777" w:rsidR="00CA2481" w:rsidRDefault="00000000">
            <w:pPr>
              <w:jc w:val="both"/>
              <w:rPr>
                <w:sz w:val="20"/>
                <w:szCs w:val="20"/>
              </w:rPr>
            </w:pPr>
            <w:r>
              <w:rPr>
                <w:sz w:val="20"/>
                <w:szCs w:val="20"/>
              </w:rPr>
              <w:t>Total</w:t>
            </w:r>
          </w:p>
        </w:tc>
      </w:tr>
      <w:tr w:rsidR="00CA2481" w14:paraId="7AF1C6F0" w14:textId="77777777">
        <w:tc>
          <w:tcPr>
            <w:tcW w:w="120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B641B49" w14:textId="77777777" w:rsidR="00CA2481" w:rsidRDefault="00CA2481">
            <w:pPr>
              <w:widowControl w:val="0"/>
              <w:pBdr>
                <w:top w:val="nil"/>
                <w:left w:val="nil"/>
                <w:bottom w:val="nil"/>
                <w:right w:val="nil"/>
                <w:between w:val="nil"/>
              </w:pBdr>
              <w:rPr>
                <w:sz w:val="20"/>
                <w:szCs w:val="20"/>
              </w:rPr>
            </w:pPr>
          </w:p>
        </w:tc>
        <w:tc>
          <w:tcPr>
            <w:tcW w:w="2410"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A7779F7" w14:textId="77777777" w:rsidR="00CA2481" w:rsidRDefault="00000000">
            <w:pPr>
              <w:jc w:val="center"/>
              <w:rPr>
                <w:sz w:val="20"/>
                <w:szCs w:val="20"/>
              </w:rPr>
            </w:pPr>
            <w:r>
              <w:rPr>
                <w:sz w:val="20"/>
                <w:szCs w:val="20"/>
              </w:rPr>
              <w:t>Edital Pibex</w:t>
            </w:r>
          </w:p>
        </w:tc>
        <w:tc>
          <w:tcPr>
            <w:tcW w:w="2410"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48EC647" w14:textId="77777777" w:rsidR="00CA2481" w:rsidRDefault="00000000">
            <w:pPr>
              <w:jc w:val="center"/>
              <w:rPr>
                <w:sz w:val="20"/>
                <w:szCs w:val="20"/>
              </w:rPr>
            </w:pPr>
            <w:r>
              <w:rPr>
                <w:sz w:val="20"/>
                <w:szCs w:val="20"/>
              </w:rPr>
              <w:t>Edital Eixo</w:t>
            </w:r>
          </w:p>
        </w:tc>
        <w:tc>
          <w:tcPr>
            <w:tcW w:w="2410"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45991EC" w14:textId="77777777" w:rsidR="00CA2481" w:rsidRDefault="00000000">
            <w:pPr>
              <w:jc w:val="center"/>
              <w:rPr>
                <w:sz w:val="20"/>
                <w:szCs w:val="20"/>
              </w:rPr>
            </w:pPr>
            <w:r>
              <w:rPr>
                <w:sz w:val="20"/>
                <w:szCs w:val="20"/>
              </w:rPr>
              <w:t>Edital Navega</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B3FD597" w14:textId="77777777" w:rsidR="00CA2481" w:rsidRDefault="00000000">
            <w:pPr>
              <w:jc w:val="center"/>
              <w:rPr>
                <w:sz w:val="20"/>
                <w:szCs w:val="20"/>
              </w:rPr>
            </w:pPr>
            <w:r>
              <w:rPr>
                <w:sz w:val="20"/>
                <w:szCs w:val="20"/>
              </w:rPr>
              <w:t xml:space="preserve"> </w:t>
            </w:r>
          </w:p>
        </w:tc>
      </w:tr>
      <w:tr w:rsidR="00CA2481" w14:paraId="155021B8" w14:textId="77777777">
        <w:tc>
          <w:tcPr>
            <w:tcW w:w="120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869D129" w14:textId="77777777" w:rsidR="00CA2481" w:rsidRDefault="00000000">
            <w:pPr>
              <w:jc w:val="center"/>
              <w:rPr>
                <w:sz w:val="20"/>
                <w:szCs w:val="20"/>
              </w:rPr>
            </w:pPr>
            <w:r>
              <w:rPr>
                <w:sz w:val="20"/>
                <w:szCs w:val="20"/>
              </w:rPr>
              <w:t>2015</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E89E1FD" w14:textId="77777777" w:rsidR="00CA2481" w:rsidRDefault="00000000">
            <w:pPr>
              <w:jc w:val="center"/>
              <w:rPr>
                <w:sz w:val="20"/>
                <w:szCs w:val="20"/>
              </w:rPr>
            </w:pPr>
            <w:r>
              <w:rPr>
                <w:sz w:val="20"/>
                <w:szCs w:val="20"/>
              </w:rPr>
              <w:t>22</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AAFADC9" w14:textId="77777777" w:rsidR="00CA2481" w:rsidRDefault="00000000">
            <w:pPr>
              <w:jc w:val="center"/>
              <w:rPr>
                <w:sz w:val="20"/>
                <w:szCs w:val="20"/>
              </w:rPr>
            </w:pPr>
            <w:r>
              <w:rPr>
                <w:sz w:val="20"/>
                <w:szCs w:val="20"/>
              </w:rPr>
              <w:t>12</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0AAA9B3" w14:textId="77777777" w:rsidR="00CA2481" w:rsidRDefault="00000000">
            <w:pPr>
              <w:jc w:val="center"/>
              <w:rPr>
                <w:sz w:val="20"/>
                <w:szCs w:val="20"/>
              </w:rPr>
            </w:pPr>
            <w:r>
              <w:rPr>
                <w:sz w:val="20"/>
                <w:szCs w:val="20"/>
              </w:rPr>
              <w:t>00</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E3CFBE9" w14:textId="77777777" w:rsidR="00CA2481" w:rsidRDefault="00000000">
            <w:pPr>
              <w:jc w:val="center"/>
              <w:rPr>
                <w:sz w:val="20"/>
                <w:szCs w:val="20"/>
              </w:rPr>
            </w:pPr>
            <w:r>
              <w:rPr>
                <w:sz w:val="20"/>
                <w:szCs w:val="20"/>
              </w:rPr>
              <w:t>03</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4990937" w14:textId="77777777" w:rsidR="00CA2481" w:rsidRDefault="00000000">
            <w:pPr>
              <w:jc w:val="center"/>
              <w:rPr>
                <w:sz w:val="20"/>
                <w:szCs w:val="20"/>
              </w:rPr>
            </w:pPr>
            <w:r>
              <w:rPr>
                <w:sz w:val="20"/>
                <w:szCs w:val="20"/>
              </w:rPr>
              <w:t>00</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E034849" w14:textId="77777777" w:rsidR="00CA2481" w:rsidRDefault="00000000">
            <w:pPr>
              <w:jc w:val="center"/>
              <w:rPr>
                <w:sz w:val="20"/>
                <w:szCs w:val="20"/>
              </w:rPr>
            </w:pPr>
            <w:r>
              <w:rPr>
                <w:sz w:val="20"/>
                <w:szCs w:val="20"/>
              </w:rPr>
              <w:t>05</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EF91965" w14:textId="77777777" w:rsidR="00CA2481" w:rsidRDefault="00000000">
            <w:pPr>
              <w:jc w:val="center"/>
              <w:rPr>
                <w:b/>
                <w:sz w:val="20"/>
                <w:szCs w:val="20"/>
              </w:rPr>
            </w:pPr>
            <w:r>
              <w:rPr>
                <w:b/>
                <w:sz w:val="20"/>
                <w:szCs w:val="20"/>
              </w:rPr>
              <w:t>42</w:t>
            </w:r>
          </w:p>
        </w:tc>
      </w:tr>
      <w:tr w:rsidR="00CA2481" w14:paraId="7F3294A8" w14:textId="77777777">
        <w:tc>
          <w:tcPr>
            <w:tcW w:w="120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E2A4425" w14:textId="77777777" w:rsidR="00CA2481" w:rsidRDefault="00000000">
            <w:pPr>
              <w:jc w:val="center"/>
              <w:rPr>
                <w:sz w:val="20"/>
                <w:szCs w:val="20"/>
              </w:rPr>
            </w:pPr>
            <w:r>
              <w:rPr>
                <w:sz w:val="20"/>
                <w:szCs w:val="20"/>
              </w:rPr>
              <w:t>2016</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6851109" w14:textId="77777777" w:rsidR="00CA2481" w:rsidRDefault="00000000">
            <w:pPr>
              <w:jc w:val="center"/>
              <w:rPr>
                <w:sz w:val="20"/>
                <w:szCs w:val="20"/>
              </w:rPr>
            </w:pPr>
            <w:r>
              <w:rPr>
                <w:sz w:val="20"/>
                <w:szCs w:val="20"/>
              </w:rPr>
              <w:t>18</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9EB7F0D" w14:textId="77777777" w:rsidR="00CA2481" w:rsidRDefault="00000000">
            <w:pPr>
              <w:jc w:val="center"/>
              <w:rPr>
                <w:sz w:val="20"/>
                <w:szCs w:val="20"/>
              </w:rPr>
            </w:pPr>
            <w:r>
              <w:rPr>
                <w:sz w:val="20"/>
                <w:szCs w:val="20"/>
              </w:rPr>
              <w:t>19</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A760E70" w14:textId="77777777" w:rsidR="00CA2481" w:rsidRDefault="00000000">
            <w:pPr>
              <w:jc w:val="center"/>
              <w:rPr>
                <w:sz w:val="20"/>
                <w:szCs w:val="20"/>
              </w:rPr>
            </w:pPr>
            <w:r>
              <w:rPr>
                <w:sz w:val="20"/>
                <w:szCs w:val="20"/>
              </w:rPr>
              <w:t>00</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E1483B3" w14:textId="77777777" w:rsidR="00CA2481" w:rsidRDefault="00000000">
            <w:pPr>
              <w:jc w:val="center"/>
              <w:rPr>
                <w:sz w:val="20"/>
                <w:szCs w:val="20"/>
              </w:rPr>
            </w:pPr>
            <w:r>
              <w:rPr>
                <w:sz w:val="20"/>
                <w:szCs w:val="20"/>
              </w:rPr>
              <w:t>02</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40D5FE4" w14:textId="77777777" w:rsidR="00CA2481" w:rsidRDefault="00000000">
            <w:pPr>
              <w:jc w:val="center"/>
              <w:rPr>
                <w:sz w:val="20"/>
                <w:szCs w:val="20"/>
              </w:rPr>
            </w:pPr>
            <w:r>
              <w:rPr>
                <w:sz w:val="20"/>
                <w:szCs w:val="20"/>
              </w:rPr>
              <w:t>02</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0247D07" w14:textId="77777777" w:rsidR="00CA2481" w:rsidRDefault="00000000">
            <w:pPr>
              <w:jc w:val="center"/>
              <w:rPr>
                <w:sz w:val="20"/>
                <w:szCs w:val="20"/>
              </w:rPr>
            </w:pPr>
            <w:r>
              <w:rPr>
                <w:sz w:val="20"/>
                <w:szCs w:val="20"/>
              </w:rPr>
              <w:t>04</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2DD4F29" w14:textId="77777777" w:rsidR="00CA2481" w:rsidRDefault="00000000">
            <w:pPr>
              <w:jc w:val="center"/>
              <w:rPr>
                <w:b/>
                <w:sz w:val="20"/>
                <w:szCs w:val="20"/>
              </w:rPr>
            </w:pPr>
            <w:r>
              <w:rPr>
                <w:b/>
                <w:sz w:val="20"/>
                <w:szCs w:val="20"/>
              </w:rPr>
              <w:t>45</w:t>
            </w:r>
          </w:p>
        </w:tc>
      </w:tr>
      <w:tr w:rsidR="00CA2481" w14:paraId="2534E155" w14:textId="77777777">
        <w:tc>
          <w:tcPr>
            <w:tcW w:w="120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27DFD26" w14:textId="77777777" w:rsidR="00CA2481" w:rsidRDefault="00000000">
            <w:pPr>
              <w:jc w:val="center"/>
              <w:rPr>
                <w:sz w:val="20"/>
                <w:szCs w:val="20"/>
              </w:rPr>
            </w:pPr>
            <w:r>
              <w:rPr>
                <w:sz w:val="20"/>
                <w:szCs w:val="20"/>
              </w:rPr>
              <w:t>2017</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6657EFC" w14:textId="77777777" w:rsidR="00CA2481" w:rsidRDefault="00000000">
            <w:pPr>
              <w:jc w:val="center"/>
              <w:rPr>
                <w:sz w:val="20"/>
                <w:szCs w:val="20"/>
              </w:rPr>
            </w:pPr>
            <w:r>
              <w:rPr>
                <w:sz w:val="20"/>
                <w:szCs w:val="20"/>
              </w:rPr>
              <w:t>17</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EC55DC4" w14:textId="77777777" w:rsidR="00CA2481" w:rsidRDefault="00000000">
            <w:pPr>
              <w:jc w:val="center"/>
              <w:rPr>
                <w:sz w:val="20"/>
                <w:szCs w:val="20"/>
              </w:rPr>
            </w:pPr>
            <w:r>
              <w:rPr>
                <w:sz w:val="20"/>
                <w:szCs w:val="20"/>
              </w:rPr>
              <w:t>19</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4AB0856" w14:textId="77777777" w:rsidR="00CA2481" w:rsidRDefault="00000000">
            <w:pPr>
              <w:jc w:val="center"/>
              <w:rPr>
                <w:sz w:val="20"/>
                <w:szCs w:val="20"/>
              </w:rPr>
            </w:pPr>
            <w:r>
              <w:rPr>
                <w:sz w:val="20"/>
                <w:szCs w:val="20"/>
              </w:rPr>
              <w:t>00</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06BA6CF" w14:textId="77777777" w:rsidR="00CA2481" w:rsidRDefault="00000000">
            <w:pPr>
              <w:jc w:val="center"/>
              <w:rPr>
                <w:sz w:val="20"/>
                <w:szCs w:val="20"/>
              </w:rPr>
            </w:pPr>
            <w:r>
              <w:rPr>
                <w:sz w:val="20"/>
                <w:szCs w:val="20"/>
              </w:rPr>
              <w:t>19</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CEB0553" w14:textId="77777777" w:rsidR="00CA2481" w:rsidRDefault="00000000">
            <w:pPr>
              <w:jc w:val="center"/>
              <w:rPr>
                <w:sz w:val="20"/>
                <w:szCs w:val="20"/>
              </w:rPr>
            </w:pPr>
            <w:r>
              <w:rPr>
                <w:sz w:val="20"/>
                <w:szCs w:val="20"/>
              </w:rPr>
              <w:t>00</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F382ED9" w14:textId="77777777" w:rsidR="00CA2481" w:rsidRDefault="00000000">
            <w:pPr>
              <w:jc w:val="center"/>
              <w:rPr>
                <w:sz w:val="20"/>
                <w:szCs w:val="20"/>
              </w:rPr>
            </w:pPr>
            <w:r>
              <w:rPr>
                <w:sz w:val="20"/>
                <w:szCs w:val="20"/>
              </w:rPr>
              <w:t>00</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96A11AC" w14:textId="77777777" w:rsidR="00CA2481" w:rsidRDefault="00000000">
            <w:pPr>
              <w:jc w:val="center"/>
              <w:rPr>
                <w:b/>
                <w:sz w:val="20"/>
                <w:szCs w:val="20"/>
              </w:rPr>
            </w:pPr>
            <w:r>
              <w:rPr>
                <w:b/>
                <w:sz w:val="20"/>
                <w:szCs w:val="20"/>
              </w:rPr>
              <w:t>55</w:t>
            </w:r>
          </w:p>
        </w:tc>
      </w:tr>
      <w:tr w:rsidR="00CA2481" w14:paraId="64DF2149" w14:textId="77777777">
        <w:tc>
          <w:tcPr>
            <w:tcW w:w="120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8B5384B" w14:textId="77777777" w:rsidR="00CA2481" w:rsidRDefault="00000000">
            <w:pPr>
              <w:jc w:val="center"/>
              <w:rPr>
                <w:sz w:val="20"/>
                <w:szCs w:val="20"/>
              </w:rPr>
            </w:pPr>
            <w:r>
              <w:rPr>
                <w:sz w:val="20"/>
                <w:szCs w:val="20"/>
              </w:rPr>
              <w:t>2018</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B3D7AD9" w14:textId="77777777" w:rsidR="00CA2481" w:rsidRDefault="00000000">
            <w:pPr>
              <w:jc w:val="center"/>
              <w:rPr>
                <w:sz w:val="20"/>
                <w:szCs w:val="20"/>
              </w:rPr>
            </w:pPr>
            <w:r>
              <w:rPr>
                <w:sz w:val="20"/>
                <w:szCs w:val="20"/>
              </w:rPr>
              <w:t>40</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09EBC5C" w14:textId="77777777" w:rsidR="00CA2481" w:rsidRDefault="00000000">
            <w:pPr>
              <w:jc w:val="center"/>
              <w:rPr>
                <w:sz w:val="20"/>
                <w:szCs w:val="20"/>
              </w:rPr>
            </w:pPr>
            <w:r>
              <w:rPr>
                <w:sz w:val="20"/>
                <w:szCs w:val="20"/>
              </w:rPr>
              <w:t>05</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4ACF3FB" w14:textId="77777777" w:rsidR="00CA2481" w:rsidRDefault="00000000">
            <w:pPr>
              <w:jc w:val="center"/>
              <w:rPr>
                <w:sz w:val="20"/>
                <w:szCs w:val="20"/>
              </w:rPr>
            </w:pPr>
            <w:r>
              <w:rPr>
                <w:sz w:val="20"/>
                <w:szCs w:val="20"/>
              </w:rPr>
              <w:t>01</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A18C6DD" w14:textId="77777777" w:rsidR="00CA2481" w:rsidRDefault="00000000">
            <w:pPr>
              <w:jc w:val="center"/>
              <w:rPr>
                <w:sz w:val="20"/>
                <w:szCs w:val="20"/>
              </w:rPr>
            </w:pPr>
            <w:r>
              <w:rPr>
                <w:sz w:val="20"/>
                <w:szCs w:val="20"/>
              </w:rPr>
              <w:t>04</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391EE97" w14:textId="77777777" w:rsidR="00CA2481" w:rsidRDefault="00000000">
            <w:pPr>
              <w:jc w:val="center"/>
              <w:rPr>
                <w:sz w:val="20"/>
                <w:szCs w:val="20"/>
              </w:rPr>
            </w:pPr>
            <w:r>
              <w:rPr>
                <w:sz w:val="20"/>
                <w:szCs w:val="20"/>
              </w:rPr>
              <w:t>02</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07AFCAE" w14:textId="77777777" w:rsidR="00CA2481" w:rsidRDefault="00000000">
            <w:pPr>
              <w:jc w:val="center"/>
              <w:rPr>
                <w:sz w:val="20"/>
                <w:szCs w:val="20"/>
              </w:rPr>
            </w:pPr>
            <w:r>
              <w:rPr>
                <w:sz w:val="20"/>
                <w:szCs w:val="20"/>
              </w:rPr>
              <w:t>02</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93C99A5" w14:textId="77777777" w:rsidR="00CA2481" w:rsidRDefault="00000000">
            <w:pPr>
              <w:jc w:val="center"/>
              <w:rPr>
                <w:b/>
                <w:sz w:val="20"/>
                <w:szCs w:val="20"/>
              </w:rPr>
            </w:pPr>
            <w:r>
              <w:rPr>
                <w:b/>
                <w:sz w:val="20"/>
                <w:szCs w:val="20"/>
              </w:rPr>
              <w:t>54</w:t>
            </w:r>
          </w:p>
        </w:tc>
      </w:tr>
      <w:tr w:rsidR="00CA2481" w14:paraId="4C081ECA" w14:textId="77777777">
        <w:tc>
          <w:tcPr>
            <w:tcW w:w="120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F0CDF42" w14:textId="77777777" w:rsidR="00CA2481" w:rsidRDefault="00000000">
            <w:pPr>
              <w:jc w:val="center"/>
              <w:rPr>
                <w:sz w:val="20"/>
                <w:szCs w:val="20"/>
              </w:rPr>
            </w:pPr>
            <w:r>
              <w:rPr>
                <w:sz w:val="20"/>
                <w:szCs w:val="20"/>
              </w:rPr>
              <w:t>2019</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BDDDCD8" w14:textId="77777777" w:rsidR="00CA2481" w:rsidRDefault="00000000">
            <w:pPr>
              <w:jc w:val="center"/>
              <w:rPr>
                <w:sz w:val="20"/>
                <w:szCs w:val="20"/>
              </w:rPr>
            </w:pPr>
            <w:r>
              <w:rPr>
                <w:sz w:val="20"/>
                <w:szCs w:val="20"/>
              </w:rPr>
              <w:t>55</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6DF33B" w14:textId="77777777" w:rsidR="00CA2481" w:rsidRDefault="00000000">
            <w:pPr>
              <w:jc w:val="center"/>
              <w:rPr>
                <w:sz w:val="20"/>
                <w:szCs w:val="20"/>
              </w:rPr>
            </w:pPr>
            <w:r>
              <w:rPr>
                <w:sz w:val="20"/>
                <w:szCs w:val="20"/>
              </w:rPr>
              <w:t>26</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A18F114" w14:textId="77777777" w:rsidR="00CA2481" w:rsidRDefault="00000000">
            <w:pPr>
              <w:jc w:val="center"/>
              <w:rPr>
                <w:sz w:val="20"/>
                <w:szCs w:val="20"/>
              </w:rPr>
            </w:pPr>
            <w:r>
              <w:rPr>
                <w:sz w:val="20"/>
                <w:szCs w:val="20"/>
              </w:rPr>
              <w:t>02</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E57384" w14:textId="77777777" w:rsidR="00CA2481" w:rsidRDefault="00000000">
            <w:pPr>
              <w:jc w:val="center"/>
              <w:rPr>
                <w:sz w:val="20"/>
                <w:szCs w:val="20"/>
              </w:rPr>
            </w:pPr>
            <w:r>
              <w:rPr>
                <w:sz w:val="20"/>
                <w:szCs w:val="20"/>
              </w:rPr>
              <w:t>02</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28D7455" w14:textId="77777777" w:rsidR="00CA2481" w:rsidRDefault="00000000">
            <w:pPr>
              <w:jc w:val="center"/>
              <w:rPr>
                <w:sz w:val="20"/>
                <w:szCs w:val="20"/>
              </w:rPr>
            </w:pPr>
            <w:r>
              <w:rPr>
                <w:sz w:val="20"/>
                <w:szCs w:val="20"/>
              </w:rPr>
              <w:t>02</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7B4B181" w14:textId="77777777" w:rsidR="00CA2481" w:rsidRDefault="00000000">
            <w:pPr>
              <w:jc w:val="center"/>
              <w:rPr>
                <w:sz w:val="20"/>
                <w:szCs w:val="20"/>
              </w:rPr>
            </w:pPr>
            <w:r>
              <w:rPr>
                <w:sz w:val="20"/>
                <w:szCs w:val="20"/>
              </w:rPr>
              <w:t>01</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A0A666D" w14:textId="77777777" w:rsidR="00CA2481" w:rsidRDefault="00000000">
            <w:pPr>
              <w:jc w:val="center"/>
              <w:rPr>
                <w:b/>
                <w:sz w:val="20"/>
                <w:szCs w:val="20"/>
              </w:rPr>
            </w:pPr>
            <w:r>
              <w:rPr>
                <w:b/>
                <w:sz w:val="20"/>
                <w:szCs w:val="20"/>
              </w:rPr>
              <w:t>88</w:t>
            </w:r>
          </w:p>
        </w:tc>
      </w:tr>
      <w:tr w:rsidR="00CA2481" w14:paraId="58AB68D3" w14:textId="77777777">
        <w:tc>
          <w:tcPr>
            <w:tcW w:w="120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E921840" w14:textId="77777777" w:rsidR="00CA2481" w:rsidRDefault="00000000">
            <w:pPr>
              <w:jc w:val="center"/>
              <w:rPr>
                <w:sz w:val="20"/>
                <w:szCs w:val="20"/>
              </w:rPr>
            </w:pPr>
            <w:r>
              <w:rPr>
                <w:sz w:val="20"/>
                <w:szCs w:val="20"/>
              </w:rPr>
              <w:t>TOTAL</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5B94C87" w14:textId="77777777" w:rsidR="00CA2481" w:rsidRDefault="00000000">
            <w:pPr>
              <w:jc w:val="center"/>
              <w:rPr>
                <w:b/>
                <w:sz w:val="20"/>
                <w:szCs w:val="20"/>
              </w:rPr>
            </w:pPr>
            <w:r>
              <w:rPr>
                <w:b/>
                <w:sz w:val="20"/>
                <w:szCs w:val="20"/>
              </w:rPr>
              <w:t>152</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0B9CBDB" w14:textId="77777777" w:rsidR="00CA2481" w:rsidRDefault="00000000">
            <w:pPr>
              <w:jc w:val="center"/>
              <w:rPr>
                <w:b/>
                <w:sz w:val="20"/>
                <w:szCs w:val="20"/>
              </w:rPr>
            </w:pPr>
            <w:r>
              <w:rPr>
                <w:b/>
                <w:sz w:val="20"/>
                <w:szCs w:val="20"/>
              </w:rPr>
              <w:t>81</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2CE714A" w14:textId="77777777" w:rsidR="00CA2481" w:rsidRDefault="00000000">
            <w:pPr>
              <w:jc w:val="center"/>
              <w:rPr>
                <w:b/>
                <w:sz w:val="20"/>
                <w:szCs w:val="20"/>
              </w:rPr>
            </w:pPr>
            <w:r>
              <w:rPr>
                <w:b/>
                <w:sz w:val="20"/>
                <w:szCs w:val="20"/>
              </w:rPr>
              <w:t>03</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4DD10D4" w14:textId="77777777" w:rsidR="00CA2481" w:rsidRDefault="00000000">
            <w:pPr>
              <w:jc w:val="center"/>
              <w:rPr>
                <w:b/>
                <w:sz w:val="20"/>
                <w:szCs w:val="20"/>
              </w:rPr>
            </w:pPr>
            <w:r>
              <w:rPr>
                <w:b/>
                <w:sz w:val="20"/>
                <w:szCs w:val="20"/>
              </w:rPr>
              <w:t>30</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FDB72E7" w14:textId="77777777" w:rsidR="00CA2481" w:rsidRDefault="00000000">
            <w:pPr>
              <w:jc w:val="center"/>
              <w:rPr>
                <w:b/>
                <w:sz w:val="20"/>
                <w:szCs w:val="20"/>
              </w:rPr>
            </w:pPr>
            <w:r>
              <w:rPr>
                <w:b/>
                <w:sz w:val="20"/>
                <w:szCs w:val="20"/>
              </w:rPr>
              <w:t>06</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0D3D23F" w14:textId="77777777" w:rsidR="00CA2481" w:rsidRDefault="00000000">
            <w:pPr>
              <w:jc w:val="center"/>
              <w:rPr>
                <w:b/>
                <w:sz w:val="20"/>
                <w:szCs w:val="20"/>
              </w:rPr>
            </w:pPr>
            <w:r>
              <w:rPr>
                <w:b/>
                <w:sz w:val="20"/>
                <w:szCs w:val="20"/>
              </w:rPr>
              <w:t>12</w:t>
            </w:r>
          </w:p>
        </w:tc>
        <w:tc>
          <w:tcPr>
            <w:tcW w:w="120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9359BEB" w14:textId="77777777" w:rsidR="00CA2481" w:rsidRDefault="00000000">
            <w:pPr>
              <w:jc w:val="center"/>
              <w:rPr>
                <w:b/>
                <w:sz w:val="20"/>
                <w:szCs w:val="20"/>
              </w:rPr>
            </w:pPr>
            <w:r>
              <w:rPr>
                <w:b/>
                <w:sz w:val="20"/>
                <w:szCs w:val="20"/>
              </w:rPr>
              <w:t>284</w:t>
            </w:r>
          </w:p>
        </w:tc>
      </w:tr>
    </w:tbl>
    <w:p w14:paraId="42E15A6B" w14:textId="77777777" w:rsidR="00CA2481" w:rsidRDefault="00000000">
      <w:pPr>
        <w:spacing w:line="360" w:lineRule="auto"/>
        <w:ind w:hanging="57"/>
        <w:jc w:val="both"/>
        <w:rPr>
          <w:sz w:val="20"/>
          <w:szCs w:val="20"/>
        </w:rPr>
      </w:pPr>
      <w:r>
        <w:rPr>
          <w:sz w:val="20"/>
          <w:szCs w:val="20"/>
        </w:rPr>
        <w:t xml:space="preserve">Fonte: Relatório parcial de pesquisa 2024 </w:t>
      </w:r>
    </w:p>
    <w:p w14:paraId="5A5686B2" w14:textId="77777777" w:rsidR="00CA2481" w:rsidRDefault="00CA2481">
      <w:pPr>
        <w:spacing w:line="240" w:lineRule="auto"/>
        <w:ind w:firstLine="720"/>
        <w:jc w:val="both"/>
        <w:rPr>
          <w:sz w:val="24"/>
          <w:szCs w:val="24"/>
        </w:rPr>
      </w:pPr>
    </w:p>
    <w:p w14:paraId="447A53F9" w14:textId="77777777" w:rsidR="00CA2481" w:rsidRDefault="00000000">
      <w:pPr>
        <w:spacing w:line="360" w:lineRule="auto"/>
        <w:ind w:firstLine="720"/>
        <w:jc w:val="both"/>
        <w:rPr>
          <w:sz w:val="24"/>
          <w:szCs w:val="24"/>
        </w:rPr>
      </w:pPr>
      <w:r>
        <w:rPr>
          <w:sz w:val="24"/>
          <w:szCs w:val="24"/>
        </w:rPr>
        <w:t xml:space="preserve">Os dados do quadro revelam que foram identificados 284 entre alunos bolsistas e não bolsistas. Desse total 161 inscritos como voluntários, demonstrando que o atrativo para a participação em projetos de extensão está para além das bolsas de extensão. Além disso, observa-se uma crescente em relação a participação dos egressos, com destaque para o ano de 2019, com a participação de 88 alunos extensionistas, o que representa uma gradativa e significativa atuação do Campus Castanhal na extensão universitária da UFPA. </w:t>
      </w:r>
    </w:p>
    <w:p w14:paraId="23F45438" w14:textId="77777777" w:rsidR="00CA2481" w:rsidRDefault="00000000">
      <w:pPr>
        <w:pBdr>
          <w:top w:val="nil"/>
          <w:left w:val="nil"/>
          <w:bottom w:val="nil"/>
          <w:right w:val="nil"/>
          <w:between w:val="nil"/>
        </w:pBdr>
        <w:spacing w:line="360" w:lineRule="auto"/>
        <w:ind w:firstLine="720"/>
        <w:jc w:val="both"/>
        <w:rPr>
          <w:sz w:val="24"/>
          <w:szCs w:val="24"/>
        </w:rPr>
      </w:pPr>
      <w:r>
        <w:rPr>
          <w:sz w:val="24"/>
          <w:szCs w:val="24"/>
        </w:rPr>
        <w:t>Considerando o vínculo desses egressos nos projetos, na condição de bolsistas, voluntários e, também, de voluntários e bolsistas. O gráfico 1, então, aponta as porcentagens dessa participação:</w:t>
      </w:r>
    </w:p>
    <w:p w14:paraId="6F4FBD3C" w14:textId="77777777" w:rsidR="00CA2481" w:rsidRDefault="00CA2481" w:rsidP="00C96B6B">
      <w:pPr>
        <w:spacing w:line="240" w:lineRule="auto"/>
        <w:rPr>
          <w:b/>
          <w:sz w:val="24"/>
          <w:szCs w:val="24"/>
        </w:rPr>
      </w:pPr>
    </w:p>
    <w:p w14:paraId="611B9F48" w14:textId="77777777" w:rsidR="00CA2481" w:rsidRDefault="00000000">
      <w:pPr>
        <w:spacing w:line="360" w:lineRule="auto"/>
        <w:ind w:firstLine="720"/>
        <w:jc w:val="center"/>
        <w:rPr>
          <w:b/>
          <w:sz w:val="24"/>
          <w:szCs w:val="24"/>
        </w:rPr>
      </w:pPr>
      <w:r>
        <w:rPr>
          <w:b/>
          <w:sz w:val="24"/>
          <w:szCs w:val="24"/>
        </w:rPr>
        <w:t>Gráfico 1</w:t>
      </w:r>
      <w:r>
        <w:rPr>
          <w:sz w:val="24"/>
          <w:szCs w:val="24"/>
        </w:rPr>
        <w:t xml:space="preserve"> – Participação dos egressos em Projeto de Extensão</w:t>
      </w:r>
    </w:p>
    <w:p w14:paraId="65C72894" w14:textId="04FED9FD" w:rsidR="00C96B6B" w:rsidRDefault="00C96B6B" w:rsidP="00C96B6B">
      <w:pPr>
        <w:spacing w:line="360" w:lineRule="auto"/>
        <w:ind w:firstLine="720"/>
        <w:jc w:val="center"/>
        <w:rPr>
          <w:sz w:val="24"/>
          <w:szCs w:val="24"/>
        </w:rPr>
      </w:pPr>
    </w:p>
    <w:p w14:paraId="76EA3B27" w14:textId="3FFD6C78" w:rsidR="00C96B6B" w:rsidRDefault="00C96B6B" w:rsidP="00C96B6B">
      <w:pPr>
        <w:spacing w:line="360" w:lineRule="auto"/>
        <w:ind w:firstLine="720"/>
        <w:jc w:val="center"/>
        <w:rPr>
          <w:sz w:val="24"/>
          <w:szCs w:val="24"/>
        </w:rPr>
      </w:pPr>
      <w:r>
        <w:rPr>
          <w:b/>
          <w:noProof/>
          <w:sz w:val="24"/>
          <w:szCs w:val="24"/>
        </w:rPr>
        <w:drawing>
          <wp:anchor distT="0" distB="0" distL="0" distR="0" simplePos="0" relativeHeight="251658240" behindDoc="0" locked="0" layoutInCell="1" hidden="0" allowOverlap="1" wp14:anchorId="281D2879" wp14:editId="7EA879E0">
            <wp:simplePos x="0" y="0"/>
            <wp:positionH relativeFrom="page">
              <wp:posOffset>1346200</wp:posOffset>
            </wp:positionH>
            <wp:positionV relativeFrom="page">
              <wp:posOffset>7531100</wp:posOffset>
            </wp:positionV>
            <wp:extent cx="5162550" cy="1212850"/>
            <wp:effectExtent l="0" t="0" r="0" b="6350"/>
            <wp:wrapSquare wrapText="bothSides" distT="0" distB="0" distL="0" distR="0"/>
            <wp:docPr id="1028" name="Gráfico 1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14:paraId="0ED0E9F2" w14:textId="77777777" w:rsidR="00C96B6B" w:rsidRDefault="00C96B6B" w:rsidP="00C96B6B">
      <w:pPr>
        <w:spacing w:line="360" w:lineRule="auto"/>
        <w:ind w:firstLine="720"/>
        <w:jc w:val="center"/>
        <w:rPr>
          <w:sz w:val="24"/>
          <w:szCs w:val="24"/>
        </w:rPr>
      </w:pPr>
    </w:p>
    <w:p w14:paraId="78DFF45D" w14:textId="77777777" w:rsidR="00C96B6B" w:rsidRDefault="00C96B6B" w:rsidP="00C96B6B">
      <w:pPr>
        <w:spacing w:line="360" w:lineRule="auto"/>
        <w:ind w:firstLine="720"/>
        <w:jc w:val="center"/>
        <w:rPr>
          <w:sz w:val="24"/>
          <w:szCs w:val="24"/>
        </w:rPr>
      </w:pPr>
    </w:p>
    <w:p w14:paraId="407FB727" w14:textId="77777777" w:rsidR="00C96B6B" w:rsidRDefault="00C96B6B" w:rsidP="00C96B6B">
      <w:pPr>
        <w:spacing w:line="360" w:lineRule="auto"/>
        <w:ind w:firstLine="720"/>
        <w:jc w:val="center"/>
        <w:rPr>
          <w:sz w:val="24"/>
          <w:szCs w:val="24"/>
        </w:rPr>
      </w:pPr>
    </w:p>
    <w:p w14:paraId="3103FC1D" w14:textId="77777777" w:rsidR="00C96B6B" w:rsidRDefault="00C96B6B" w:rsidP="00C96B6B">
      <w:pPr>
        <w:spacing w:line="360" w:lineRule="auto"/>
        <w:ind w:firstLine="720"/>
        <w:jc w:val="center"/>
        <w:rPr>
          <w:sz w:val="24"/>
          <w:szCs w:val="24"/>
        </w:rPr>
      </w:pPr>
    </w:p>
    <w:p w14:paraId="6B10A74B" w14:textId="25B69AEE" w:rsidR="00C96B6B" w:rsidRPr="00371172" w:rsidRDefault="00C96B6B" w:rsidP="00371172">
      <w:pPr>
        <w:spacing w:line="360" w:lineRule="auto"/>
        <w:ind w:firstLine="720"/>
        <w:jc w:val="center"/>
        <w:rPr>
          <w:sz w:val="20"/>
          <w:szCs w:val="20"/>
        </w:rPr>
      </w:pPr>
      <w:r w:rsidRPr="00371172">
        <w:rPr>
          <w:sz w:val="20"/>
          <w:szCs w:val="20"/>
        </w:rPr>
        <w:t>Fonte: Relatório de pesquisa (2024)</w:t>
      </w:r>
    </w:p>
    <w:p w14:paraId="7D77E15F" w14:textId="77777777" w:rsidR="00C96B6B" w:rsidRDefault="00C96B6B" w:rsidP="00C96B6B">
      <w:pPr>
        <w:spacing w:line="360" w:lineRule="auto"/>
        <w:ind w:firstLine="720"/>
        <w:jc w:val="both"/>
        <w:rPr>
          <w:sz w:val="24"/>
          <w:szCs w:val="24"/>
        </w:rPr>
      </w:pPr>
    </w:p>
    <w:p w14:paraId="5001786C" w14:textId="20587B1E" w:rsidR="00CA2481" w:rsidRDefault="00000000" w:rsidP="00C96B6B">
      <w:pPr>
        <w:spacing w:line="360" w:lineRule="auto"/>
        <w:ind w:firstLine="720"/>
        <w:jc w:val="both"/>
        <w:rPr>
          <w:sz w:val="24"/>
          <w:szCs w:val="24"/>
        </w:rPr>
      </w:pPr>
      <w:r>
        <w:rPr>
          <w:sz w:val="24"/>
          <w:szCs w:val="24"/>
        </w:rPr>
        <w:t xml:space="preserve">O gráfico 1 indica que a maior parcela dos egressos atuou na condição de voluntário/bolsista (48%); seguido de bolsistas (31%); e voluntários (21%).  Vale ressaltar </w:t>
      </w:r>
      <w:r>
        <w:rPr>
          <w:sz w:val="24"/>
          <w:szCs w:val="24"/>
        </w:rPr>
        <w:lastRenderedPageBreak/>
        <w:t xml:space="preserve">que, as bolsas são fundamentais para a permanência do estudante, no entanto, a extensão não se resume ao aspecto financeiro, isto é, tem como objetivo fundamental contribuir com o processo de formação acadêmica e profissional desses alunos, o que pode justificar a busca pelos projetos mesmo na condição de voluntário(a)s. </w:t>
      </w:r>
    </w:p>
    <w:p w14:paraId="6375A7BD" w14:textId="77777777" w:rsidR="00CA2481" w:rsidRDefault="00000000">
      <w:pPr>
        <w:spacing w:line="360" w:lineRule="auto"/>
        <w:ind w:firstLine="720"/>
        <w:jc w:val="both"/>
        <w:rPr>
          <w:sz w:val="24"/>
          <w:szCs w:val="24"/>
        </w:rPr>
      </w:pPr>
      <w:r>
        <w:rPr>
          <w:sz w:val="24"/>
          <w:szCs w:val="24"/>
        </w:rPr>
        <w:t>Araújo e Silva (2013, p. 152) destacam que o “[...] estudante universitário que participa de projetos de extensão tem a oportunidade de confrontar os problemas sociais, aos quais, por vezes, a universidade não dá acesso”, indicando também que, para além dos objetivos da formação universitária, “[...] possibilita ultrapassar as barreiras acadêmicas por meio do exercício efetivo da cidadania” (p.152).</w:t>
      </w:r>
    </w:p>
    <w:p w14:paraId="33B0FC11" w14:textId="77777777" w:rsidR="00CA2481" w:rsidRDefault="00000000">
      <w:pPr>
        <w:pBdr>
          <w:top w:val="nil"/>
          <w:left w:val="nil"/>
          <w:bottom w:val="nil"/>
          <w:right w:val="nil"/>
          <w:between w:val="nil"/>
        </w:pBdr>
        <w:spacing w:line="360" w:lineRule="auto"/>
        <w:ind w:firstLine="720"/>
        <w:jc w:val="both"/>
        <w:rPr>
          <w:sz w:val="24"/>
          <w:szCs w:val="24"/>
        </w:rPr>
      </w:pPr>
      <w:r>
        <w:rPr>
          <w:sz w:val="24"/>
          <w:szCs w:val="24"/>
        </w:rPr>
        <w:t xml:space="preserve">No que diz respeito a participação dos egressos, entre homens e mulheres, verificou-se que das 29 pessoas, 19 são mulheres e 10 são homens. A idade dos participantes varia entre 23 e 41 anos. Sobre a identificação étnico-racial, os mesmos se declaram: parda(o)s, branca(o)s, preta(o)s e amarela(o), conforme aponta o gráfico 2: </w:t>
      </w:r>
    </w:p>
    <w:p w14:paraId="27C2DC10" w14:textId="77777777" w:rsidR="00CA2481" w:rsidRDefault="00CA2481">
      <w:pPr>
        <w:spacing w:line="360" w:lineRule="auto"/>
        <w:ind w:firstLine="720"/>
        <w:jc w:val="center"/>
        <w:rPr>
          <w:b/>
          <w:sz w:val="24"/>
          <w:szCs w:val="24"/>
        </w:rPr>
      </w:pPr>
    </w:p>
    <w:p w14:paraId="79811B04" w14:textId="77777777" w:rsidR="00CA2481" w:rsidRDefault="00000000">
      <w:pPr>
        <w:spacing w:line="360" w:lineRule="auto"/>
        <w:ind w:firstLine="720"/>
        <w:jc w:val="center"/>
        <w:rPr>
          <w:sz w:val="24"/>
          <w:szCs w:val="24"/>
        </w:rPr>
      </w:pPr>
      <w:r>
        <w:rPr>
          <w:b/>
          <w:sz w:val="24"/>
          <w:szCs w:val="24"/>
        </w:rPr>
        <w:t>Gráfico 2:</w:t>
      </w:r>
      <w:r>
        <w:rPr>
          <w:sz w:val="24"/>
          <w:szCs w:val="24"/>
        </w:rPr>
        <w:t xml:space="preserve"> Identificação étnico-racial </w:t>
      </w:r>
    </w:p>
    <w:p w14:paraId="68F6540C" w14:textId="77777777" w:rsidR="00CA2481" w:rsidRDefault="00000000">
      <w:pPr>
        <w:spacing w:line="360" w:lineRule="auto"/>
        <w:ind w:firstLine="720"/>
        <w:jc w:val="center"/>
        <w:rPr>
          <w:sz w:val="24"/>
          <w:szCs w:val="24"/>
        </w:rPr>
      </w:pPr>
      <w:r>
        <w:rPr>
          <w:noProof/>
          <w:sz w:val="24"/>
          <w:szCs w:val="24"/>
        </w:rPr>
        <w:drawing>
          <wp:anchor distT="0" distB="0" distL="0" distR="0" simplePos="0" relativeHeight="251659264" behindDoc="0" locked="0" layoutInCell="1" hidden="0" allowOverlap="1" wp14:anchorId="6957DA98" wp14:editId="6A69E2F1">
            <wp:simplePos x="0" y="0"/>
            <wp:positionH relativeFrom="page">
              <wp:posOffset>1128713</wp:posOffset>
            </wp:positionH>
            <wp:positionV relativeFrom="page">
              <wp:posOffset>6356350</wp:posOffset>
            </wp:positionV>
            <wp:extent cx="5097145" cy="1067435"/>
            <wp:effectExtent l="0" t="0" r="0" b="0"/>
            <wp:wrapSquare wrapText="bothSides" distT="0" distB="0" distL="0" distR="0"/>
            <wp:docPr id="1026" name="Gráfico 1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4D034A44" w14:textId="77777777" w:rsidR="00CA2481" w:rsidRDefault="00CA2481">
      <w:pPr>
        <w:spacing w:line="360" w:lineRule="auto"/>
        <w:ind w:firstLine="720"/>
        <w:jc w:val="center"/>
        <w:rPr>
          <w:b/>
          <w:sz w:val="24"/>
          <w:szCs w:val="24"/>
        </w:rPr>
      </w:pPr>
    </w:p>
    <w:p w14:paraId="124500DA" w14:textId="77777777" w:rsidR="00CA2481" w:rsidRDefault="00CA2481">
      <w:pPr>
        <w:spacing w:line="360" w:lineRule="auto"/>
        <w:ind w:firstLine="720"/>
        <w:jc w:val="both"/>
        <w:rPr>
          <w:sz w:val="20"/>
          <w:szCs w:val="20"/>
        </w:rPr>
      </w:pPr>
    </w:p>
    <w:p w14:paraId="7C3E5F1E" w14:textId="77777777" w:rsidR="00CA2481" w:rsidRDefault="00CA2481">
      <w:pPr>
        <w:spacing w:line="360" w:lineRule="auto"/>
        <w:jc w:val="both"/>
        <w:rPr>
          <w:sz w:val="20"/>
          <w:szCs w:val="20"/>
        </w:rPr>
      </w:pPr>
    </w:p>
    <w:p w14:paraId="7FD3FD60" w14:textId="77777777" w:rsidR="00CA2481" w:rsidRDefault="00CA2481">
      <w:pPr>
        <w:spacing w:line="360" w:lineRule="auto"/>
        <w:jc w:val="both"/>
        <w:rPr>
          <w:sz w:val="20"/>
          <w:szCs w:val="20"/>
        </w:rPr>
      </w:pPr>
    </w:p>
    <w:p w14:paraId="02AC5945" w14:textId="54BB125D" w:rsidR="00CA2481" w:rsidRDefault="00000000">
      <w:pPr>
        <w:spacing w:line="360" w:lineRule="auto"/>
        <w:jc w:val="center"/>
        <w:rPr>
          <w:sz w:val="24"/>
          <w:szCs w:val="24"/>
        </w:rPr>
      </w:pPr>
      <w:r>
        <w:rPr>
          <w:sz w:val="20"/>
          <w:szCs w:val="20"/>
        </w:rPr>
        <w:t>Fonte</w:t>
      </w:r>
      <w:r>
        <w:rPr>
          <w:sz w:val="24"/>
          <w:szCs w:val="24"/>
        </w:rPr>
        <w:t>:</w:t>
      </w:r>
      <w:r w:rsidR="00371172">
        <w:rPr>
          <w:sz w:val="24"/>
          <w:szCs w:val="24"/>
        </w:rPr>
        <w:t xml:space="preserve"> </w:t>
      </w:r>
      <w:r>
        <w:rPr>
          <w:sz w:val="20"/>
          <w:szCs w:val="20"/>
        </w:rPr>
        <w:t>Relatório parcial de pesquisa (2024)</w:t>
      </w:r>
    </w:p>
    <w:p w14:paraId="28E95641" w14:textId="77777777" w:rsidR="00CA2481" w:rsidRDefault="00CA2481">
      <w:pPr>
        <w:spacing w:line="240" w:lineRule="auto"/>
        <w:ind w:firstLine="720"/>
        <w:jc w:val="both"/>
        <w:rPr>
          <w:sz w:val="24"/>
          <w:szCs w:val="24"/>
        </w:rPr>
      </w:pPr>
    </w:p>
    <w:p w14:paraId="1A9EB936" w14:textId="4C299E42" w:rsidR="00CA2481" w:rsidRDefault="00000000">
      <w:pPr>
        <w:spacing w:line="360" w:lineRule="auto"/>
        <w:ind w:firstLine="720"/>
        <w:jc w:val="both"/>
        <w:rPr>
          <w:sz w:val="24"/>
          <w:szCs w:val="24"/>
        </w:rPr>
      </w:pPr>
      <w:r>
        <w:rPr>
          <w:sz w:val="24"/>
          <w:szCs w:val="24"/>
        </w:rPr>
        <w:t xml:space="preserve">Sobre a identificação étnico-racial observa-se que 62% se declaram parda(o)s; 24% branca(o)s; 10% preta(o)s e 3% amarela(o). Chama atenção a quantidade de participantes negra(o)s ao somar parda(o)s e preta(o)s, visto que </w:t>
      </w:r>
      <w:r w:rsidR="00371172">
        <w:rPr>
          <w:sz w:val="24"/>
          <w:szCs w:val="24"/>
        </w:rPr>
        <w:t>a presença destes estudantes tem</w:t>
      </w:r>
      <w:r>
        <w:rPr>
          <w:sz w:val="24"/>
          <w:szCs w:val="24"/>
        </w:rPr>
        <w:t xml:space="preserve"> aumentado nas últimas décadas, especialmente com a implementação de políticas específicas de inclusão racial. Entretanto,</w:t>
      </w:r>
      <w:r w:rsidR="00371172">
        <w:rPr>
          <w:sz w:val="24"/>
          <w:szCs w:val="24"/>
        </w:rPr>
        <w:t xml:space="preserve"> o</w:t>
      </w:r>
      <w:r>
        <w:rPr>
          <w:sz w:val="24"/>
          <w:szCs w:val="24"/>
        </w:rPr>
        <w:t xml:space="preserve"> Centro de Estudos e Dados sobre a Desigualdade Racial (CEDRA, s/d) ao analisar o Censo da Educação Superior no Brasil em dados disponibilizados pelo Instituto Nacional de Ensino e Pesquisa (INEP), constata que a desigualdade não teve alterações significativas, pois a proporção de negra(o)s que </w:t>
      </w:r>
      <w:r>
        <w:rPr>
          <w:sz w:val="24"/>
          <w:szCs w:val="24"/>
        </w:rPr>
        <w:lastRenderedPageBreak/>
        <w:t xml:space="preserve">concluiu a graduação passou de 18,2% para 34,6% no período de 2014 a 2019. No caso de branca(o)s, os dados apontam de 30,4% para 45,2%. Portanto, a diferença caiu apenas 12,2 pontos percentuais para 10,6 pp. </w:t>
      </w:r>
      <w:r>
        <w:rPr>
          <w:sz w:val="24"/>
          <w:szCs w:val="24"/>
          <w:vertAlign w:val="superscript"/>
        </w:rPr>
        <w:footnoteReference w:id="4"/>
      </w:r>
      <w:r>
        <w:rPr>
          <w:sz w:val="24"/>
          <w:szCs w:val="24"/>
        </w:rPr>
        <w:t>, o que revela desafios para as políticas públicas.</w:t>
      </w:r>
    </w:p>
    <w:p w14:paraId="5633FC92" w14:textId="77777777" w:rsidR="00CA2481" w:rsidRDefault="00000000">
      <w:pPr>
        <w:pBdr>
          <w:top w:val="nil"/>
          <w:left w:val="nil"/>
          <w:bottom w:val="nil"/>
          <w:right w:val="nil"/>
          <w:between w:val="nil"/>
        </w:pBdr>
        <w:spacing w:line="360" w:lineRule="auto"/>
        <w:ind w:firstLine="720"/>
        <w:jc w:val="both"/>
        <w:rPr>
          <w:sz w:val="24"/>
          <w:szCs w:val="24"/>
        </w:rPr>
      </w:pPr>
      <w:r>
        <w:rPr>
          <w:sz w:val="24"/>
          <w:szCs w:val="24"/>
        </w:rPr>
        <w:t>Foi possível identificar, também, as linhas (áreas do conhecimento) dos projetos de extensão, que os egressos participaram, conforme aponta o gráfico 3, abaixo:</w:t>
      </w:r>
    </w:p>
    <w:p w14:paraId="3CA74564" w14:textId="77777777" w:rsidR="00371172" w:rsidRDefault="00371172">
      <w:pPr>
        <w:pBdr>
          <w:top w:val="nil"/>
          <w:left w:val="nil"/>
          <w:bottom w:val="nil"/>
          <w:right w:val="nil"/>
          <w:between w:val="nil"/>
        </w:pBdr>
        <w:spacing w:line="360" w:lineRule="auto"/>
        <w:ind w:firstLine="720"/>
        <w:jc w:val="both"/>
        <w:rPr>
          <w:sz w:val="20"/>
          <w:szCs w:val="20"/>
        </w:rPr>
      </w:pPr>
    </w:p>
    <w:p w14:paraId="236D5079" w14:textId="77777777" w:rsidR="00CA2481" w:rsidRDefault="00000000">
      <w:pPr>
        <w:spacing w:line="360" w:lineRule="auto"/>
        <w:ind w:firstLine="720"/>
        <w:jc w:val="center"/>
        <w:rPr>
          <w:sz w:val="20"/>
          <w:szCs w:val="20"/>
        </w:rPr>
      </w:pPr>
      <w:r>
        <w:rPr>
          <w:b/>
          <w:sz w:val="24"/>
          <w:szCs w:val="24"/>
        </w:rPr>
        <w:t>Gráfico 3</w:t>
      </w:r>
      <w:r>
        <w:rPr>
          <w:sz w:val="24"/>
          <w:szCs w:val="24"/>
        </w:rPr>
        <w:t xml:space="preserve"> – Linhas dos projetos de extensão na UFPA Campus Castanhal</w:t>
      </w:r>
    </w:p>
    <w:p w14:paraId="33B4E6DC" w14:textId="77777777" w:rsidR="00CA2481" w:rsidRDefault="00000000">
      <w:pPr>
        <w:spacing w:line="360" w:lineRule="auto"/>
        <w:ind w:firstLine="720"/>
        <w:rPr>
          <w:sz w:val="20"/>
          <w:szCs w:val="20"/>
        </w:rPr>
      </w:pPr>
      <w:r>
        <w:rPr>
          <w:noProof/>
          <w:sz w:val="20"/>
          <w:szCs w:val="20"/>
        </w:rPr>
        <w:drawing>
          <wp:anchor distT="0" distB="0" distL="0" distR="0" simplePos="0" relativeHeight="251660288" behindDoc="0" locked="0" layoutInCell="1" hidden="0" allowOverlap="1" wp14:anchorId="7B34282A" wp14:editId="1AF5D3B0">
            <wp:simplePos x="0" y="0"/>
            <wp:positionH relativeFrom="page">
              <wp:posOffset>928688</wp:posOffset>
            </wp:positionH>
            <wp:positionV relativeFrom="page">
              <wp:posOffset>4370388</wp:posOffset>
            </wp:positionV>
            <wp:extent cx="5724525" cy="980440"/>
            <wp:effectExtent l="0" t="0" r="0" b="0"/>
            <wp:wrapSquare wrapText="bothSides" distT="0" distB="0" distL="0" distR="0"/>
            <wp:docPr id="1027" name="Gráfico 1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3E09428A" w14:textId="77777777" w:rsidR="00CA2481" w:rsidRDefault="00CA2481">
      <w:pPr>
        <w:spacing w:line="360" w:lineRule="auto"/>
        <w:ind w:firstLine="720"/>
        <w:rPr>
          <w:sz w:val="20"/>
          <w:szCs w:val="20"/>
        </w:rPr>
      </w:pPr>
    </w:p>
    <w:p w14:paraId="6AA34354" w14:textId="4F1FF381" w:rsidR="00CA2481" w:rsidRDefault="00000000" w:rsidP="00371172">
      <w:pPr>
        <w:spacing w:line="360" w:lineRule="auto"/>
        <w:rPr>
          <w:sz w:val="20"/>
          <w:szCs w:val="20"/>
        </w:rPr>
      </w:pPr>
      <w:r>
        <w:rPr>
          <w:sz w:val="20"/>
          <w:szCs w:val="20"/>
        </w:rPr>
        <w:t xml:space="preserve">                            Fonte:</w:t>
      </w:r>
      <w:r w:rsidR="00371172">
        <w:rPr>
          <w:sz w:val="20"/>
          <w:szCs w:val="20"/>
        </w:rPr>
        <w:t xml:space="preserve"> </w:t>
      </w:r>
      <w:r>
        <w:rPr>
          <w:sz w:val="20"/>
          <w:szCs w:val="20"/>
        </w:rPr>
        <w:t>Relatório parcial de pesquisa (2024)</w:t>
      </w:r>
    </w:p>
    <w:p w14:paraId="433CE8A1" w14:textId="77777777" w:rsidR="00371172" w:rsidRDefault="00371172" w:rsidP="00371172">
      <w:pPr>
        <w:spacing w:line="360" w:lineRule="auto"/>
        <w:rPr>
          <w:sz w:val="20"/>
          <w:szCs w:val="20"/>
        </w:rPr>
      </w:pPr>
    </w:p>
    <w:p w14:paraId="145AD7FE" w14:textId="77777777" w:rsidR="00CA2481" w:rsidRDefault="00000000">
      <w:pPr>
        <w:spacing w:line="360" w:lineRule="auto"/>
        <w:ind w:firstLine="720"/>
        <w:jc w:val="both"/>
        <w:rPr>
          <w:sz w:val="24"/>
          <w:szCs w:val="24"/>
        </w:rPr>
      </w:pPr>
      <w:bookmarkStart w:id="1" w:name="_heading=h.phd21uumchtm" w:colFirst="0" w:colLast="0"/>
      <w:bookmarkEnd w:id="1"/>
      <w:r>
        <w:rPr>
          <w:sz w:val="24"/>
          <w:szCs w:val="24"/>
        </w:rPr>
        <w:t xml:space="preserve">O gráfico acima destaca, portanto, as linhas (áreas) dos projetos extensionistas dos quais participaram os egressos. Verifica-se que, a linha mais indicada pelos participantes foi a de educação com 58,6%; na sequência a linha de saúde com 17,2%. Além disso, tecnologia e produção com 10,3%, comunicação com 6,9%, meio ambiente com 3,4% e cultura 3,4%. O fato de significativo percentual de egressos fazer parte da linha de extensão da educação, pode estar relacionado ao perfil socioeconômico dos mesmos, pois, de acordo com Rocha e Carvalhaes (2023), a maior parte dos estudantes de baixa renda acessa os cursos de licenciatura em razão dessas graduações possuírem a pontuação de entrada mais baixa. Desta maneira, pode-se fazer uma correlação com as especificidades socioeconômicas dos discentes do Campus Castanhal.  </w:t>
      </w:r>
    </w:p>
    <w:p w14:paraId="7C1CE304" w14:textId="77777777" w:rsidR="00CA2481" w:rsidRDefault="00000000">
      <w:pPr>
        <w:spacing w:line="360" w:lineRule="auto"/>
        <w:ind w:firstLine="720"/>
        <w:jc w:val="both"/>
        <w:rPr>
          <w:sz w:val="24"/>
          <w:szCs w:val="24"/>
        </w:rPr>
      </w:pPr>
      <w:r>
        <w:rPr>
          <w:sz w:val="24"/>
          <w:szCs w:val="24"/>
        </w:rPr>
        <w:t xml:space="preserve">Outro elemento importante a se evidenciar a partir das informações dos egressos do Campus Castanhal, refere-se à continuação dos estudos após o término da graduação. No geral, os egressos deram prosseguimentos nos estudos superiores no âmbito do mestrado, </w:t>
      </w:r>
      <w:r>
        <w:rPr>
          <w:sz w:val="24"/>
          <w:szCs w:val="24"/>
        </w:rPr>
        <w:lastRenderedPageBreak/>
        <w:t xml:space="preserve">da especialização, e em cursos de curta duração. A maioria deles também está trabalhando em sua área de formação, sendo 24 respostas positivas e apenas 3 egressos informaram estar sem ocupação (até o momento da pesquisa). Esses dados corroboram com o que consta no PDI da UFPA (2016-2025), o qual revela que a instituição permite condições que equilibrem o processo de sólida formação teórica com o exercício profissional. No documento também consta que os egressos devem compreender, atuar e transformar a realidade local, de modo que tenham competência política, técnica e social para tal. </w:t>
      </w:r>
    </w:p>
    <w:p w14:paraId="7B3E160C" w14:textId="4C2EFFAC" w:rsidR="00CA2481" w:rsidRDefault="00000000">
      <w:pPr>
        <w:spacing w:line="360" w:lineRule="auto"/>
        <w:ind w:firstLine="720"/>
        <w:jc w:val="both"/>
        <w:rPr>
          <w:sz w:val="24"/>
          <w:szCs w:val="24"/>
        </w:rPr>
      </w:pPr>
      <w:r>
        <w:rPr>
          <w:sz w:val="24"/>
          <w:szCs w:val="24"/>
        </w:rPr>
        <w:t xml:space="preserve">No caso dos extensionistas egressos de Castanhal, os projetos tiveram ressonância positiva em sua formação, visto utilizarem os conhecimentos obtidos nesta experiência em sua atuação profissional, o que permite inferir que a extensão cumpre o seu papel de componente formativo, juntamente com o ensino e a pesquisa. Compreende-se, portanto, que a valorização dos conhecimentos amazônicos, previstos no PDI da UFPA (2016-2025) está alinhada as </w:t>
      </w:r>
      <w:r w:rsidR="00371172">
        <w:rPr>
          <w:sz w:val="24"/>
          <w:szCs w:val="24"/>
        </w:rPr>
        <w:t>teses propugnadas</w:t>
      </w:r>
      <w:r>
        <w:rPr>
          <w:sz w:val="24"/>
          <w:szCs w:val="24"/>
        </w:rPr>
        <w:t xml:space="preserve"> por Freire (1983), assentada na ideia de que os saberes da população devem ser levados em conta durante o processo de extensão, o que o autor define como processo de comunicação. </w:t>
      </w:r>
    </w:p>
    <w:p w14:paraId="17E0C578" w14:textId="77777777" w:rsidR="00CA2481" w:rsidRDefault="00000000">
      <w:pPr>
        <w:spacing w:line="360" w:lineRule="auto"/>
        <w:ind w:firstLine="720"/>
        <w:jc w:val="both"/>
        <w:rPr>
          <w:sz w:val="24"/>
          <w:szCs w:val="24"/>
        </w:rPr>
      </w:pPr>
      <w:r>
        <w:rPr>
          <w:sz w:val="24"/>
          <w:szCs w:val="24"/>
        </w:rPr>
        <w:t>O autor destaca ainda que a visão passiva não valoriza o saber do povo, não o escuta, o inferioriza, pois, nesta perspectiva, o saber acadêmico deve ser “depositado” nas pessoas. Freire (1983), então, inverte essa lógica e propõe a relação de comunicação com a população, que incorpora o saber do povo ao saber acadêmico, mantendo uma dialogicidade entre os saberes. Não bastando apenas saber, é preciso agir socialmente combatendo as causas da desigualdade social.</w:t>
      </w:r>
    </w:p>
    <w:p w14:paraId="250450DB" w14:textId="77777777" w:rsidR="00CA2481" w:rsidRDefault="00CA2481">
      <w:pPr>
        <w:spacing w:line="360" w:lineRule="auto"/>
        <w:ind w:firstLine="720"/>
        <w:jc w:val="both"/>
        <w:rPr>
          <w:sz w:val="20"/>
          <w:szCs w:val="20"/>
        </w:rPr>
      </w:pPr>
    </w:p>
    <w:p w14:paraId="319EA73E" w14:textId="77777777" w:rsidR="00CA2481" w:rsidRDefault="00000000">
      <w:pPr>
        <w:spacing w:line="360" w:lineRule="auto"/>
        <w:jc w:val="both"/>
        <w:rPr>
          <w:b/>
          <w:sz w:val="24"/>
          <w:szCs w:val="24"/>
        </w:rPr>
      </w:pPr>
      <w:r>
        <w:rPr>
          <w:b/>
          <w:sz w:val="24"/>
          <w:szCs w:val="24"/>
        </w:rPr>
        <w:t>3</w:t>
      </w:r>
      <w:r>
        <w:rPr>
          <w:b/>
          <w:sz w:val="24"/>
          <w:szCs w:val="24"/>
        </w:rPr>
        <w:tab/>
        <w:t>CONCLUSÃO</w:t>
      </w:r>
    </w:p>
    <w:p w14:paraId="2E82CC84" w14:textId="77777777" w:rsidR="00CA2481" w:rsidRDefault="00CA2481">
      <w:pPr>
        <w:spacing w:line="240" w:lineRule="auto"/>
        <w:jc w:val="both"/>
        <w:rPr>
          <w:b/>
          <w:sz w:val="24"/>
          <w:szCs w:val="24"/>
        </w:rPr>
      </w:pPr>
    </w:p>
    <w:p w14:paraId="6AECB95E" w14:textId="77777777" w:rsidR="00CA2481" w:rsidRDefault="00000000">
      <w:pPr>
        <w:spacing w:line="360" w:lineRule="auto"/>
        <w:ind w:firstLine="708"/>
        <w:jc w:val="both"/>
        <w:rPr>
          <w:sz w:val="24"/>
          <w:szCs w:val="24"/>
        </w:rPr>
      </w:pPr>
      <w:r>
        <w:rPr>
          <w:sz w:val="24"/>
          <w:szCs w:val="24"/>
        </w:rPr>
        <w:t xml:space="preserve">A extensão universitária na UFPA, Campus Castanhal, no período de 2015 a 2019, constituiu-se com a participação, majoritariamente, de egressos na condição de bolsista/voluntário, o que nos permite reconhecer que há grande interesse dos alunos em participar de projetos de extensão, além da própria origem do Campus, visto que no período de sua criação já existiam ações extensionistas destinadas a alguns setores da sociedade </w:t>
      </w:r>
      <w:r>
        <w:rPr>
          <w:sz w:val="24"/>
          <w:szCs w:val="24"/>
        </w:rPr>
        <w:lastRenderedPageBreak/>
        <w:t xml:space="preserve">local. Além disso, a participação desses egressos foi, predominantemente, de mulheres e de negra(o)s, e na linha (área) de extensão da educação. </w:t>
      </w:r>
    </w:p>
    <w:p w14:paraId="16904E0D" w14:textId="77777777" w:rsidR="00CA2481" w:rsidRDefault="00000000">
      <w:pPr>
        <w:spacing w:line="360" w:lineRule="auto"/>
        <w:ind w:firstLine="708"/>
        <w:jc w:val="both"/>
        <w:rPr>
          <w:sz w:val="24"/>
          <w:szCs w:val="24"/>
        </w:rPr>
      </w:pPr>
      <w:r>
        <w:rPr>
          <w:sz w:val="24"/>
          <w:szCs w:val="24"/>
        </w:rPr>
        <w:t xml:space="preserve">De modo geral, a extensão contribuiu com o processo de formação, visto os egressos indicarem o aproveitamento do conhecimento adquirido nos projetos para o seu fazer profissional na atualidade, o que a coloca em pé de igualdade, enquanto componente formativo com o ensino e a pesquisa. Cabe um maior aprofundamento a partir de pesquisas qualitativas para compreender outras particularidades dos egressos deste Campus, assim como quais habilidades e competências estão sendo incorporadas ao currículo do alunado. </w:t>
      </w:r>
    </w:p>
    <w:p w14:paraId="390F08C9" w14:textId="77777777" w:rsidR="00CA2481" w:rsidRDefault="00000000">
      <w:pPr>
        <w:spacing w:line="360" w:lineRule="auto"/>
        <w:ind w:firstLine="708"/>
        <w:jc w:val="both"/>
        <w:rPr>
          <w:sz w:val="24"/>
          <w:szCs w:val="24"/>
        </w:rPr>
      </w:pPr>
      <w:r>
        <w:rPr>
          <w:sz w:val="24"/>
          <w:szCs w:val="24"/>
        </w:rPr>
        <w:t>Parte-se do pressuposto de que tais particularidades estão relacionadas ao território, localização geográfica estratégica com fronteiras entre outras localidades, que se situam no contexto amazônico, espaço de ricas culturas, etnias e saberes, dentre outros elementos que carecem de maiores investigações.</w:t>
      </w:r>
    </w:p>
    <w:p w14:paraId="10D0EC7A" w14:textId="77777777" w:rsidR="00CA2481" w:rsidRDefault="00CA2481">
      <w:pPr>
        <w:spacing w:line="240" w:lineRule="auto"/>
        <w:jc w:val="center"/>
        <w:rPr>
          <w:sz w:val="24"/>
          <w:szCs w:val="24"/>
        </w:rPr>
      </w:pPr>
    </w:p>
    <w:p w14:paraId="3A0CB58D" w14:textId="77777777" w:rsidR="00CA2481" w:rsidRDefault="00000000">
      <w:pPr>
        <w:spacing w:line="360" w:lineRule="auto"/>
        <w:jc w:val="center"/>
        <w:rPr>
          <w:b/>
          <w:sz w:val="24"/>
          <w:szCs w:val="24"/>
        </w:rPr>
      </w:pPr>
      <w:r>
        <w:rPr>
          <w:b/>
          <w:sz w:val="24"/>
          <w:szCs w:val="24"/>
        </w:rPr>
        <w:t>REFERÊNCIAS</w:t>
      </w:r>
    </w:p>
    <w:p w14:paraId="7ACDB902" w14:textId="77777777" w:rsidR="00371172" w:rsidRDefault="00371172" w:rsidP="00371172">
      <w:pPr>
        <w:spacing w:line="240" w:lineRule="auto"/>
        <w:jc w:val="center"/>
        <w:rPr>
          <w:sz w:val="24"/>
          <w:szCs w:val="24"/>
        </w:rPr>
      </w:pPr>
    </w:p>
    <w:p w14:paraId="149DA2AA" w14:textId="77777777" w:rsidR="00CA2481" w:rsidRDefault="00000000">
      <w:pPr>
        <w:spacing w:line="240" w:lineRule="auto"/>
        <w:jc w:val="both"/>
        <w:rPr>
          <w:sz w:val="24"/>
          <w:szCs w:val="24"/>
        </w:rPr>
      </w:pPr>
      <w:r>
        <w:rPr>
          <w:sz w:val="24"/>
          <w:szCs w:val="24"/>
        </w:rPr>
        <w:t xml:space="preserve">ANDRADE. J.A.M.; SIMÕES, H.C.G.Q.. A política de curricularização da extensão nas universidades federais da Amazônia brasileira. </w:t>
      </w:r>
      <w:r>
        <w:rPr>
          <w:b/>
          <w:sz w:val="24"/>
          <w:szCs w:val="24"/>
        </w:rPr>
        <w:t>InterMeio: Revista de Pós-Graduação em Educação</w:t>
      </w:r>
      <w:r>
        <w:rPr>
          <w:sz w:val="24"/>
          <w:szCs w:val="24"/>
        </w:rPr>
        <w:t>, Campo Grande, MS, v.30, n.59, p.92-125, 2024.</w:t>
      </w:r>
    </w:p>
    <w:p w14:paraId="7E760F53" w14:textId="77777777" w:rsidR="00CA2481" w:rsidRDefault="00CA2481">
      <w:pPr>
        <w:spacing w:line="240" w:lineRule="auto"/>
        <w:jc w:val="both"/>
        <w:rPr>
          <w:sz w:val="24"/>
          <w:szCs w:val="24"/>
        </w:rPr>
      </w:pPr>
    </w:p>
    <w:p w14:paraId="1236CC81" w14:textId="77777777" w:rsidR="00CA2481" w:rsidRDefault="00000000">
      <w:pPr>
        <w:spacing w:line="240" w:lineRule="auto"/>
        <w:jc w:val="both"/>
        <w:rPr>
          <w:sz w:val="24"/>
          <w:szCs w:val="24"/>
        </w:rPr>
      </w:pPr>
      <w:r>
        <w:rPr>
          <w:sz w:val="24"/>
          <w:szCs w:val="24"/>
        </w:rPr>
        <w:t xml:space="preserve">BRASIL. </w:t>
      </w:r>
      <w:r>
        <w:rPr>
          <w:b/>
          <w:sz w:val="24"/>
          <w:szCs w:val="24"/>
        </w:rPr>
        <w:t>Constituição da República Federativa do Brasil</w:t>
      </w:r>
      <w:r>
        <w:rPr>
          <w:sz w:val="24"/>
          <w:szCs w:val="24"/>
        </w:rPr>
        <w:t xml:space="preserve">. Brasília, 2024. Disponível em: </w:t>
      </w:r>
      <w:hyperlink r:id="rId10">
        <w:r>
          <w:rPr>
            <w:sz w:val="24"/>
            <w:szCs w:val="24"/>
            <w:u w:val="single"/>
          </w:rPr>
          <w:t>https://www.stf.jus.br/arquivo/cms/legislacaoconstituicao/anexo/cf.pdf</w:t>
        </w:r>
      </w:hyperlink>
      <w:r>
        <w:rPr>
          <w:sz w:val="24"/>
          <w:szCs w:val="24"/>
        </w:rPr>
        <w:t xml:space="preserve"> </w:t>
      </w:r>
    </w:p>
    <w:p w14:paraId="5B503353" w14:textId="77777777" w:rsidR="00CA2481" w:rsidRDefault="00CA2481">
      <w:pPr>
        <w:spacing w:line="240" w:lineRule="auto"/>
        <w:jc w:val="both"/>
        <w:rPr>
          <w:sz w:val="24"/>
          <w:szCs w:val="24"/>
        </w:rPr>
      </w:pPr>
    </w:p>
    <w:p w14:paraId="2ECDD56A" w14:textId="77777777" w:rsidR="00CA2481" w:rsidRDefault="00000000">
      <w:pPr>
        <w:spacing w:line="240" w:lineRule="auto"/>
        <w:jc w:val="both"/>
        <w:rPr>
          <w:sz w:val="24"/>
          <w:szCs w:val="24"/>
        </w:rPr>
      </w:pPr>
      <w:r>
        <w:rPr>
          <w:sz w:val="24"/>
          <w:szCs w:val="24"/>
        </w:rPr>
        <w:t xml:space="preserve">BRASIL, Ministério da Educação. </w:t>
      </w:r>
      <w:r>
        <w:rPr>
          <w:b/>
          <w:sz w:val="24"/>
          <w:szCs w:val="24"/>
        </w:rPr>
        <w:t xml:space="preserve">Resolução nº 7, de 18 de dezembro de 2018. </w:t>
      </w:r>
      <w:r>
        <w:rPr>
          <w:sz w:val="24"/>
          <w:szCs w:val="24"/>
        </w:rPr>
        <w:t xml:space="preserve">Brasília: Conselho Nacional de Educação, 2018. </w:t>
      </w:r>
    </w:p>
    <w:p w14:paraId="29810A51" w14:textId="77777777" w:rsidR="00CA2481" w:rsidRDefault="00CA2481">
      <w:pPr>
        <w:spacing w:line="240" w:lineRule="auto"/>
        <w:jc w:val="both"/>
        <w:rPr>
          <w:sz w:val="24"/>
          <w:szCs w:val="24"/>
        </w:rPr>
      </w:pPr>
    </w:p>
    <w:p w14:paraId="567591DA" w14:textId="77777777" w:rsidR="00CA2481" w:rsidRDefault="00000000">
      <w:pPr>
        <w:spacing w:after="120" w:line="240" w:lineRule="auto"/>
        <w:jc w:val="both"/>
        <w:rPr>
          <w:sz w:val="24"/>
          <w:szCs w:val="24"/>
        </w:rPr>
      </w:pPr>
      <w:r>
        <w:rPr>
          <w:sz w:val="24"/>
          <w:szCs w:val="24"/>
        </w:rPr>
        <w:t xml:space="preserve">DEUS, S. </w:t>
      </w:r>
      <w:r>
        <w:rPr>
          <w:b/>
          <w:sz w:val="24"/>
          <w:szCs w:val="24"/>
        </w:rPr>
        <w:t>Extensão universitária: trajetórias e desafios</w:t>
      </w:r>
      <w:r>
        <w:rPr>
          <w:sz w:val="24"/>
          <w:szCs w:val="24"/>
        </w:rPr>
        <w:t xml:space="preserve">. Santa Maria, RS: Ed. PRE-UFSM. 2020. Disponível em </w:t>
      </w:r>
      <w:hyperlink r:id="rId11">
        <w:r>
          <w:rPr>
            <w:sz w:val="24"/>
            <w:szCs w:val="24"/>
            <w:u w:val="single"/>
          </w:rPr>
          <w:t>https://www.ufmg.br/proex/renex/images/EBOOK_-_Sandra_de_Deus_-_Extensao_Universitaria.pdf</w:t>
        </w:r>
      </w:hyperlink>
      <w:r>
        <w:rPr>
          <w:sz w:val="24"/>
          <w:szCs w:val="24"/>
        </w:rPr>
        <w:t xml:space="preserve"> . Acesso em: 5 de jun. de 2025.</w:t>
      </w:r>
    </w:p>
    <w:p w14:paraId="77693C85" w14:textId="77777777" w:rsidR="00CA2481" w:rsidRDefault="00CA2481">
      <w:pPr>
        <w:spacing w:line="240" w:lineRule="auto"/>
        <w:jc w:val="both"/>
        <w:rPr>
          <w:sz w:val="24"/>
          <w:szCs w:val="24"/>
        </w:rPr>
      </w:pPr>
    </w:p>
    <w:p w14:paraId="1B43C2D7" w14:textId="77777777" w:rsidR="00CA2481" w:rsidRDefault="00000000">
      <w:pPr>
        <w:spacing w:after="120" w:line="240" w:lineRule="auto"/>
        <w:jc w:val="both"/>
        <w:rPr>
          <w:sz w:val="24"/>
          <w:szCs w:val="24"/>
        </w:rPr>
      </w:pPr>
      <w:r>
        <w:rPr>
          <w:sz w:val="24"/>
          <w:szCs w:val="24"/>
        </w:rPr>
        <w:t xml:space="preserve">FORPROEX. </w:t>
      </w:r>
      <w:r>
        <w:rPr>
          <w:b/>
          <w:sz w:val="24"/>
          <w:szCs w:val="24"/>
        </w:rPr>
        <w:t>Extensão universitária: organização e sistematização</w:t>
      </w:r>
      <w:r>
        <w:rPr>
          <w:sz w:val="24"/>
          <w:szCs w:val="24"/>
        </w:rPr>
        <w:t xml:space="preserve">. Belo Horizonte: Coopmed, 2007. </w:t>
      </w:r>
    </w:p>
    <w:p w14:paraId="119663C9" w14:textId="77777777" w:rsidR="00CA2481" w:rsidRDefault="00CA2481">
      <w:pPr>
        <w:spacing w:line="240" w:lineRule="auto"/>
        <w:jc w:val="both"/>
        <w:rPr>
          <w:sz w:val="24"/>
          <w:szCs w:val="24"/>
        </w:rPr>
      </w:pPr>
    </w:p>
    <w:p w14:paraId="517ED9E7" w14:textId="77777777" w:rsidR="00CA2481" w:rsidRDefault="00000000">
      <w:pPr>
        <w:spacing w:after="120" w:line="240" w:lineRule="auto"/>
        <w:jc w:val="both"/>
        <w:rPr>
          <w:sz w:val="24"/>
          <w:szCs w:val="24"/>
        </w:rPr>
      </w:pPr>
      <w:r>
        <w:rPr>
          <w:sz w:val="24"/>
          <w:szCs w:val="24"/>
        </w:rPr>
        <w:t xml:space="preserve">FREIRE, Paulo. </w:t>
      </w:r>
      <w:r>
        <w:rPr>
          <w:b/>
          <w:sz w:val="24"/>
          <w:szCs w:val="24"/>
        </w:rPr>
        <w:t>Extensão ou comunicação?</w:t>
      </w:r>
      <w:r>
        <w:rPr>
          <w:sz w:val="24"/>
          <w:szCs w:val="24"/>
        </w:rPr>
        <w:t xml:space="preserve"> 6. ed. Rio de Janeiro: Paz e Terra, 1983.</w:t>
      </w:r>
    </w:p>
    <w:p w14:paraId="0A7A627D" w14:textId="77777777" w:rsidR="00CA2481" w:rsidRDefault="00CA2481">
      <w:pPr>
        <w:spacing w:line="240" w:lineRule="auto"/>
        <w:jc w:val="both"/>
        <w:rPr>
          <w:sz w:val="24"/>
          <w:szCs w:val="24"/>
        </w:rPr>
      </w:pPr>
    </w:p>
    <w:p w14:paraId="14211AA6" w14:textId="77777777" w:rsidR="00CA2481" w:rsidRDefault="00000000">
      <w:pPr>
        <w:spacing w:after="120" w:line="240" w:lineRule="auto"/>
        <w:jc w:val="both"/>
        <w:rPr>
          <w:sz w:val="24"/>
          <w:szCs w:val="24"/>
        </w:rPr>
      </w:pPr>
      <w:r>
        <w:rPr>
          <w:sz w:val="24"/>
          <w:szCs w:val="24"/>
        </w:rPr>
        <w:lastRenderedPageBreak/>
        <w:t>KOCHHANN, Andréa. A extensão universitária no Brasil: compreendendo sua historicidade. Anais da VI Semana de Integração, Inhúmas/UEG, v.4, n.1, 2017. Disponível em:  https://www.anais.ueg.br/index.php/semintegracao/article/view/9207. Acesso em: 14 de mai. de 2025.</w:t>
      </w:r>
    </w:p>
    <w:p w14:paraId="5507FF7C" w14:textId="77777777" w:rsidR="00CA2481" w:rsidRDefault="00CA2481">
      <w:pPr>
        <w:spacing w:line="240" w:lineRule="auto"/>
        <w:jc w:val="both"/>
        <w:rPr>
          <w:sz w:val="24"/>
          <w:szCs w:val="24"/>
        </w:rPr>
      </w:pPr>
    </w:p>
    <w:p w14:paraId="2EE12631" w14:textId="77777777" w:rsidR="00CA2481" w:rsidRDefault="00000000">
      <w:pPr>
        <w:spacing w:line="240" w:lineRule="auto"/>
        <w:jc w:val="both"/>
        <w:rPr>
          <w:sz w:val="24"/>
          <w:szCs w:val="24"/>
        </w:rPr>
      </w:pPr>
      <w:r>
        <w:rPr>
          <w:sz w:val="24"/>
          <w:szCs w:val="24"/>
        </w:rPr>
        <w:t xml:space="preserve">KREBS, Josiane Roberta. Extensão universitária no Brasil: Conceitos, políticas e contradições. </w:t>
      </w:r>
      <w:r>
        <w:rPr>
          <w:b/>
          <w:sz w:val="24"/>
          <w:szCs w:val="24"/>
        </w:rPr>
        <w:t>+E: Revista de Extensión Universitaria</w:t>
      </w:r>
      <w:r>
        <w:rPr>
          <w:sz w:val="24"/>
          <w:szCs w:val="24"/>
        </w:rPr>
        <w:t>, v.12, n.17, 2022. Disponível em:</w:t>
      </w:r>
      <w:r>
        <w:rPr>
          <w:sz w:val="24"/>
          <w:szCs w:val="24"/>
          <w:u w:val="single"/>
        </w:rPr>
        <w:t>https://dx.doi.org/https://doi.org/10.14409/extensión.2022.17.juliodiciembre.e0017</w:t>
      </w:r>
      <w:r>
        <w:rPr>
          <w:sz w:val="24"/>
          <w:szCs w:val="24"/>
        </w:rPr>
        <w:t>Acesso em 14 de mai. 2025.</w:t>
      </w:r>
    </w:p>
    <w:p w14:paraId="0E830018" w14:textId="77777777" w:rsidR="00CA2481" w:rsidRDefault="00CA2481">
      <w:pPr>
        <w:spacing w:line="240" w:lineRule="auto"/>
        <w:jc w:val="both"/>
        <w:rPr>
          <w:sz w:val="24"/>
          <w:szCs w:val="24"/>
        </w:rPr>
      </w:pPr>
    </w:p>
    <w:p w14:paraId="52A74779" w14:textId="77777777" w:rsidR="00CA2481" w:rsidRDefault="00000000">
      <w:pPr>
        <w:spacing w:line="240" w:lineRule="auto"/>
        <w:jc w:val="both"/>
        <w:rPr>
          <w:sz w:val="24"/>
          <w:szCs w:val="24"/>
        </w:rPr>
      </w:pPr>
      <w:r>
        <w:rPr>
          <w:sz w:val="24"/>
          <w:szCs w:val="24"/>
        </w:rPr>
        <w:t xml:space="preserve">PAULA. J.A.. A extensão universitária: história, conceitos e propostas. </w:t>
      </w:r>
      <w:r>
        <w:rPr>
          <w:b/>
          <w:sz w:val="24"/>
          <w:szCs w:val="24"/>
        </w:rPr>
        <w:t>Interfaces- Revista de Extensão</w:t>
      </w:r>
      <w:r>
        <w:rPr>
          <w:sz w:val="24"/>
          <w:szCs w:val="24"/>
        </w:rPr>
        <w:t xml:space="preserve">, v.1, n1, 2013. </w:t>
      </w:r>
    </w:p>
    <w:p w14:paraId="766DD3FB" w14:textId="77777777" w:rsidR="00CA2481" w:rsidRDefault="00000000">
      <w:pPr>
        <w:spacing w:before="280" w:after="280" w:line="240" w:lineRule="auto"/>
        <w:jc w:val="both"/>
        <w:rPr>
          <w:sz w:val="24"/>
          <w:szCs w:val="24"/>
        </w:rPr>
      </w:pPr>
      <w:r>
        <w:rPr>
          <w:sz w:val="24"/>
          <w:szCs w:val="24"/>
        </w:rPr>
        <w:t>ROCHA, D. N.; CARVALHAES, F. Quem são os futuros professores do Brasil? O perfil sócio-econômico dos cursos de licenciatura do ensino superior</w:t>
      </w:r>
      <w:r>
        <w:rPr>
          <w:b/>
          <w:sz w:val="24"/>
          <w:szCs w:val="24"/>
        </w:rPr>
        <w:t>. Sociologia e Antropologia</w:t>
      </w:r>
      <w:r>
        <w:rPr>
          <w:sz w:val="24"/>
          <w:szCs w:val="24"/>
        </w:rPr>
        <w:t>, v.13, n.2, 2023.</w:t>
      </w:r>
    </w:p>
    <w:p w14:paraId="6E6A3B04" w14:textId="77777777" w:rsidR="00CA2481" w:rsidRDefault="00000000">
      <w:pPr>
        <w:spacing w:before="280" w:after="280" w:line="240" w:lineRule="auto"/>
        <w:jc w:val="both"/>
        <w:rPr>
          <w:sz w:val="24"/>
          <w:szCs w:val="24"/>
        </w:rPr>
      </w:pPr>
      <w:r>
        <w:rPr>
          <w:sz w:val="24"/>
          <w:szCs w:val="24"/>
        </w:rPr>
        <w:t>SILVA, L. M.; JESUS, R. C</w:t>
      </w:r>
      <w:r>
        <w:rPr>
          <w:b/>
          <w:sz w:val="24"/>
          <w:szCs w:val="24"/>
        </w:rPr>
        <w:t>.</w:t>
      </w:r>
      <w:r>
        <w:rPr>
          <w:sz w:val="24"/>
          <w:szCs w:val="24"/>
        </w:rPr>
        <w:t xml:space="preserve"> (2022). </w:t>
      </w:r>
      <w:r>
        <w:rPr>
          <w:i/>
          <w:sz w:val="24"/>
          <w:szCs w:val="24"/>
        </w:rPr>
        <w:t>Extensão universitária, diversidade e saberes tradicionais na Amazônia: uma leitura decolonial</w:t>
      </w:r>
      <w:r>
        <w:rPr>
          <w:sz w:val="24"/>
          <w:szCs w:val="24"/>
        </w:rPr>
        <w:t xml:space="preserve">. </w:t>
      </w:r>
      <w:r>
        <w:rPr>
          <w:b/>
          <w:sz w:val="24"/>
          <w:szCs w:val="24"/>
        </w:rPr>
        <w:t>Revista Brasileira de Extensão Universitária</w:t>
      </w:r>
      <w:r>
        <w:rPr>
          <w:sz w:val="24"/>
          <w:szCs w:val="24"/>
        </w:rPr>
        <w:t>, 13(1), e020115.</w:t>
      </w:r>
    </w:p>
    <w:p w14:paraId="7C670BF3" w14:textId="77777777" w:rsidR="00CA2481" w:rsidRDefault="00000000">
      <w:pPr>
        <w:spacing w:line="240" w:lineRule="auto"/>
        <w:jc w:val="both"/>
        <w:rPr>
          <w:sz w:val="24"/>
          <w:szCs w:val="24"/>
        </w:rPr>
      </w:pPr>
      <w:r>
        <w:rPr>
          <w:sz w:val="24"/>
          <w:szCs w:val="24"/>
        </w:rPr>
        <w:t xml:space="preserve">Síveres, Luiz. A extensão universitária como princípio de aprendizagem. UNESCO de Juventude, Educação e Sociedade, da Universidade Católica de Brasília, 2013. Disponível em: </w:t>
      </w:r>
      <w:hyperlink r:id="rId12">
        <w:r>
          <w:rPr>
            <w:sz w:val="24"/>
            <w:szCs w:val="24"/>
            <w:u w:val="single"/>
          </w:rPr>
          <w:t>https://unesdoc.unesco.org/ark:/48223/pf0000232083</w:t>
        </w:r>
      </w:hyperlink>
      <w:r>
        <w:rPr>
          <w:sz w:val="24"/>
          <w:szCs w:val="24"/>
        </w:rPr>
        <w:t>. Acesso em: 7 de jun. 2025.</w:t>
      </w:r>
    </w:p>
    <w:p w14:paraId="18426117" w14:textId="77777777" w:rsidR="00CA2481" w:rsidRDefault="00CA2481">
      <w:pPr>
        <w:spacing w:line="240" w:lineRule="auto"/>
        <w:jc w:val="both"/>
        <w:rPr>
          <w:sz w:val="24"/>
          <w:szCs w:val="24"/>
        </w:rPr>
      </w:pPr>
    </w:p>
    <w:p w14:paraId="459373EA" w14:textId="77777777" w:rsidR="00CA2481" w:rsidRDefault="00000000">
      <w:pPr>
        <w:spacing w:after="120" w:line="240" w:lineRule="auto"/>
        <w:jc w:val="both"/>
        <w:rPr>
          <w:sz w:val="24"/>
          <w:szCs w:val="24"/>
        </w:rPr>
      </w:pPr>
      <w:r>
        <w:rPr>
          <w:sz w:val="24"/>
          <w:szCs w:val="24"/>
        </w:rPr>
        <w:t xml:space="preserve">UFPA/CONSEPE. </w:t>
      </w:r>
      <w:r>
        <w:rPr>
          <w:b/>
          <w:sz w:val="24"/>
          <w:szCs w:val="24"/>
        </w:rPr>
        <w:t>Resolução n. 5.467, de 27 de janeiro de 2022</w:t>
      </w:r>
      <w:r>
        <w:rPr>
          <w:sz w:val="24"/>
          <w:szCs w:val="24"/>
        </w:rPr>
        <w:t>. Belém: Conselho Superior de Ensino, Pesquisa e Extensão, 2022.</w:t>
      </w:r>
    </w:p>
    <w:p w14:paraId="44D2B991" w14:textId="77777777" w:rsidR="00CA2481" w:rsidRDefault="00CA2481">
      <w:pPr>
        <w:spacing w:line="240" w:lineRule="auto"/>
        <w:jc w:val="both"/>
        <w:rPr>
          <w:sz w:val="24"/>
          <w:szCs w:val="24"/>
        </w:rPr>
      </w:pPr>
    </w:p>
    <w:p w14:paraId="6325B62E" w14:textId="77777777" w:rsidR="00CA2481" w:rsidRDefault="00000000">
      <w:pPr>
        <w:spacing w:after="120" w:line="240" w:lineRule="auto"/>
        <w:jc w:val="both"/>
        <w:rPr>
          <w:sz w:val="24"/>
          <w:szCs w:val="24"/>
        </w:rPr>
      </w:pPr>
      <w:r>
        <w:rPr>
          <w:sz w:val="24"/>
          <w:szCs w:val="24"/>
        </w:rPr>
        <w:t xml:space="preserve">UNIVERSIDADE FEDERAL DO PARÁ. Pró-Reitoria de Planejamento e Desenvolvimento Institucional. </w:t>
      </w:r>
      <w:r>
        <w:rPr>
          <w:b/>
          <w:sz w:val="24"/>
          <w:szCs w:val="24"/>
        </w:rPr>
        <w:t>Plano de Desenvolvimento Institucional – PDI 2016-2025.</w:t>
      </w:r>
      <w:r>
        <w:rPr>
          <w:sz w:val="24"/>
          <w:szCs w:val="24"/>
        </w:rPr>
        <w:t xml:space="preserve"> Belém: UFPA, 2016. Disponível em: </w:t>
      </w:r>
      <w:hyperlink r:id="rId13">
        <w:r>
          <w:rPr>
            <w:sz w:val="24"/>
            <w:szCs w:val="24"/>
            <w:u w:val="single"/>
          </w:rPr>
          <w:t>https://portal.ufpa.br/images/docs/PDI_2</w:t>
        </w:r>
      </w:hyperlink>
    </w:p>
    <w:p w14:paraId="38CAFFFE" w14:textId="77777777" w:rsidR="00CA2481" w:rsidRDefault="00000000">
      <w:pPr>
        <w:spacing w:after="120" w:line="240" w:lineRule="auto"/>
        <w:jc w:val="both"/>
        <w:rPr>
          <w:sz w:val="24"/>
          <w:szCs w:val="24"/>
        </w:rPr>
      </w:pPr>
      <w:hyperlink r:id="rId14">
        <w:r>
          <w:rPr>
            <w:sz w:val="24"/>
            <w:szCs w:val="24"/>
            <w:u w:val="single"/>
          </w:rPr>
          <w:t>016-2025.pdf</w:t>
        </w:r>
      </w:hyperlink>
      <w:r>
        <w:rPr>
          <w:sz w:val="24"/>
          <w:szCs w:val="24"/>
        </w:rPr>
        <w:t>. Acesso em: 6 de jun. 2025.</w:t>
      </w:r>
    </w:p>
    <w:p w14:paraId="5ECB81B9" w14:textId="77777777" w:rsidR="00CA2481" w:rsidRDefault="00CA2481">
      <w:pPr>
        <w:spacing w:line="240" w:lineRule="auto"/>
        <w:jc w:val="both"/>
        <w:rPr>
          <w:sz w:val="24"/>
          <w:szCs w:val="24"/>
        </w:rPr>
      </w:pPr>
    </w:p>
    <w:p w14:paraId="403C76DD" w14:textId="77777777" w:rsidR="00CA2481" w:rsidRDefault="00000000">
      <w:pPr>
        <w:spacing w:after="120" w:line="240" w:lineRule="auto"/>
        <w:jc w:val="both"/>
        <w:rPr>
          <w:sz w:val="24"/>
          <w:szCs w:val="24"/>
        </w:rPr>
      </w:pPr>
      <w:r>
        <w:rPr>
          <w:sz w:val="24"/>
          <w:szCs w:val="24"/>
        </w:rPr>
        <w:t xml:space="preserve">UFPA/Pró-Reitoria de extensão. Relatório de pesquisa parcial: Experiência Extensionista e Formação Universitária: os egressos da UFPA. Belém: 2024.  </w:t>
      </w:r>
    </w:p>
    <w:p w14:paraId="6AA8E243" w14:textId="77777777" w:rsidR="00CA2481" w:rsidRDefault="00CA2481">
      <w:pPr>
        <w:spacing w:line="240" w:lineRule="auto"/>
        <w:jc w:val="both"/>
        <w:rPr>
          <w:sz w:val="24"/>
          <w:szCs w:val="24"/>
        </w:rPr>
      </w:pPr>
    </w:p>
    <w:p w14:paraId="6BFD0658" w14:textId="006317C2" w:rsidR="00CA2481" w:rsidRDefault="00000000">
      <w:pPr>
        <w:spacing w:line="240" w:lineRule="auto"/>
        <w:jc w:val="both"/>
        <w:rPr>
          <w:sz w:val="24"/>
          <w:szCs w:val="24"/>
        </w:rPr>
      </w:pPr>
      <w:r>
        <w:rPr>
          <w:sz w:val="24"/>
          <w:szCs w:val="24"/>
        </w:rPr>
        <w:t xml:space="preserve">UFPA- CASTANHAL </w:t>
      </w:r>
      <w:r>
        <w:rPr>
          <w:b/>
          <w:sz w:val="24"/>
          <w:szCs w:val="24"/>
        </w:rPr>
        <w:t>Plano de Desenvolvimento Universitário – PDU 2022-2025.</w:t>
      </w:r>
      <w:r>
        <w:rPr>
          <w:sz w:val="24"/>
          <w:szCs w:val="24"/>
        </w:rPr>
        <w:t xml:space="preserve"> Belém: UFPA, 2022</w:t>
      </w:r>
      <w:r w:rsidR="00CC0903">
        <w:rPr>
          <w:sz w:val="24"/>
          <w:szCs w:val="24"/>
        </w:rPr>
        <w:t>.</w:t>
      </w:r>
    </w:p>
    <w:p w14:paraId="64E94E49" w14:textId="77777777" w:rsidR="00CA2481" w:rsidRDefault="00CA2481">
      <w:pPr>
        <w:spacing w:line="240" w:lineRule="auto"/>
        <w:jc w:val="both"/>
        <w:rPr>
          <w:sz w:val="24"/>
          <w:szCs w:val="24"/>
        </w:rPr>
      </w:pPr>
    </w:p>
    <w:p w14:paraId="656D2B25" w14:textId="77777777" w:rsidR="00CA2481" w:rsidRDefault="00CA2481">
      <w:pPr>
        <w:spacing w:after="200"/>
        <w:jc w:val="both"/>
        <w:rPr>
          <w:rFonts w:ascii="Calibri" w:eastAsia="Calibri" w:hAnsi="Calibri" w:cs="Calibri"/>
          <w:sz w:val="24"/>
          <w:szCs w:val="24"/>
        </w:rPr>
      </w:pPr>
    </w:p>
    <w:sectPr w:rsidR="00CA2481">
      <w:headerReference w:type="default" r:id="rId15"/>
      <w:footerReference w:type="default" r:id="rId16"/>
      <w:pgSz w:w="11909" w:h="16834"/>
      <w:pgMar w:top="1134" w:right="1134" w:bottom="1134" w:left="1134"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1B966" w14:textId="77777777" w:rsidR="00307129" w:rsidRDefault="00307129">
      <w:pPr>
        <w:spacing w:line="240" w:lineRule="auto"/>
      </w:pPr>
      <w:r>
        <w:separator/>
      </w:r>
    </w:p>
  </w:endnote>
  <w:endnote w:type="continuationSeparator" w:id="0">
    <w:p w14:paraId="12951B48" w14:textId="77777777" w:rsidR="00307129" w:rsidRDefault="003071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ED634" w14:textId="77777777" w:rsidR="00CA2481" w:rsidRDefault="00CA24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27E9A" w14:textId="77777777" w:rsidR="00307129" w:rsidRDefault="00307129">
      <w:pPr>
        <w:spacing w:line="240" w:lineRule="auto"/>
      </w:pPr>
      <w:r>
        <w:separator/>
      </w:r>
    </w:p>
  </w:footnote>
  <w:footnote w:type="continuationSeparator" w:id="0">
    <w:p w14:paraId="69B051B3" w14:textId="77777777" w:rsidR="00307129" w:rsidRDefault="00307129">
      <w:pPr>
        <w:spacing w:line="240" w:lineRule="auto"/>
      </w:pPr>
      <w:r>
        <w:continuationSeparator/>
      </w:r>
    </w:p>
  </w:footnote>
  <w:footnote w:id="1">
    <w:p w14:paraId="740AE29C" w14:textId="77777777" w:rsidR="00CA2481" w:rsidRDefault="00000000">
      <w:pPr>
        <w:spacing w:line="240" w:lineRule="auto"/>
        <w:rPr>
          <w:sz w:val="20"/>
          <w:szCs w:val="20"/>
        </w:rPr>
      </w:pPr>
      <w:r>
        <w:rPr>
          <w:vertAlign w:val="superscript"/>
        </w:rPr>
        <w:footnoteRef/>
      </w:r>
      <w:r>
        <w:rPr>
          <w:sz w:val="20"/>
          <w:szCs w:val="20"/>
        </w:rPr>
        <w:t xml:space="preserve"> </w:t>
      </w:r>
      <w:r>
        <w:rPr>
          <w:sz w:val="18"/>
          <w:szCs w:val="18"/>
        </w:rPr>
        <w:t>Graduanda em Serviço Social pela Universidade Federal do Pará (UFPA). E-mail: larissa.monteiro@icsa.ufpa.br</w:t>
      </w:r>
    </w:p>
  </w:footnote>
  <w:footnote w:id="2">
    <w:p w14:paraId="60A45E1A" w14:textId="135DB76A" w:rsidR="00CA2481" w:rsidRPr="00C96B6B" w:rsidRDefault="00000000">
      <w:pPr>
        <w:spacing w:line="240" w:lineRule="auto"/>
        <w:rPr>
          <w:sz w:val="18"/>
          <w:szCs w:val="18"/>
        </w:rPr>
      </w:pPr>
      <w:r>
        <w:rPr>
          <w:vertAlign w:val="superscript"/>
        </w:rPr>
        <w:footnoteRef/>
      </w:r>
      <w:r w:rsidR="00C96B6B">
        <w:rPr>
          <w:sz w:val="20"/>
          <w:szCs w:val="20"/>
        </w:rPr>
        <w:t xml:space="preserve"> </w:t>
      </w:r>
      <w:r w:rsidR="00C96B6B">
        <w:rPr>
          <w:sz w:val="18"/>
          <w:szCs w:val="18"/>
        </w:rPr>
        <w:t>Professora do curso de Serviço Social da Universidade Federal do Pará.</w:t>
      </w:r>
    </w:p>
  </w:footnote>
  <w:footnote w:id="3">
    <w:p w14:paraId="1CBAE6C9" w14:textId="77777777" w:rsidR="00CA2481" w:rsidRDefault="00000000">
      <w:pPr>
        <w:pBdr>
          <w:top w:val="nil"/>
          <w:left w:val="nil"/>
          <w:bottom w:val="nil"/>
          <w:right w:val="nil"/>
          <w:between w:val="nil"/>
        </w:pBdr>
        <w:spacing w:after="120" w:line="240" w:lineRule="auto"/>
        <w:jc w:val="both"/>
        <w:rPr>
          <w:sz w:val="20"/>
          <w:szCs w:val="20"/>
        </w:rPr>
      </w:pPr>
      <w:r>
        <w:rPr>
          <w:vertAlign w:val="superscript"/>
        </w:rPr>
        <w:footnoteRef/>
      </w:r>
      <w:r>
        <w:t xml:space="preserve"> </w:t>
      </w:r>
      <w:r>
        <w:rPr>
          <w:b/>
          <w:sz w:val="20"/>
          <w:szCs w:val="20"/>
        </w:rPr>
        <w:t>Resolução n. 5.467, de 27 de janeiro de 2022</w:t>
      </w:r>
      <w:r>
        <w:rPr>
          <w:sz w:val="20"/>
          <w:szCs w:val="20"/>
        </w:rPr>
        <w:t xml:space="preserve"> (UFPA/CONSEPE, 2022, p.1).</w:t>
      </w:r>
    </w:p>
  </w:footnote>
  <w:footnote w:id="4">
    <w:p w14:paraId="4934709B" w14:textId="7D0A1130" w:rsidR="00CA2481" w:rsidRDefault="00000000">
      <w:pPr>
        <w:spacing w:line="240" w:lineRule="auto"/>
        <w:rPr>
          <w:sz w:val="20"/>
          <w:szCs w:val="20"/>
        </w:rPr>
      </w:pPr>
      <w:r>
        <w:rPr>
          <w:vertAlign w:val="superscript"/>
        </w:rPr>
        <w:footnoteRef/>
      </w:r>
      <w:r>
        <w:rPr>
          <w:sz w:val="20"/>
          <w:szCs w:val="20"/>
        </w:rPr>
        <w:t xml:space="preserve"> Cf. </w:t>
      </w:r>
      <w:hyperlink r:id="rId1">
        <w:r>
          <w:rPr>
            <w:color w:val="1155CC"/>
            <w:sz w:val="20"/>
            <w:szCs w:val="20"/>
            <w:u w:val="single"/>
          </w:rPr>
          <w:t>cedra</w:t>
        </w:r>
      </w:hyperlink>
      <w:r>
        <w:rPr>
          <w:sz w:val="20"/>
          <w:szCs w:val="20"/>
        </w:rPr>
        <w:t>.org.br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0B6A6" w14:textId="77777777" w:rsidR="00CA2481" w:rsidRDefault="00000000">
    <w:r>
      <w:rPr>
        <w:noProof/>
      </w:rPr>
      <w:drawing>
        <wp:anchor distT="0" distB="0" distL="0" distR="0" simplePos="0" relativeHeight="251658240" behindDoc="1" locked="0" layoutInCell="1" hidden="0" allowOverlap="1" wp14:anchorId="724FB92B" wp14:editId="777F91D7">
          <wp:simplePos x="0" y="0"/>
          <wp:positionH relativeFrom="page">
            <wp:posOffset>9525</wp:posOffset>
          </wp:positionH>
          <wp:positionV relativeFrom="page">
            <wp:posOffset>6985</wp:posOffset>
          </wp:positionV>
          <wp:extent cx="7562215" cy="10689590"/>
          <wp:effectExtent l="0" t="0" r="0" b="0"/>
          <wp:wrapNone/>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2215" cy="106895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481"/>
    <w:rsid w:val="0027140E"/>
    <w:rsid w:val="00307129"/>
    <w:rsid w:val="00357CA0"/>
    <w:rsid w:val="00371172"/>
    <w:rsid w:val="00B94246"/>
    <w:rsid w:val="00C96B6B"/>
    <w:rsid w:val="00CA2481"/>
    <w:rsid w:val="00CC09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AB1AC"/>
  <w15:docId w15:val="{11F7D450-D973-42FE-AA3C-5571A3E1C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1">
    <w:name w:val="Normal1"/>
    <w:qFormat/>
  </w:style>
  <w:style w:type="paragraph" w:customStyle="1" w:styleId="Ttulo10">
    <w:name w:val="Título 1*"/>
    <w:basedOn w:val="Normal"/>
    <w:next w:val="Normal"/>
    <w:qFormat/>
    <w:pPr>
      <w:keepNext/>
      <w:keepLines/>
      <w:suppressAutoHyphens/>
      <w:spacing w:before="400" w:after="120"/>
      <w:outlineLvl w:val="0"/>
    </w:pPr>
    <w:rPr>
      <w:sz w:val="40"/>
      <w:szCs w:val="40"/>
    </w:rPr>
  </w:style>
  <w:style w:type="paragraph" w:customStyle="1" w:styleId="Ttulo20">
    <w:name w:val="Título 2*"/>
    <w:basedOn w:val="Normal"/>
    <w:next w:val="Normal"/>
    <w:qFormat/>
    <w:pPr>
      <w:keepNext/>
      <w:keepLines/>
      <w:suppressAutoHyphens/>
      <w:spacing w:before="360" w:after="120"/>
      <w:outlineLvl w:val="1"/>
    </w:pPr>
    <w:rPr>
      <w:sz w:val="32"/>
      <w:szCs w:val="32"/>
    </w:rPr>
  </w:style>
  <w:style w:type="paragraph" w:customStyle="1" w:styleId="Ttulo30">
    <w:name w:val="Título 3*"/>
    <w:basedOn w:val="Normal"/>
    <w:next w:val="Normal"/>
    <w:qFormat/>
    <w:pPr>
      <w:keepNext/>
      <w:keepLines/>
      <w:suppressAutoHyphens/>
      <w:spacing w:before="320" w:after="80"/>
      <w:outlineLvl w:val="2"/>
    </w:pPr>
    <w:rPr>
      <w:color w:val="434343"/>
      <w:sz w:val="28"/>
      <w:szCs w:val="28"/>
    </w:rPr>
  </w:style>
  <w:style w:type="paragraph" w:customStyle="1" w:styleId="Ttulo40">
    <w:name w:val="Título 4*"/>
    <w:basedOn w:val="Normal"/>
    <w:next w:val="Normal"/>
    <w:qFormat/>
    <w:pPr>
      <w:keepNext/>
      <w:keepLines/>
      <w:suppressAutoHyphens/>
      <w:spacing w:before="280" w:after="80"/>
      <w:outlineLvl w:val="3"/>
    </w:pPr>
    <w:rPr>
      <w:color w:val="666666"/>
      <w:sz w:val="24"/>
      <w:szCs w:val="24"/>
    </w:rPr>
  </w:style>
  <w:style w:type="paragraph" w:customStyle="1" w:styleId="Ttulo50">
    <w:name w:val="Título 5*"/>
    <w:basedOn w:val="Normal"/>
    <w:next w:val="Normal"/>
    <w:qFormat/>
    <w:pPr>
      <w:keepNext/>
      <w:keepLines/>
      <w:suppressAutoHyphens/>
      <w:spacing w:before="240" w:after="80"/>
      <w:outlineLvl w:val="4"/>
    </w:pPr>
    <w:rPr>
      <w:color w:val="666666"/>
    </w:rPr>
  </w:style>
  <w:style w:type="paragraph" w:customStyle="1" w:styleId="Ttulo60">
    <w:name w:val="Título 6*"/>
    <w:basedOn w:val="Normal"/>
    <w:next w:val="Normal"/>
    <w:qFormat/>
    <w:pPr>
      <w:keepNext/>
      <w:keepLines/>
      <w:suppressAutoHyphens/>
      <w:spacing w:before="240" w:after="80"/>
      <w:outlineLvl w:val="5"/>
    </w:pPr>
    <w:rPr>
      <w:i/>
      <w:color w:val="666666"/>
    </w:rPr>
  </w:style>
  <w:style w:type="paragraph" w:customStyle="1" w:styleId="Ttulo0">
    <w:name w:val="Título*"/>
    <w:basedOn w:val="Normal"/>
    <w:next w:val="Normal"/>
    <w:qFormat/>
    <w:pPr>
      <w:keepNext/>
      <w:keepLines/>
      <w:suppressAutoHyphens/>
      <w:spacing w:after="60"/>
      <w:outlineLvl w:val="0"/>
    </w:pPr>
    <w:rPr>
      <w:sz w:val="52"/>
      <w:szCs w:val="52"/>
    </w:rPr>
  </w:style>
  <w:style w:type="paragraph" w:styleId="Cabealho">
    <w:name w:val="header"/>
    <w:basedOn w:val="Normal"/>
    <w:qFormat/>
    <w:pPr>
      <w:tabs>
        <w:tab w:val="center" w:pos="4252"/>
        <w:tab w:val="right" w:pos="8504"/>
      </w:tabs>
      <w:suppressAutoHyphens/>
      <w:spacing w:line="240" w:lineRule="auto"/>
      <w:outlineLvl w:val="0"/>
    </w:pPr>
  </w:style>
  <w:style w:type="paragraph" w:styleId="Rodap">
    <w:name w:val="footer"/>
    <w:basedOn w:val="Normal"/>
    <w:qFormat/>
    <w:pPr>
      <w:tabs>
        <w:tab w:val="center" w:pos="4252"/>
        <w:tab w:val="right" w:pos="8504"/>
      </w:tabs>
      <w:suppressAutoHyphens/>
      <w:spacing w:line="240" w:lineRule="auto"/>
      <w:outlineLvl w:val="0"/>
    </w:pPr>
  </w:style>
  <w:style w:type="paragraph" w:customStyle="1" w:styleId="Subttulo1">
    <w:name w:val="Subtítulo1"/>
    <w:basedOn w:val="Normal"/>
    <w:next w:val="Normal"/>
    <w:qFormat/>
    <w:pPr>
      <w:keepNext/>
      <w:keepLines/>
      <w:spacing w:before="360" w:after="80"/>
    </w:pPr>
    <w:rPr>
      <w:rFonts w:ascii="Georgia" w:eastAsia="Georgia" w:hAnsi="Georgia" w:cs="Georgia"/>
      <w:i/>
      <w:color w:val="666666"/>
      <w:sz w:val="48"/>
      <w:szCs w:val="48"/>
    </w:rPr>
  </w:style>
  <w:style w:type="character" w:customStyle="1" w:styleId="CabealhoChar">
    <w:name w:val="Cabeçalho Char"/>
    <w:basedOn w:val="Fontepargpadro"/>
  </w:style>
  <w:style w:type="character" w:customStyle="1" w:styleId="RodapChar">
    <w:name w:val="Rodapé Char"/>
    <w:basedOn w:val="Fontepargpadro"/>
  </w:style>
  <w:style w:type="table" w:customStyle="1" w:styleId="a">
    <w:basedOn w:val="Tabelanormal"/>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s://portal.ufpa.br/images/docs/PDI_2016-2025.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yperlink" Target="https://unesdoc.unesco.org/ark:/48223/pf0000232083"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ufmg.br/proex/renex/images/EBOOK_-_Sandra_de_Deus_-_Extensao_Universitaria.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stf.jus.br/arquivo/cms/legislacaoconstituicao/anexo/cf.pdf"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s://portal.ufpa.br/images/docs/PDI_2016-2025.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cedr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c:style val="2"/>
  <c:chart>
    <c:autoTitleDeleted val="1"/>
    <c:view3D>
      <c:rotX val="15"/>
      <c:hPercent val="100"/>
      <c:rotY val="0"/>
      <c:depthPercent val="150"/>
      <c:rAngAx val="1"/>
    </c:view3D>
    <c:floor>
      <c:thickness val="0"/>
    </c:floor>
    <c:sideWall>
      <c:thickness val="0"/>
    </c:sideWall>
    <c:backWall>
      <c:thickness val="0"/>
    </c:backWall>
    <c:plotArea>
      <c:layout>
        <c:manualLayout>
          <c:layoutTarget val="inner"/>
          <c:xMode val="edge"/>
          <c:yMode val="edge"/>
          <c:x val="7.3934780292684812E-2"/>
          <c:y val="0.15687971436002932"/>
          <c:w val="0.51110168424518887"/>
          <c:h val="0.58328046831983837"/>
        </c:manualLayout>
      </c:layout>
      <c:pie3DChart>
        <c:varyColors val="1"/>
        <c:ser>
          <c:idx val="0"/>
          <c:order val="0"/>
          <c:spPr>
            <a:scene3d>
              <a:camera prst="orthographicFront"/>
              <a:lightRig rig="threePt" dir="t">
                <a:rot lat="0" lon="0" rev="12000000"/>
              </a:lightRig>
            </a:scene3d>
            <a:sp3d/>
          </c:spPr>
          <c:explosion val="4"/>
          <c:dLbls>
            <c:numFmt formatCode="0%" sourceLinked="0"/>
            <c:spPr>
              <a:noFill/>
              <a:ln>
                <a:noFill/>
              </a:ln>
              <a:effectLst/>
            </c:spPr>
            <c:txPr>
              <a:bodyPr/>
              <a:lstStyle/>
              <a:p>
                <a:pPr>
                  <a:defRPr lang="pt-br" sz="790" b="0" i="0" u="none" strike="noStrike">
                    <a:solidFill>
                      <a:srgbClr val="000000"/>
                    </a:solidFill>
                    <a:latin typeface="Arial"/>
                  </a:defRPr>
                </a:pPr>
                <a:endParaRPr lang="pt-BR"/>
              </a:p>
            </c:txPr>
            <c:showLegendKey val="0"/>
            <c:showVal val="0"/>
            <c:showCatName val="0"/>
            <c:showSerName val="0"/>
            <c:showPercent val="1"/>
            <c:showBubbleSize val="0"/>
            <c:showLeaderLines val="0"/>
            <c:extLst>
              <c:ext xmlns:c15="http://schemas.microsoft.com/office/drawing/2012/chart" uri="{CE6537A1-D6FC-4f65-9D91-7224C49458BB}"/>
            </c:extLst>
          </c:dLbls>
          <c:cat>
            <c:strLit>
              <c:ptCount val="3"/>
              <c:pt idx="0">
                <c:v>Bolsista</c:v>
              </c:pt>
              <c:pt idx="1">
                <c:v>Voluntário(a)</c:v>
              </c:pt>
              <c:pt idx="2">
                <c:v>Bolsista e Voluntário(a)</c:v>
              </c:pt>
            </c:strLit>
          </c:cat>
          <c:val>
            <c:numLit>
              <c:formatCode>General</c:formatCode>
              <c:ptCount val="3"/>
              <c:pt idx="0" formatCode="0%">
                <c:v>0.31</c:v>
              </c:pt>
              <c:pt idx="1">
                <c:v>0.20699999999999999</c:v>
              </c:pt>
              <c:pt idx="2">
                <c:v>0.48299999999999998</c:v>
              </c:pt>
            </c:numLit>
          </c:val>
          <c:extLst>
            <c:ext xmlns:sm="smo" uri="smo">
              <sm:meanLine>
                <c:spPr>
                  <a:ln>
                    <a:noFill/>
                  </a:ln>
                </c:spPr>
              </sm:meanLine>
              <sm:minMaxLine>
                <c:spPr>
                  <a:ln>
                    <a:noFill/>
                  </a:ln>
                </c:spPr>
              </sm:minMaxLine>
              <sm:stDevLine>
                <c:spPr>
                  <a:ln>
                    <a:noFill/>
                  </a:ln>
                </c:spPr>
              </sm:stDevLine>
              <sm:trendLine>
                <c:spPr>
                  <a:ln>
                    <a:noFill/>
                  </a:ln>
                </c:spPr>
              </sm:trendLine>
            </c:ext>
            <c:ext xmlns:c16="http://schemas.microsoft.com/office/drawing/2014/chart" uri="{C3380CC4-5D6E-409C-BE32-E72D297353CC}">
              <c16:uniqueId val="{00000000-5450-4265-8684-CA8A381A1547}"/>
            </c:ext>
          </c:extLst>
        </c:ser>
        <c:dLbls>
          <c:showLegendKey val="0"/>
          <c:showVal val="0"/>
          <c:showCatName val="0"/>
          <c:showSerName val="0"/>
          <c:showPercent val="0"/>
          <c:showBubbleSize val="0"/>
          <c:showLeaderLines val="0"/>
        </c:dLbls>
      </c:pie3DChart>
    </c:plotArea>
    <c:legend>
      <c:legendPos val="r"/>
      <c:overlay val="0"/>
      <c:txPr>
        <a:bodyPr anchor="t"/>
        <a:lstStyle/>
        <a:p>
          <a:pPr>
            <a:defRPr lang="pt-br" sz="790" b="0" i="0" u="none" strike="noStrike">
              <a:solidFill>
                <a:srgbClr val="000000"/>
              </a:solidFill>
              <a:latin typeface="Arial"/>
            </a:defRPr>
          </a:pPr>
          <a:endParaRPr lang="pt-BR"/>
        </a:p>
      </c:txPr>
    </c:legend>
    <c:plotVisOnly val="1"/>
    <c:dispBlanksAs val="gap"/>
    <c:showDLblsOverMax val="1"/>
  </c:chart>
  <c:spPr>
    <a:ln>
      <a:solidFill>
        <a:srgbClr val="FFFFFF"/>
      </a:solidFill>
    </a:ln>
  </c:spPr>
  <c:txPr>
    <a:bodyPr rot="0" anchor="ctr" anchorCtr="1"/>
    <a:lstStyle/>
    <a:p>
      <a:pPr>
        <a:defRPr lang="pt-br" sz="880" b="1" i="0" u="none" strike="noStrike">
          <a:solidFill>
            <a:srgbClr val="000000"/>
          </a:solidFill>
          <a:latin typeface="Arial"/>
        </a:defRPr>
      </a:pPr>
      <a:endParaRPr lang="pt-BR"/>
    </a:p>
  </c:txPr>
  <c:extLst>
    <c:ext xmlns:sm="smo" uri="smo">
      <sm:colorScheme xmlns:sm="smo" id="1751328871" val="7"/>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c:style val="2"/>
  <c:chart>
    <c:autoTitleDeleted val="1"/>
    <c:view3D>
      <c:rotX val="15"/>
      <c:hPercent val="100"/>
      <c:rotY val="0"/>
      <c:depthPercent val="150"/>
      <c:rAngAx val="1"/>
    </c:view3D>
    <c:floor>
      <c:thickness val="0"/>
    </c:floor>
    <c:sideWall>
      <c:thickness val="0"/>
    </c:sideWall>
    <c:backWall>
      <c:thickness val="0"/>
    </c:backWall>
    <c:plotArea>
      <c:layout/>
      <c:pie3DChart>
        <c:varyColors val="1"/>
        <c:ser>
          <c:idx val="0"/>
          <c:order val="0"/>
          <c:spPr>
            <a:scene3d>
              <a:camera prst="orthographicFront"/>
              <a:lightRig rig="threePt" dir="t">
                <a:rot lat="0" lon="0" rev="12000000"/>
              </a:lightRig>
            </a:scene3d>
            <a:sp3d/>
          </c:spPr>
          <c:dLbls>
            <c:numFmt formatCode="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Lit>
              <c:ptCount val="4"/>
              <c:pt idx="0">
                <c:v>Parda(o)</c:v>
              </c:pt>
              <c:pt idx="1">
                <c:v>Branca(o)</c:v>
              </c:pt>
              <c:pt idx="2">
                <c:v>Preta(o)</c:v>
              </c:pt>
              <c:pt idx="3">
                <c:v>Amarela(o)</c:v>
              </c:pt>
            </c:strLit>
          </c:cat>
          <c:val>
            <c:numLit>
              <c:formatCode>General</c:formatCode>
              <c:ptCount val="4"/>
              <c:pt idx="0">
                <c:v>18</c:v>
              </c:pt>
              <c:pt idx="1">
                <c:v>7</c:v>
              </c:pt>
              <c:pt idx="2">
                <c:v>3</c:v>
              </c:pt>
              <c:pt idx="3">
                <c:v>1</c:v>
              </c:pt>
            </c:numLit>
          </c:val>
          <c:extLst>
            <c:ext xmlns:sm="smo" uri="smo">
              <sm:meanLine>
                <c:spPr>
                  <a:ln>
                    <a:noFill/>
                  </a:ln>
                </c:spPr>
              </sm:meanLine>
              <sm:minMaxLine>
                <c:spPr>
                  <a:ln>
                    <a:noFill/>
                  </a:ln>
                </c:spPr>
              </sm:minMaxLine>
              <sm:stDevLine>
                <c:spPr>
                  <a:ln>
                    <a:noFill/>
                  </a:ln>
                </c:spPr>
              </sm:stDevLine>
              <sm:trendLine>
                <c:spPr>
                  <a:ln>
                    <a:noFill/>
                  </a:ln>
                </c:spPr>
              </sm:trendLine>
            </c:ext>
            <c:ext xmlns:c16="http://schemas.microsoft.com/office/drawing/2014/chart" uri="{C3380CC4-5D6E-409C-BE32-E72D297353CC}">
              <c16:uniqueId val="{00000000-7C52-450C-BBEB-6F601D7A66E2}"/>
            </c:ext>
          </c:extLst>
        </c:ser>
        <c:dLbls>
          <c:showLegendKey val="0"/>
          <c:showVal val="0"/>
          <c:showCatName val="0"/>
          <c:showSerName val="0"/>
          <c:showPercent val="0"/>
          <c:showBubbleSize val="0"/>
          <c:showLeaderLines val="0"/>
        </c:dLbls>
      </c:pie3DChart>
    </c:plotArea>
    <c:legend>
      <c:legendPos val="r"/>
      <c:overlay val="0"/>
      <c:txPr>
        <a:bodyPr anchor="t"/>
        <a:lstStyle/>
        <a:p>
          <a:pPr>
            <a:defRPr/>
          </a:pPr>
          <a:endParaRPr lang="pt-BR"/>
        </a:p>
      </c:txPr>
    </c:legend>
    <c:plotVisOnly val="1"/>
    <c:dispBlanksAs val="gap"/>
    <c:showDLblsOverMax val="1"/>
  </c:chart>
  <c:spPr>
    <a:ln>
      <a:solidFill>
        <a:srgbClr val="FFFFFF"/>
      </a:solidFill>
    </a:ln>
  </c:spPr>
  <c:txPr>
    <a:bodyPr rot="0" anchor="ctr" anchorCtr="1"/>
    <a:lstStyle/>
    <a:p>
      <a:pPr>
        <a:defRPr lang="pt-br" sz="905" b="0" i="0" u="none" strike="noStrike">
          <a:solidFill>
            <a:srgbClr val="000000"/>
          </a:solidFill>
          <a:latin typeface="Arial"/>
        </a:defRPr>
      </a:pPr>
      <a:endParaRPr lang="pt-BR"/>
    </a:p>
  </c:txPr>
  <c:extLst>
    <c:ext xmlns:sm="smo" uri="smo">
      <sm:colorScheme xmlns:sm="smo" id="1751328871" val="7"/>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c:style val="2"/>
  <c:chart>
    <c:autoTitleDeleted val="1"/>
    <c:view3D>
      <c:rotX val="15"/>
      <c:hPercent val="100"/>
      <c:rotY val="0"/>
      <c:depthPercent val="150"/>
      <c:rAngAx val="1"/>
    </c:view3D>
    <c:floor>
      <c:thickness val="0"/>
    </c:floor>
    <c:sideWall>
      <c:thickness val="0"/>
    </c:sideWall>
    <c:backWall>
      <c:thickness val="0"/>
    </c:backWall>
    <c:plotArea>
      <c:layout/>
      <c:pie3DChart>
        <c:varyColors val="1"/>
        <c:ser>
          <c:idx val="0"/>
          <c:order val="0"/>
          <c:spPr>
            <a:effectLst>
              <a:outerShdw blurRad="38100" dist="53882" dir="2700000" algn="ctr" rotWithShape="0">
                <a:srgbClr val="000000"/>
              </a:outerShdw>
            </a:effectLst>
            <a:scene3d>
              <a:camera prst="orthographicFront"/>
              <a:lightRig rig="threePt" dir="t">
                <a:rot lat="0" lon="0" rev="12000000"/>
              </a:lightRig>
            </a:scene3d>
            <a:sp3d/>
          </c:spPr>
          <c:dLbls>
            <c:numFmt formatCode="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Lit>
              <c:ptCount val="6"/>
              <c:pt idx="0">
                <c:v>Comunicação</c:v>
              </c:pt>
              <c:pt idx="1">
                <c:v>Cultura</c:v>
              </c:pt>
              <c:pt idx="2">
                <c:v>Educação</c:v>
              </c:pt>
              <c:pt idx="3">
                <c:v>Meio Ambiente</c:v>
              </c:pt>
              <c:pt idx="4">
                <c:v>Saúde</c:v>
              </c:pt>
              <c:pt idx="5">
                <c:v>Tecnologia e Produção</c:v>
              </c:pt>
            </c:strLit>
          </c:cat>
          <c:val>
            <c:numLit>
              <c:formatCode>0%</c:formatCode>
              <c:ptCount val="6"/>
              <c:pt idx="0">
                <c:v>6.9000000000000006E-2</c:v>
              </c:pt>
              <c:pt idx="1">
                <c:v>3.4000000000000002E-2</c:v>
              </c:pt>
              <c:pt idx="2">
                <c:v>0.58599999999999997</c:v>
              </c:pt>
              <c:pt idx="3">
                <c:v>3.4000000000000002E-2</c:v>
              </c:pt>
              <c:pt idx="4">
                <c:v>0.17199999999999999</c:v>
              </c:pt>
              <c:pt idx="5">
                <c:v>0.10299999999999999</c:v>
              </c:pt>
            </c:numLit>
          </c:val>
          <c:extLst>
            <c:ext xmlns:sm="smo" uri="smo">
              <sm:meanLine>
                <c:spPr>
                  <a:ln>
                    <a:noFill/>
                  </a:ln>
                </c:spPr>
              </sm:meanLine>
              <sm:minMaxLine>
                <c:spPr>
                  <a:ln>
                    <a:noFill/>
                  </a:ln>
                </c:spPr>
              </sm:minMaxLine>
              <sm:stDevLine>
                <c:spPr>
                  <a:ln>
                    <a:noFill/>
                  </a:ln>
                </c:spPr>
              </sm:stDevLine>
              <sm:trendLine>
                <c:spPr>
                  <a:ln>
                    <a:noFill/>
                  </a:ln>
                </c:spPr>
              </sm:trendLine>
            </c:ext>
            <c:ext xmlns:c16="http://schemas.microsoft.com/office/drawing/2014/chart" uri="{C3380CC4-5D6E-409C-BE32-E72D297353CC}">
              <c16:uniqueId val="{00000000-FBFC-457E-98D9-43993BF52818}"/>
            </c:ext>
          </c:extLst>
        </c:ser>
        <c:dLbls>
          <c:showLegendKey val="0"/>
          <c:showVal val="0"/>
          <c:showCatName val="0"/>
          <c:showSerName val="0"/>
          <c:showPercent val="0"/>
          <c:showBubbleSize val="0"/>
          <c:showLeaderLines val="0"/>
        </c:dLbls>
      </c:pie3DChart>
    </c:plotArea>
    <c:legend>
      <c:legendPos val="r"/>
      <c:overlay val="0"/>
      <c:txPr>
        <a:bodyPr numCol="2" anchor="t"/>
        <a:lstStyle/>
        <a:p>
          <a:pPr>
            <a:defRPr/>
          </a:pPr>
          <a:endParaRPr lang="pt-BR"/>
        </a:p>
      </c:txPr>
    </c:legend>
    <c:plotVisOnly val="1"/>
    <c:dispBlanksAs val="gap"/>
    <c:showDLblsOverMax val="1"/>
  </c:chart>
  <c:spPr>
    <a:ln>
      <a:solidFill>
        <a:srgbClr val="FFFFFF"/>
      </a:solidFill>
    </a:ln>
  </c:spPr>
  <c:txPr>
    <a:bodyPr rot="0" anchor="ctr" anchorCtr="1"/>
    <a:lstStyle/>
    <a:p>
      <a:pPr>
        <a:defRPr lang="pt-br" sz="900" b="0" i="0" u="none" strike="noStrike">
          <a:solidFill>
            <a:srgbClr val="000000"/>
          </a:solidFill>
          <a:latin typeface="Arial"/>
        </a:defRPr>
      </a:pPr>
      <a:endParaRPr lang="pt-BR"/>
    </a:p>
  </c:txPr>
  <c:extLst>
    <c:ext xmlns:sm="smo" uri="smo">
      <sm:colorScheme xmlns:sm="smo" id="1751328871" val="7"/>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YLr5gB/1rr87rzAe6sVADhRe6Q==">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3743</Words>
  <Characters>20214</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olinda rodrigues</cp:lastModifiedBy>
  <cp:revision>3</cp:revision>
  <dcterms:created xsi:type="dcterms:W3CDTF">2025-07-05T17:54:00Z</dcterms:created>
  <dcterms:modified xsi:type="dcterms:W3CDTF">2025-07-05T18:02:00Z</dcterms:modified>
</cp:coreProperties>
</file>