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9A583" w14:textId="77777777" w:rsidR="00B73BAC" w:rsidRDefault="00000000">
      <w:pPr>
        <w:spacing w:line="240" w:lineRule="auto"/>
        <w:jc w:val="center"/>
        <w:rPr>
          <w:sz w:val="24"/>
          <w:szCs w:val="24"/>
        </w:rPr>
      </w:pPr>
      <w:r>
        <w:rPr>
          <w:b/>
          <w:sz w:val="24"/>
          <w:szCs w:val="24"/>
        </w:rPr>
        <w:t xml:space="preserve">POLÍTICA “BORA DE GRAÇA”: </w:t>
      </w:r>
      <w:r>
        <w:rPr>
          <w:sz w:val="24"/>
          <w:szCs w:val="24"/>
        </w:rPr>
        <w:t>avaliação da tarifa zero no sistema de transporte público no município de Caucaia-ce.</w:t>
      </w:r>
    </w:p>
    <w:p w14:paraId="0EAF9028" w14:textId="77777777" w:rsidR="00131DA2" w:rsidRPr="00131DA2" w:rsidRDefault="00131DA2" w:rsidP="00131DA2">
      <w:pPr>
        <w:spacing w:line="240" w:lineRule="auto"/>
        <w:jc w:val="right"/>
        <w:rPr>
          <w:sz w:val="24"/>
          <w:szCs w:val="24"/>
          <w:lang w:val="pt-PT"/>
        </w:rPr>
      </w:pPr>
      <w:r w:rsidRPr="00131DA2">
        <w:rPr>
          <w:sz w:val="24"/>
          <w:szCs w:val="24"/>
          <w:lang w:val="pt-PT"/>
        </w:rPr>
        <w:t>Alexia Alves Romualdo</w:t>
      </w:r>
      <w:r w:rsidRPr="00131DA2">
        <w:rPr>
          <w:rStyle w:val="Refdenotaderodap"/>
          <w:sz w:val="24"/>
          <w:szCs w:val="24"/>
          <w:lang w:val="pt-PT"/>
        </w:rPr>
        <w:footnoteReference w:id="1"/>
      </w:r>
    </w:p>
    <w:p w14:paraId="003A05FB" w14:textId="77777777" w:rsidR="00131DA2" w:rsidRPr="00131DA2" w:rsidRDefault="00131DA2" w:rsidP="00131DA2">
      <w:pPr>
        <w:spacing w:line="240" w:lineRule="auto"/>
        <w:ind w:left="2835"/>
        <w:jc w:val="right"/>
        <w:rPr>
          <w:b/>
          <w:sz w:val="24"/>
          <w:szCs w:val="24"/>
        </w:rPr>
      </w:pPr>
      <w:proofErr w:type="spellStart"/>
      <w:r w:rsidRPr="00131DA2">
        <w:rPr>
          <w:sz w:val="24"/>
          <w:szCs w:val="24"/>
        </w:rPr>
        <w:t>Emanuell</w:t>
      </w:r>
      <w:proofErr w:type="spellEnd"/>
      <w:r w:rsidRPr="00131DA2">
        <w:rPr>
          <w:sz w:val="24"/>
          <w:szCs w:val="24"/>
        </w:rPr>
        <w:t xml:space="preserve"> Lucas Oliveira Cabral</w:t>
      </w:r>
      <w:r w:rsidRPr="00131DA2">
        <w:rPr>
          <w:rStyle w:val="Refdenotaderodap"/>
          <w:sz w:val="24"/>
          <w:szCs w:val="24"/>
          <w:lang w:val="pt-PT"/>
        </w:rPr>
        <w:footnoteReference w:id="2"/>
      </w:r>
    </w:p>
    <w:p w14:paraId="4D04318B" w14:textId="77777777" w:rsidR="00131DA2" w:rsidRPr="00131DA2" w:rsidRDefault="00131DA2" w:rsidP="00131DA2">
      <w:pPr>
        <w:spacing w:line="240" w:lineRule="auto"/>
        <w:jc w:val="right"/>
        <w:rPr>
          <w:sz w:val="24"/>
          <w:szCs w:val="24"/>
          <w:lang w:val="pt-PT"/>
        </w:rPr>
      </w:pPr>
      <w:r w:rsidRPr="00131DA2">
        <w:rPr>
          <w:sz w:val="24"/>
          <w:szCs w:val="24"/>
        </w:rPr>
        <w:t>Pablo Samuel Silva do Nascimento</w:t>
      </w:r>
      <w:r w:rsidRPr="00131DA2">
        <w:rPr>
          <w:rStyle w:val="Refdenotaderodap"/>
          <w:sz w:val="24"/>
          <w:szCs w:val="24"/>
          <w:lang w:val="pt-PT"/>
        </w:rPr>
        <w:t xml:space="preserve"> </w:t>
      </w:r>
      <w:r w:rsidRPr="00131DA2">
        <w:rPr>
          <w:rStyle w:val="Refdenotaderodap"/>
          <w:sz w:val="24"/>
          <w:szCs w:val="24"/>
          <w:lang w:val="pt-PT"/>
        </w:rPr>
        <w:footnoteReference w:id="3"/>
      </w:r>
    </w:p>
    <w:p w14:paraId="34ED86A7" w14:textId="77777777" w:rsidR="00131DA2" w:rsidRPr="00131DA2" w:rsidRDefault="00131DA2" w:rsidP="00131DA2">
      <w:pPr>
        <w:spacing w:line="240" w:lineRule="auto"/>
        <w:ind w:left="2835"/>
        <w:jc w:val="right"/>
        <w:rPr>
          <w:b/>
          <w:sz w:val="24"/>
          <w:szCs w:val="24"/>
        </w:rPr>
      </w:pPr>
      <w:proofErr w:type="spellStart"/>
      <w:r w:rsidRPr="00131DA2">
        <w:rPr>
          <w:sz w:val="24"/>
          <w:szCs w:val="24"/>
        </w:rPr>
        <w:t>Suzianne</w:t>
      </w:r>
      <w:proofErr w:type="spellEnd"/>
      <w:r w:rsidRPr="00131DA2">
        <w:rPr>
          <w:sz w:val="24"/>
          <w:szCs w:val="24"/>
        </w:rPr>
        <w:t xml:space="preserve"> Maria Mesquita Sousa</w:t>
      </w:r>
      <w:r w:rsidRPr="00131DA2">
        <w:rPr>
          <w:b/>
          <w:sz w:val="24"/>
          <w:szCs w:val="24"/>
        </w:rPr>
        <w:t xml:space="preserve"> </w:t>
      </w:r>
      <w:r w:rsidRPr="00131DA2">
        <w:rPr>
          <w:rStyle w:val="Refdenotaderodap"/>
          <w:sz w:val="24"/>
          <w:szCs w:val="24"/>
          <w:lang w:val="pt-PT"/>
        </w:rPr>
        <w:footnoteReference w:id="4"/>
      </w:r>
    </w:p>
    <w:p w14:paraId="7CB4A9D7" w14:textId="77777777" w:rsidR="00747EFC" w:rsidRDefault="00747EFC">
      <w:pPr>
        <w:spacing w:line="240" w:lineRule="auto"/>
        <w:ind w:left="2835"/>
        <w:jc w:val="both"/>
        <w:rPr>
          <w:lang w:val="pt-PT"/>
        </w:rPr>
      </w:pPr>
    </w:p>
    <w:p w14:paraId="6E43C6D2" w14:textId="5D4A0BD4" w:rsidR="00B73BAC" w:rsidRDefault="00000000">
      <w:pPr>
        <w:spacing w:line="240" w:lineRule="auto"/>
        <w:ind w:left="2835"/>
        <w:jc w:val="both"/>
        <w:rPr>
          <w:b/>
          <w:sz w:val="20"/>
          <w:szCs w:val="20"/>
        </w:rPr>
      </w:pPr>
      <w:r>
        <w:rPr>
          <w:b/>
          <w:sz w:val="20"/>
          <w:szCs w:val="20"/>
        </w:rPr>
        <w:t>Resumo</w:t>
      </w:r>
    </w:p>
    <w:p w14:paraId="392F4BAB" w14:textId="77777777" w:rsidR="00B73BAC" w:rsidRDefault="00000000">
      <w:pPr>
        <w:spacing w:line="240" w:lineRule="auto"/>
        <w:ind w:left="2835"/>
        <w:jc w:val="both"/>
        <w:rPr>
          <w:sz w:val="20"/>
          <w:szCs w:val="20"/>
        </w:rPr>
      </w:pPr>
      <w:r>
        <w:rPr>
          <w:sz w:val="20"/>
          <w:szCs w:val="20"/>
        </w:rPr>
        <w:t>A presente pesquisa tem como objetivo principal avaliar a política Bora de Graça, a tarifa zero no sistema de transporte público no município de Caucaia-CE. A Avaliação de Políticas Públicas com Base na Sustentabilidade (ABS) orientou o percurso avaliativo, que buscou compreender os resultados da pesquisa a partir das dimensões da sustentabilidade (social, econômica, ambiental e político-institucional). Essa é uma investigação qualitativa, que usou pesquisa bibliográfica e documental, além de entrevistas com as agentes competentes, e aplicação de questionário aos usuários da política pública. A triangulação dos dados levantados foi o método para alcançar a análise qualitativa. Foi feita uma revisão dos documentos bases para formulação e implementação da política e revisão bibliográfica de artigos científicos com o mesmo objeto. Concluiu-se que a política tem impacto positivo em importantes eixos da vida dos usuários e do crescimento econômico do município, contudo enfrenta desafios institucionais para manutenção e ampliação do programa.</w:t>
      </w:r>
    </w:p>
    <w:p w14:paraId="6676AFD1" w14:textId="2F943FBD" w:rsidR="00B73BAC" w:rsidRDefault="00000000">
      <w:pPr>
        <w:spacing w:line="240" w:lineRule="auto"/>
        <w:ind w:left="2835"/>
        <w:jc w:val="both"/>
      </w:pPr>
      <w:r>
        <w:rPr>
          <w:b/>
          <w:sz w:val="20"/>
          <w:szCs w:val="20"/>
        </w:rPr>
        <w:t>Palavras-chave</w:t>
      </w:r>
      <w:r>
        <w:rPr>
          <w:sz w:val="20"/>
          <w:szCs w:val="20"/>
        </w:rPr>
        <w:t>: Avaliação de políticas públicas; política pública; tarifa zero.</w:t>
      </w:r>
    </w:p>
    <w:p w14:paraId="7243D6D0" w14:textId="77777777" w:rsidR="00B73BAC" w:rsidRDefault="00B73BAC">
      <w:pPr>
        <w:spacing w:line="240" w:lineRule="auto"/>
        <w:ind w:left="2835"/>
        <w:jc w:val="both"/>
        <w:rPr>
          <w:sz w:val="20"/>
          <w:szCs w:val="20"/>
        </w:rPr>
      </w:pPr>
    </w:p>
    <w:p w14:paraId="2F94ED5D" w14:textId="77777777" w:rsidR="00B73BAC" w:rsidRDefault="00000000">
      <w:pPr>
        <w:spacing w:line="240" w:lineRule="auto"/>
        <w:ind w:left="2835"/>
        <w:jc w:val="both"/>
        <w:rPr>
          <w:b/>
          <w:sz w:val="20"/>
          <w:szCs w:val="20"/>
        </w:rPr>
      </w:pPr>
      <w:r>
        <w:rPr>
          <w:b/>
          <w:sz w:val="20"/>
          <w:szCs w:val="20"/>
        </w:rPr>
        <w:t>Abstract</w:t>
      </w:r>
    </w:p>
    <w:p w14:paraId="7F62CFBD" w14:textId="05F9160D" w:rsidR="00B73BAC" w:rsidRPr="00AE1FA5" w:rsidRDefault="00000000" w:rsidP="00877753">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evaluate</w:t>
      </w:r>
      <w:proofErr w:type="spellEnd"/>
      <w:r>
        <w:rPr>
          <w:sz w:val="20"/>
          <w:szCs w:val="20"/>
        </w:rPr>
        <w:t xml:space="preserve"> </w:t>
      </w:r>
      <w:proofErr w:type="spellStart"/>
      <w:r>
        <w:rPr>
          <w:sz w:val="20"/>
          <w:szCs w:val="20"/>
        </w:rPr>
        <w:t>the</w:t>
      </w:r>
      <w:proofErr w:type="spellEnd"/>
      <w:r>
        <w:rPr>
          <w:sz w:val="20"/>
          <w:szCs w:val="20"/>
        </w:rPr>
        <w:t xml:space="preserve"> Bora de Graça </w:t>
      </w:r>
      <w:proofErr w:type="spellStart"/>
      <w:r>
        <w:rPr>
          <w:sz w:val="20"/>
          <w:szCs w:val="20"/>
        </w:rPr>
        <w:t>policy</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offers</w:t>
      </w:r>
      <w:proofErr w:type="spellEnd"/>
      <w:r>
        <w:rPr>
          <w:sz w:val="20"/>
          <w:szCs w:val="20"/>
        </w:rPr>
        <w:t xml:space="preserve"> zero-fare </w:t>
      </w:r>
      <w:proofErr w:type="spellStart"/>
      <w:r>
        <w:rPr>
          <w:sz w:val="20"/>
          <w:szCs w:val="20"/>
        </w:rPr>
        <w:t>public</w:t>
      </w:r>
      <w:proofErr w:type="spellEnd"/>
      <w:r>
        <w:rPr>
          <w:sz w:val="20"/>
          <w:szCs w:val="20"/>
        </w:rPr>
        <w:t xml:space="preserve"> </w:t>
      </w:r>
      <w:proofErr w:type="spellStart"/>
      <w:r>
        <w:rPr>
          <w:sz w:val="20"/>
          <w:szCs w:val="20"/>
        </w:rPr>
        <w:t>transportation</w:t>
      </w:r>
      <w:proofErr w:type="spellEnd"/>
      <w:r>
        <w:rPr>
          <w:sz w:val="20"/>
          <w:szCs w:val="20"/>
        </w:rPr>
        <w:t xml:space="preserve"> in Caucaia-CE. The </w:t>
      </w:r>
      <w:proofErr w:type="spellStart"/>
      <w:r>
        <w:rPr>
          <w:sz w:val="20"/>
          <w:szCs w:val="20"/>
        </w:rPr>
        <w:t>study</w:t>
      </w:r>
      <w:proofErr w:type="spellEnd"/>
      <w:r>
        <w:rPr>
          <w:sz w:val="20"/>
          <w:szCs w:val="20"/>
        </w:rPr>
        <w:t xml:space="preserve"> </w:t>
      </w:r>
      <w:proofErr w:type="spellStart"/>
      <w:r>
        <w:rPr>
          <w:sz w:val="20"/>
          <w:szCs w:val="20"/>
        </w:rPr>
        <w:t>followed</w:t>
      </w:r>
      <w:proofErr w:type="spellEnd"/>
      <w:r>
        <w:rPr>
          <w:sz w:val="20"/>
          <w:szCs w:val="20"/>
        </w:rPr>
        <w:t xml:space="preserve"> </w:t>
      </w:r>
      <w:proofErr w:type="spellStart"/>
      <w:r>
        <w:rPr>
          <w:sz w:val="20"/>
          <w:szCs w:val="20"/>
        </w:rPr>
        <w:t>the</w:t>
      </w:r>
      <w:proofErr w:type="spellEnd"/>
      <w:r>
        <w:rPr>
          <w:sz w:val="20"/>
          <w:szCs w:val="20"/>
        </w:rPr>
        <w:t xml:space="preserve"> Sustainability-</w:t>
      </w:r>
      <w:proofErr w:type="spellStart"/>
      <w:r>
        <w:rPr>
          <w:sz w:val="20"/>
          <w:szCs w:val="20"/>
        </w:rPr>
        <w:t>Based</w:t>
      </w:r>
      <w:proofErr w:type="spellEnd"/>
      <w:r>
        <w:rPr>
          <w:sz w:val="20"/>
          <w:szCs w:val="20"/>
        </w:rPr>
        <w:t xml:space="preserve"> </w:t>
      </w:r>
      <w:proofErr w:type="spellStart"/>
      <w:r>
        <w:rPr>
          <w:sz w:val="20"/>
          <w:szCs w:val="20"/>
        </w:rPr>
        <w:t>Public</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Evaluation</w:t>
      </w:r>
      <w:proofErr w:type="spellEnd"/>
      <w:r>
        <w:rPr>
          <w:sz w:val="20"/>
          <w:szCs w:val="20"/>
        </w:rPr>
        <w:t xml:space="preserve"> (SBPPE) approach, </w:t>
      </w:r>
      <w:proofErr w:type="spellStart"/>
      <w:r>
        <w:rPr>
          <w:sz w:val="20"/>
          <w:szCs w:val="20"/>
        </w:rPr>
        <w:t>analyzing</w:t>
      </w:r>
      <w:proofErr w:type="spellEnd"/>
      <w:r>
        <w:rPr>
          <w:sz w:val="20"/>
          <w:szCs w:val="20"/>
        </w:rPr>
        <w:t xml:space="preserve"> </w:t>
      </w:r>
      <w:proofErr w:type="spellStart"/>
      <w:r>
        <w:rPr>
          <w:sz w:val="20"/>
          <w:szCs w:val="20"/>
        </w:rPr>
        <w:t>outcomes</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economic</w:t>
      </w:r>
      <w:proofErr w:type="spellEnd"/>
      <w:r>
        <w:rPr>
          <w:sz w:val="20"/>
          <w:szCs w:val="20"/>
        </w:rPr>
        <w:t xml:space="preserve">, </w:t>
      </w:r>
      <w:proofErr w:type="spellStart"/>
      <w:r>
        <w:rPr>
          <w:sz w:val="20"/>
          <w:szCs w:val="20"/>
        </w:rPr>
        <w:t>environmental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political-institutional</w:t>
      </w:r>
      <w:proofErr w:type="spellEnd"/>
      <w:r>
        <w:rPr>
          <w:sz w:val="20"/>
          <w:szCs w:val="20"/>
        </w:rPr>
        <w:t xml:space="preserve"> </w:t>
      </w:r>
      <w:proofErr w:type="spellStart"/>
      <w:r>
        <w:rPr>
          <w:sz w:val="20"/>
          <w:szCs w:val="20"/>
        </w:rPr>
        <w:t>dimensions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sustainability</w:t>
      </w:r>
      <w:proofErr w:type="spellEnd"/>
      <w:r>
        <w:rPr>
          <w:sz w:val="20"/>
          <w:szCs w:val="20"/>
        </w:rPr>
        <w:t xml:space="preserve">. It </w:t>
      </w:r>
      <w:proofErr w:type="spellStart"/>
      <w:r>
        <w:rPr>
          <w:sz w:val="20"/>
          <w:szCs w:val="20"/>
        </w:rPr>
        <w:t>is</w:t>
      </w:r>
      <w:proofErr w:type="spellEnd"/>
      <w:r>
        <w:rPr>
          <w:sz w:val="20"/>
          <w:szCs w:val="20"/>
        </w:rPr>
        <w:t xml:space="preserve"> a </w:t>
      </w:r>
      <w:proofErr w:type="spellStart"/>
      <w:r>
        <w:rPr>
          <w:sz w:val="20"/>
          <w:szCs w:val="20"/>
        </w:rPr>
        <w:t>qualitative</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using</w:t>
      </w:r>
      <w:proofErr w:type="spellEnd"/>
      <w:r>
        <w:rPr>
          <w:sz w:val="20"/>
          <w:szCs w:val="20"/>
        </w:rPr>
        <w:t xml:space="preserve"> </w:t>
      </w:r>
      <w:proofErr w:type="spellStart"/>
      <w:r>
        <w:rPr>
          <w:sz w:val="20"/>
          <w:szCs w:val="20"/>
        </w:rPr>
        <w:t>bibliographic</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documentary</w:t>
      </w:r>
      <w:proofErr w:type="spellEnd"/>
      <w:r>
        <w:rPr>
          <w:sz w:val="20"/>
          <w:szCs w:val="20"/>
        </w:rPr>
        <w:t xml:space="preserve"> </w:t>
      </w:r>
      <w:proofErr w:type="spellStart"/>
      <w:r>
        <w:rPr>
          <w:sz w:val="20"/>
          <w:szCs w:val="20"/>
        </w:rPr>
        <w:t>research</w:t>
      </w:r>
      <w:proofErr w:type="spellEnd"/>
      <w:r>
        <w:rPr>
          <w:sz w:val="20"/>
          <w:szCs w:val="20"/>
        </w:rPr>
        <w:t xml:space="preserve">, interviews </w:t>
      </w:r>
      <w:proofErr w:type="spellStart"/>
      <w:r>
        <w:rPr>
          <w:sz w:val="20"/>
          <w:szCs w:val="20"/>
        </w:rPr>
        <w:t>with</w:t>
      </w:r>
      <w:proofErr w:type="spellEnd"/>
      <w:r>
        <w:rPr>
          <w:sz w:val="20"/>
          <w:szCs w:val="20"/>
        </w:rPr>
        <w:t xml:space="preserve"> </w:t>
      </w:r>
      <w:proofErr w:type="spellStart"/>
      <w:r>
        <w:rPr>
          <w:sz w:val="20"/>
          <w:szCs w:val="20"/>
        </w:rPr>
        <w:t>key</w:t>
      </w:r>
      <w:proofErr w:type="spellEnd"/>
      <w:r>
        <w:rPr>
          <w:sz w:val="20"/>
          <w:szCs w:val="20"/>
        </w:rPr>
        <w:t xml:space="preserve"> stakeholders, </w:t>
      </w:r>
      <w:proofErr w:type="spellStart"/>
      <w:r>
        <w:rPr>
          <w:sz w:val="20"/>
          <w:szCs w:val="20"/>
        </w:rPr>
        <w:t>and</w:t>
      </w:r>
      <w:proofErr w:type="spellEnd"/>
      <w:r>
        <w:rPr>
          <w:sz w:val="20"/>
          <w:szCs w:val="20"/>
        </w:rPr>
        <w:t xml:space="preserve"> </w:t>
      </w:r>
      <w:proofErr w:type="spellStart"/>
      <w:r>
        <w:rPr>
          <w:sz w:val="20"/>
          <w:szCs w:val="20"/>
        </w:rPr>
        <w:t>questionnaires</w:t>
      </w:r>
      <w:proofErr w:type="spellEnd"/>
      <w:r>
        <w:rPr>
          <w:sz w:val="20"/>
          <w:szCs w:val="20"/>
        </w:rPr>
        <w:t xml:space="preserve"> </w:t>
      </w:r>
      <w:proofErr w:type="spellStart"/>
      <w:r>
        <w:rPr>
          <w:sz w:val="20"/>
          <w:szCs w:val="20"/>
        </w:rPr>
        <w:t>applied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users</w:t>
      </w:r>
      <w:proofErr w:type="spellEnd"/>
      <w:r>
        <w:rPr>
          <w:sz w:val="20"/>
          <w:szCs w:val="20"/>
        </w:rPr>
        <w:t xml:space="preserve">. Data </w:t>
      </w:r>
      <w:proofErr w:type="spellStart"/>
      <w:r>
        <w:rPr>
          <w:sz w:val="20"/>
          <w:szCs w:val="20"/>
        </w:rPr>
        <w:t>triangulation</w:t>
      </w:r>
      <w:proofErr w:type="spellEnd"/>
      <w:r>
        <w:rPr>
          <w:sz w:val="20"/>
          <w:szCs w:val="20"/>
        </w:rPr>
        <w:t xml:space="preserve"> </w:t>
      </w:r>
      <w:proofErr w:type="spellStart"/>
      <w:r>
        <w:rPr>
          <w:sz w:val="20"/>
          <w:szCs w:val="20"/>
        </w:rPr>
        <w:t>was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chosen</w:t>
      </w:r>
      <w:proofErr w:type="spellEnd"/>
      <w:r>
        <w:rPr>
          <w:sz w:val="20"/>
          <w:szCs w:val="20"/>
        </w:rPr>
        <w:t xml:space="preserve"> </w:t>
      </w:r>
      <w:proofErr w:type="spellStart"/>
      <w:r>
        <w:rPr>
          <w:sz w:val="20"/>
          <w:szCs w:val="20"/>
        </w:rPr>
        <w:t>method</w:t>
      </w:r>
      <w:proofErr w:type="spellEnd"/>
      <w:r>
        <w:rPr>
          <w:sz w:val="20"/>
          <w:szCs w:val="20"/>
        </w:rPr>
        <w:t xml:space="preserve"> for </w:t>
      </w:r>
      <w:proofErr w:type="spellStart"/>
      <w:r>
        <w:rPr>
          <w:sz w:val="20"/>
          <w:szCs w:val="20"/>
        </w:rPr>
        <w:t>qualitative</w:t>
      </w:r>
      <w:proofErr w:type="spellEnd"/>
      <w:r>
        <w:rPr>
          <w:sz w:val="20"/>
          <w:szCs w:val="20"/>
        </w:rPr>
        <w:t xml:space="preserve"> </w:t>
      </w:r>
      <w:proofErr w:type="spellStart"/>
      <w:r>
        <w:rPr>
          <w:sz w:val="20"/>
          <w:szCs w:val="20"/>
        </w:rPr>
        <w:t>analysis</w:t>
      </w:r>
      <w:proofErr w:type="spellEnd"/>
      <w:r>
        <w:rPr>
          <w:sz w:val="20"/>
          <w:szCs w:val="20"/>
        </w:rPr>
        <w:t xml:space="preserve">. The </w:t>
      </w:r>
      <w:proofErr w:type="spellStart"/>
      <w:r>
        <w:rPr>
          <w:sz w:val="20"/>
          <w:szCs w:val="20"/>
        </w:rPr>
        <w:t>research</w:t>
      </w:r>
      <w:proofErr w:type="spellEnd"/>
      <w:r>
        <w:rPr>
          <w:sz w:val="20"/>
          <w:szCs w:val="20"/>
        </w:rPr>
        <w:t xml:space="preserve"> </w:t>
      </w:r>
      <w:proofErr w:type="spellStart"/>
      <w:r>
        <w:rPr>
          <w:sz w:val="20"/>
          <w:szCs w:val="20"/>
        </w:rPr>
        <w:t>included</w:t>
      </w:r>
      <w:proofErr w:type="spellEnd"/>
      <w:r>
        <w:rPr>
          <w:sz w:val="20"/>
          <w:szCs w:val="20"/>
        </w:rPr>
        <w:t xml:space="preserve"> a review </w:t>
      </w:r>
      <w:proofErr w:type="spellStart"/>
      <w:r>
        <w:rPr>
          <w:sz w:val="20"/>
          <w:szCs w:val="20"/>
        </w:rPr>
        <w:t>of</w:t>
      </w:r>
      <w:proofErr w:type="spellEnd"/>
      <w:r>
        <w:rPr>
          <w:sz w:val="20"/>
          <w:szCs w:val="20"/>
        </w:rPr>
        <w:t xml:space="preserve"> </w:t>
      </w:r>
      <w:proofErr w:type="spellStart"/>
      <w:r>
        <w:rPr>
          <w:sz w:val="20"/>
          <w:szCs w:val="20"/>
        </w:rPr>
        <w:t>foundational</w:t>
      </w:r>
      <w:proofErr w:type="spellEnd"/>
      <w:r>
        <w:rPr>
          <w:sz w:val="20"/>
          <w:szCs w:val="20"/>
        </w:rPr>
        <w:t xml:space="preserve"> </w:t>
      </w:r>
      <w:proofErr w:type="spellStart"/>
      <w:r>
        <w:rPr>
          <w:sz w:val="20"/>
          <w:szCs w:val="20"/>
        </w:rPr>
        <w:t>documents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policy’s</w:t>
      </w:r>
      <w:proofErr w:type="spellEnd"/>
      <w:r>
        <w:rPr>
          <w:sz w:val="20"/>
          <w:szCs w:val="20"/>
        </w:rPr>
        <w:t xml:space="preserve"> </w:t>
      </w:r>
      <w:proofErr w:type="spellStart"/>
      <w:r>
        <w:rPr>
          <w:sz w:val="20"/>
          <w:szCs w:val="20"/>
        </w:rPr>
        <w:t>formulation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implementation</w:t>
      </w:r>
      <w:proofErr w:type="spellEnd"/>
      <w:r>
        <w:rPr>
          <w:sz w:val="20"/>
          <w:szCs w:val="20"/>
        </w:rPr>
        <w:t xml:space="preserve">, as </w:t>
      </w:r>
      <w:proofErr w:type="spellStart"/>
      <w:r>
        <w:rPr>
          <w:sz w:val="20"/>
          <w:szCs w:val="20"/>
        </w:rPr>
        <w:t>well</w:t>
      </w:r>
      <w:proofErr w:type="spellEnd"/>
      <w:r>
        <w:rPr>
          <w:sz w:val="20"/>
          <w:szCs w:val="20"/>
        </w:rPr>
        <w:t xml:space="preserve"> as </w:t>
      </w:r>
      <w:proofErr w:type="spellStart"/>
      <w:r>
        <w:rPr>
          <w:sz w:val="20"/>
          <w:szCs w:val="20"/>
        </w:rPr>
        <w:t>scientific</w:t>
      </w:r>
      <w:proofErr w:type="spellEnd"/>
      <w:r>
        <w:rPr>
          <w:sz w:val="20"/>
          <w:szCs w:val="20"/>
        </w:rPr>
        <w:t xml:space="preserve"> </w:t>
      </w:r>
      <w:proofErr w:type="spellStart"/>
      <w:r>
        <w:rPr>
          <w:sz w:val="20"/>
          <w:szCs w:val="20"/>
        </w:rPr>
        <w:t>literature</w:t>
      </w:r>
      <w:proofErr w:type="spellEnd"/>
      <w:r>
        <w:rPr>
          <w:sz w:val="20"/>
          <w:szCs w:val="20"/>
        </w:rPr>
        <w:t xml:space="preserve"> </w:t>
      </w:r>
      <w:proofErr w:type="spellStart"/>
      <w:r>
        <w:rPr>
          <w:sz w:val="20"/>
          <w:szCs w:val="20"/>
        </w:rPr>
        <w:t>on</w:t>
      </w:r>
      <w:proofErr w:type="spellEnd"/>
      <w:r>
        <w:rPr>
          <w:sz w:val="20"/>
          <w:szCs w:val="20"/>
        </w:rPr>
        <w:t xml:space="preserve"> similar </w:t>
      </w:r>
      <w:proofErr w:type="spellStart"/>
      <w:r>
        <w:rPr>
          <w:sz w:val="20"/>
          <w:szCs w:val="20"/>
        </w:rPr>
        <w:t>initiatives</w:t>
      </w:r>
      <w:proofErr w:type="spellEnd"/>
      <w:r>
        <w:rPr>
          <w:sz w:val="20"/>
          <w:szCs w:val="20"/>
        </w:rPr>
        <w:t xml:space="preserve">. </w:t>
      </w:r>
      <w:proofErr w:type="spellStart"/>
      <w:r>
        <w:rPr>
          <w:sz w:val="20"/>
          <w:szCs w:val="20"/>
        </w:rPr>
        <w:t>Findings</w:t>
      </w:r>
      <w:proofErr w:type="spellEnd"/>
      <w:r>
        <w:rPr>
          <w:sz w:val="20"/>
          <w:szCs w:val="20"/>
        </w:rPr>
        <w:t xml:space="preserve"> </w:t>
      </w:r>
      <w:proofErr w:type="spellStart"/>
      <w:r>
        <w:rPr>
          <w:sz w:val="20"/>
          <w:szCs w:val="20"/>
        </w:rPr>
        <w:t>indicate</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generates</w:t>
      </w:r>
      <w:proofErr w:type="spellEnd"/>
      <w:r>
        <w:rPr>
          <w:sz w:val="20"/>
          <w:szCs w:val="20"/>
        </w:rPr>
        <w:t xml:space="preserve"> positive </w:t>
      </w:r>
      <w:proofErr w:type="spellStart"/>
      <w:r>
        <w:rPr>
          <w:sz w:val="20"/>
          <w:szCs w:val="20"/>
        </w:rPr>
        <w:t>impacts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users</w:t>
      </w:r>
      <w:proofErr w:type="spellEnd"/>
      <w:r>
        <w:rPr>
          <w:sz w:val="20"/>
          <w:szCs w:val="20"/>
        </w:rPr>
        <w:t xml:space="preserve">’ </w:t>
      </w:r>
      <w:proofErr w:type="spellStart"/>
      <w:r>
        <w:rPr>
          <w:sz w:val="20"/>
          <w:szCs w:val="20"/>
        </w:rPr>
        <w:t>daily</w:t>
      </w:r>
      <w:proofErr w:type="spellEnd"/>
      <w:r>
        <w:rPr>
          <w:sz w:val="20"/>
          <w:szCs w:val="20"/>
        </w:rPr>
        <w:t xml:space="preserve"> lives </w:t>
      </w:r>
      <w:proofErr w:type="spellStart"/>
      <w:r>
        <w:rPr>
          <w:sz w:val="20"/>
          <w:szCs w:val="20"/>
        </w:rPr>
        <w:t>and</w:t>
      </w:r>
      <w:proofErr w:type="spellEnd"/>
      <w:r>
        <w:rPr>
          <w:sz w:val="20"/>
          <w:szCs w:val="20"/>
        </w:rPr>
        <w:t xml:space="preserve"> </w:t>
      </w:r>
      <w:proofErr w:type="spellStart"/>
      <w:r>
        <w:rPr>
          <w:sz w:val="20"/>
          <w:szCs w:val="20"/>
        </w:rPr>
        <w:t>contributes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municipality’s</w:t>
      </w:r>
      <w:proofErr w:type="spellEnd"/>
      <w:r>
        <w:rPr>
          <w:sz w:val="20"/>
          <w:szCs w:val="20"/>
        </w:rPr>
        <w:t xml:space="preserve"> </w:t>
      </w:r>
      <w:proofErr w:type="spellStart"/>
      <w:r>
        <w:rPr>
          <w:sz w:val="20"/>
          <w:szCs w:val="20"/>
        </w:rPr>
        <w:t>economic</w:t>
      </w:r>
      <w:proofErr w:type="spellEnd"/>
      <w:r>
        <w:rPr>
          <w:sz w:val="20"/>
          <w:szCs w:val="20"/>
        </w:rPr>
        <w:t xml:space="preserve"> </w:t>
      </w:r>
      <w:proofErr w:type="spellStart"/>
      <w:r w:rsidRPr="00AE1FA5">
        <w:rPr>
          <w:sz w:val="20"/>
          <w:szCs w:val="20"/>
        </w:rPr>
        <w:t>development</w:t>
      </w:r>
      <w:proofErr w:type="spellEnd"/>
      <w:r w:rsidRPr="00AE1FA5">
        <w:rPr>
          <w:sz w:val="20"/>
          <w:szCs w:val="20"/>
        </w:rPr>
        <w:t xml:space="preserve">. </w:t>
      </w:r>
    </w:p>
    <w:p w14:paraId="50404910" w14:textId="02C63164" w:rsidR="00B73BAC" w:rsidRPr="00747EFC" w:rsidRDefault="00000000" w:rsidP="00747EFC">
      <w:pPr>
        <w:spacing w:line="240" w:lineRule="auto"/>
        <w:ind w:left="2835"/>
        <w:jc w:val="both"/>
      </w:pPr>
      <w:r w:rsidRPr="00AE1FA5">
        <w:rPr>
          <w:b/>
          <w:sz w:val="20"/>
          <w:szCs w:val="20"/>
        </w:rPr>
        <w:t>Keywords</w:t>
      </w:r>
      <w:r w:rsidRPr="00AE1FA5">
        <w:rPr>
          <w:sz w:val="20"/>
          <w:szCs w:val="20"/>
        </w:rPr>
        <w:t xml:space="preserve">: </w:t>
      </w:r>
      <w:proofErr w:type="spellStart"/>
      <w:r w:rsidRPr="00AE1FA5">
        <w:rPr>
          <w:sz w:val="20"/>
          <w:szCs w:val="20"/>
        </w:rPr>
        <w:t>Evaluation</w:t>
      </w:r>
      <w:proofErr w:type="spellEnd"/>
      <w:r w:rsidRPr="00AE1FA5">
        <w:rPr>
          <w:sz w:val="20"/>
          <w:szCs w:val="20"/>
        </w:rPr>
        <w:t xml:space="preserve"> </w:t>
      </w:r>
      <w:proofErr w:type="spellStart"/>
      <w:r w:rsidRPr="00AE1FA5">
        <w:rPr>
          <w:sz w:val="20"/>
          <w:szCs w:val="20"/>
        </w:rPr>
        <w:t>of</w:t>
      </w:r>
      <w:proofErr w:type="spellEnd"/>
      <w:r w:rsidRPr="00AE1FA5">
        <w:rPr>
          <w:sz w:val="20"/>
          <w:szCs w:val="20"/>
        </w:rPr>
        <w:t xml:space="preserve"> </w:t>
      </w:r>
      <w:proofErr w:type="spellStart"/>
      <w:r w:rsidRPr="00AE1FA5">
        <w:rPr>
          <w:sz w:val="20"/>
          <w:szCs w:val="20"/>
        </w:rPr>
        <w:t>public</w:t>
      </w:r>
      <w:proofErr w:type="spellEnd"/>
      <w:r w:rsidRPr="00AE1FA5">
        <w:rPr>
          <w:sz w:val="20"/>
          <w:szCs w:val="20"/>
        </w:rPr>
        <w:t xml:space="preserve"> policies; </w:t>
      </w:r>
      <w:proofErr w:type="spellStart"/>
      <w:r w:rsidRPr="00AE1FA5">
        <w:rPr>
          <w:sz w:val="20"/>
          <w:szCs w:val="20"/>
        </w:rPr>
        <w:t>public</w:t>
      </w:r>
      <w:proofErr w:type="spellEnd"/>
      <w:r w:rsidRPr="00AE1FA5">
        <w:rPr>
          <w:sz w:val="20"/>
          <w:szCs w:val="20"/>
        </w:rPr>
        <w:t xml:space="preserve"> </w:t>
      </w:r>
      <w:proofErr w:type="spellStart"/>
      <w:r w:rsidRPr="00AE1FA5">
        <w:rPr>
          <w:sz w:val="20"/>
          <w:szCs w:val="20"/>
        </w:rPr>
        <w:t>policy</w:t>
      </w:r>
      <w:proofErr w:type="spellEnd"/>
      <w:r w:rsidRPr="00AE1FA5">
        <w:rPr>
          <w:sz w:val="20"/>
          <w:szCs w:val="20"/>
        </w:rPr>
        <w:t xml:space="preserve">; zero </w:t>
      </w:r>
      <w:proofErr w:type="spellStart"/>
      <w:r w:rsidRPr="00AE1FA5">
        <w:rPr>
          <w:sz w:val="20"/>
          <w:szCs w:val="20"/>
        </w:rPr>
        <w:t>tariff</w:t>
      </w:r>
      <w:proofErr w:type="spellEnd"/>
      <w:r w:rsidRPr="00AE1FA5">
        <w:rPr>
          <w:sz w:val="20"/>
          <w:szCs w:val="20"/>
        </w:rPr>
        <w:t>.</w:t>
      </w:r>
      <w:r w:rsidR="00747EFC">
        <w:br w:type="page"/>
      </w:r>
    </w:p>
    <w:p w14:paraId="5504071C" w14:textId="23FAE97F" w:rsidR="00B73BAC" w:rsidRDefault="00000000" w:rsidP="00C04728">
      <w:pPr>
        <w:spacing w:after="240" w:line="360" w:lineRule="auto"/>
        <w:rPr>
          <w:b/>
          <w:sz w:val="24"/>
          <w:szCs w:val="24"/>
        </w:rPr>
      </w:pPr>
      <w:r>
        <w:rPr>
          <w:b/>
          <w:sz w:val="24"/>
          <w:szCs w:val="24"/>
        </w:rPr>
        <w:lastRenderedPageBreak/>
        <w:t xml:space="preserve">1 </w:t>
      </w:r>
      <w:r w:rsidR="00D9765B">
        <w:rPr>
          <w:b/>
          <w:sz w:val="24"/>
          <w:szCs w:val="24"/>
        </w:rPr>
        <w:tab/>
      </w:r>
      <w:r>
        <w:rPr>
          <w:b/>
          <w:sz w:val="24"/>
          <w:szCs w:val="24"/>
        </w:rPr>
        <w:t>INTRODUÇÃO</w:t>
      </w:r>
    </w:p>
    <w:p w14:paraId="1691B1B0" w14:textId="2D56A8AA" w:rsidR="00B73BAC" w:rsidRDefault="00D64C1C">
      <w:pPr>
        <w:spacing w:line="360" w:lineRule="auto"/>
        <w:ind w:firstLine="708"/>
        <w:jc w:val="both"/>
        <w:rPr>
          <w:sz w:val="24"/>
          <w:szCs w:val="24"/>
        </w:rPr>
      </w:pPr>
      <w:r>
        <w:rPr>
          <w:sz w:val="24"/>
          <w:szCs w:val="24"/>
        </w:rPr>
        <w:t>Este</w:t>
      </w:r>
      <w:r w:rsidR="00000000">
        <w:rPr>
          <w:sz w:val="24"/>
          <w:szCs w:val="24"/>
        </w:rPr>
        <w:t xml:space="preserve"> estudo aborda a temática da mobilidade urbana como uma poderosa ferramenta para reduzir desigualdades sociais, pois permite que pessoas de baixa renda tenham acesso facilitado a outras políticas, como educação, saúde, emprego e cultura (Santini, 2019). Nesse </w:t>
      </w:r>
      <w:r>
        <w:rPr>
          <w:sz w:val="24"/>
          <w:szCs w:val="24"/>
        </w:rPr>
        <w:t>contexto</w:t>
      </w:r>
      <w:r w:rsidR="00000000">
        <w:rPr>
          <w:sz w:val="24"/>
          <w:szCs w:val="24"/>
        </w:rPr>
        <w:t>, as políticas de tarifa zero são um caminho de contribuição a um novo modo de se pensar a mobilidade no espaço urbano, demanda que tem se tornado cada vez mais emergente (Barcellos, 2006; Santini, 2019).</w:t>
      </w:r>
    </w:p>
    <w:p w14:paraId="6E5A71B8" w14:textId="0D287A73" w:rsidR="00B73BAC" w:rsidRDefault="00000000">
      <w:pPr>
        <w:spacing w:line="360" w:lineRule="auto"/>
        <w:ind w:firstLine="708"/>
        <w:jc w:val="both"/>
        <w:rPr>
          <w:sz w:val="24"/>
          <w:szCs w:val="24"/>
        </w:rPr>
      </w:pPr>
      <w:r>
        <w:rPr>
          <w:sz w:val="24"/>
          <w:szCs w:val="24"/>
        </w:rPr>
        <w:t>Dessa forma, adotou-se a Avaliação de Políticas Públicas com Base na Sustentabilidade (ABS) para avaliar o programa “Bora de Graça”</w:t>
      </w:r>
      <w:r w:rsidR="00D64C1C">
        <w:rPr>
          <w:sz w:val="24"/>
          <w:szCs w:val="24"/>
        </w:rPr>
        <w:t xml:space="preserve"> </w:t>
      </w:r>
      <w:r>
        <w:rPr>
          <w:sz w:val="24"/>
          <w:szCs w:val="24"/>
        </w:rPr>
        <w:t>do município de Caucaia, do estado do Ceará</w:t>
      </w:r>
      <w:r w:rsidR="00D64C1C">
        <w:rPr>
          <w:sz w:val="24"/>
          <w:szCs w:val="24"/>
        </w:rPr>
        <w:t xml:space="preserve">, considerando </w:t>
      </w:r>
      <w:r>
        <w:rPr>
          <w:sz w:val="24"/>
          <w:szCs w:val="24"/>
        </w:rPr>
        <w:t xml:space="preserve">a interdisciplinaridade das categorias trabalhadas que podem vir a ser abrangidas por esse percurso avaliativo proposto por </w:t>
      </w:r>
      <w:proofErr w:type="spellStart"/>
      <w:r>
        <w:rPr>
          <w:sz w:val="24"/>
          <w:szCs w:val="24"/>
        </w:rPr>
        <w:t>Chacon</w:t>
      </w:r>
      <w:proofErr w:type="spellEnd"/>
      <w:r>
        <w:rPr>
          <w:sz w:val="24"/>
          <w:szCs w:val="24"/>
        </w:rPr>
        <w:t xml:space="preserve"> (2007) e revisto por </w:t>
      </w:r>
      <w:proofErr w:type="spellStart"/>
      <w:r>
        <w:rPr>
          <w:sz w:val="24"/>
          <w:szCs w:val="24"/>
        </w:rPr>
        <w:t>Chacon</w:t>
      </w:r>
      <w:proofErr w:type="spellEnd"/>
      <w:r>
        <w:rPr>
          <w:sz w:val="24"/>
          <w:szCs w:val="24"/>
        </w:rPr>
        <w:t xml:space="preserve"> e Nascimento (2020).</w:t>
      </w:r>
    </w:p>
    <w:p w14:paraId="1EC9964F" w14:textId="21104144" w:rsidR="00B73BAC" w:rsidRDefault="00000000">
      <w:pPr>
        <w:spacing w:line="360" w:lineRule="auto"/>
        <w:ind w:firstLine="708"/>
        <w:jc w:val="both"/>
        <w:rPr>
          <w:sz w:val="24"/>
          <w:szCs w:val="24"/>
        </w:rPr>
      </w:pPr>
      <w:r>
        <w:rPr>
          <w:sz w:val="24"/>
          <w:szCs w:val="24"/>
        </w:rPr>
        <w:t xml:space="preserve">O estudo justifica-se pela </w:t>
      </w:r>
      <w:r w:rsidR="00D64C1C">
        <w:rPr>
          <w:sz w:val="24"/>
          <w:szCs w:val="24"/>
        </w:rPr>
        <w:t>necessidade</w:t>
      </w:r>
      <w:r>
        <w:rPr>
          <w:sz w:val="24"/>
          <w:szCs w:val="24"/>
        </w:rPr>
        <w:t xml:space="preserve"> de se discutir políticas de tarifa zero atualmente, sendo o caso de Caucaia um exemplo emblemático devido a sua dimensão populacional e territorial e a influência gerada em outras cidades (Andrés, 2024). A pesquisa tem o objetivo geral de avaliar a política de tarifa zero no sistema de transporte público no município de Caucaia de acordo com a avaliação com base na sustentabilidade e os seguintes objetivos específicos: 1. Descrever as atividades da política Bora de Graça; 2. Resgatar os contextos de planejamento e implementação do programa Bora de Graça; 3. Compreender a utilização e a percepção dos usuários sobre o programa "Bora de Graça". </w:t>
      </w:r>
    </w:p>
    <w:p w14:paraId="36980EEB" w14:textId="77777777" w:rsidR="00B73BAC" w:rsidRDefault="00000000">
      <w:pPr>
        <w:spacing w:line="360" w:lineRule="auto"/>
        <w:ind w:firstLine="708"/>
        <w:jc w:val="both"/>
        <w:rPr>
          <w:sz w:val="24"/>
          <w:szCs w:val="24"/>
        </w:rPr>
      </w:pPr>
      <w:r>
        <w:rPr>
          <w:sz w:val="24"/>
          <w:szCs w:val="24"/>
        </w:rPr>
        <w:t>O artigo está estruturado em cinco outras partes além da introdução. A segunda seção trata da metodologia, seguida pelas bases teóricas do estudo. Em seguida, o desenvolvimento que tratará do contexto e a implementação do programa, prosseguindo para as discussões e resultados, com análise dos dados obtidos. Por fim, a conclusão traz as considerações finais sobre o estudo.</w:t>
      </w:r>
    </w:p>
    <w:p w14:paraId="5188BF01" w14:textId="77777777" w:rsidR="00D64C1C" w:rsidRDefault="00D64C1C">
      <w:pPr>
        <w:spacing w:line="360" w:lineRule="auto"/>
        <w:ind w:firstLine="708"/>
        <w:jc w:val="both"/>
        <w:rPr>
          <w:sz w:val="24"/>
          <w:szCs w:val="24"/>
        </w:rPr>
      </w:pPr>
    </w:p>
    <w:p w14:paraId="59F4939E" w14:textId="77777777" w:rsidR="00D64C1C" w:rsidRDefault="00D64C1C">
      <w:pPr>
        <w:spacing w:line="360" w:lineRule="auto"/>
        <w:ind w:firstLine="708"/>
        <w:jc w:val="both"/>
        <w:rPr>
          <w:sz w:val="24"/>
          <w:szCs w:val="24"/>
        </w:rPr>
      </w:pPr>
    </w:p>
    <w:p w14:paraId="30906B5E" w14:textId="6BDC74B1" w:rsidR="00B73BAC" w:rsidRDefault="00000000" w:rsidP="00C04728">
      <w:pPr>
        <w:spacing w:after="240" w:line="360" w:lineRule="auto"/>
        <w:jc w:val="both"/>
        <w:rPr>
          <w:sz w:val="24"/>
          <w:szCs w:val="24"/>
        </w:rPr>
      </w:pPr>
      <w:r>
        <w:rPr>
          <w:b/>
          <w:sz w:val="24"/>
          <w:szCs w:val="24"/>
        </w:rPr>
        <w:lastRenderedPageBreak/>
        <w:t xml:space="preserve">2 </w:t>
      </w:r>
      <w:r w:rsidR="00D9765B">
        <w:rPr>
          <w:b/>
          <w:sz w:val="24"/>
          <w:szCs w:val="24"/>
        </w:rPr>
        <w:tab/>
      </w:r>
      <w:r>
        <w:rPr>
          <w:b/>
          <w:sz w:val="24"/>
          <w:szCs w:val="24"/>
        </w:rPr>
        <w:t>METODOLOGIA</w:t>
      </w:r>
    </w:p>
    <w:p w14:paraId="2F73BEBB" w14:textId="77777777" w:rsidR="00B73BAC" w:rsidRDefault="00000000">
      <w:pPr>
        <w:spacing w:line="360" w:lineRule="auto"/>
        <w:ind w:firstLine="708"/>
        <w:jc w:val="both"/>
        <w:rPr>
          <w:sz w:val="24"/>
          <w:szCs w:val="24"/>
        </w:rPr>
      </w:pPr>
      <w:r>
        <w:rPr>
          <w:sz w:val="24"/>
          <w:szCs w:val="24"/>
        </w:rPr>
        <w:t xml:space="preserve">O presente trabalho caracteriza-se como pesquisa qualitativa, para melhor abordagem, aproximação, coleta e análise dos dados. Os dados primários foram obtidos por meio de entrevistas abertas com as ex-secretárias de Patrimônio e Transporte do Município de Caucaia e aplicação de formulários com usuários da política pública em questão, ambas as técnicas entendidas aqui fundamentadas pelos postulados de Gil (2002). </w:t>
      </w:r>
    </w:p>
    <w:p w14:paraId="0668E4A7" w14:textId="77777777" w:rsidR="00B73BAC" w:rsidRDefault="00000000">
      <w:pPr>
        <w:spacing w:line="360" w:lineRule="auto"/>
        <w:ind w:firstLine="708"/>
        <w:jc w:val="both"/>
        <w:rPr>
          <w:sz w:val="24"/>
          <w:szCs w:val="24"/>
        </w:rPr>
      </w:pPr>
      <w:r>
        <w:rPr>
          <w:sz w:val="24"/>
          <w:szCs w:val="24"/>
        </w:rPr>
        <w:t xml:space="preserve">A coleta de dados realizou-se em conjunto com observação empírica com visita às instalações da Secretaria Municipal de Patrimônio e Transporte e ainda a observação empírica do programa e seu uso. Ademais, a pesquisa documental e bibliográfica sobre as temáticas pertinentes ao presente estudo e, por fim, a análise dos dados coletados a partir da triangulação dos mesmos com base em </w:t>
      </w:r>
      <w:proofErr w:type="spellStart"/>
      <w:r>
        <w:rPr>
          <w:sz w:val="24"/>
          <w:szCs w:val="24"/>
        </w:rPr>
        <w:t>Minayo</w:t>
      </w:r>
      <w:proofErr w:type="spellEnd"/>
      <w:r>
        <w:rPr>
          <w:sz w:val="24"/>
          <w:szCs w:val="24"/>
        </w:rPr>
        <w:t xml:space="preserve"> (2013).</w:t>
      </w:r>
    </w:p>
    <w:p w14:paraId="0118908C" w14:textId="77777777" w:rsidR="00B73BAC" w:rsidRDefault="00000000">
      <w:pPr>
        <w:spacing w:line="360" w:lineRule="auto"/>
        <w:ind w:firstLine="708"/>
        <w:jc w:val="both"/>
        <w:rPr>
          <w:sz w:val="24"/>
          <w:szCs w:val="24"/>
        </w:rPr>
      </w:pPr>
      <w:r>
        <w:rPr>
          <w:sz w:val="24"/>
          <w:szCs w:val="24"/>
        </w:rPr>
        <w:t xml:space="preserve">Destarte, a título da avaliação realizada, optou-se pelo modelo idealizado por </w:t>
      </w:r>
      <w:proofErr w:type="spellStart"/>
      <w:r>
        <w:rPr>
          <w:sz w:val="24"/>
          <w:szCs w:val="24"/>
        </w:rPr>
        <w:t>Chacon</w:t>
      </w:r>
      <w:proofErr w:type="spellEnd"/>
      <w:r>
        <w:rPr>
          <w:sz w:val="24"/>
          <w:szCs w:val="24"/>
        </w:rPr>
        <w:t xml:space="preserve"> (2007) e revisto por </w:t>
      </w:r>
      <w:proofErr w:type="spellStart"/>
      <w:r>
        <w:rPr>
          <w:sz w:val="24"/>
          <w:szCs w:val="24"/>
        </w:rPr>
        <w:t>Chacon</w:t>
      </w:r>
      <w:proofErr w:type="spellEnd"/>
      <w:r>
        <w:rPr>
          <w:sz w:val="24"/>
          <w:szCs w:val="24"/>
        </w:rPr>
        <w:t xml:space="preserve"> e Nascimento (2020), que é a Avaliação de Políticas Públicas com Base na Sustentabilidade (ABS), devido à amplitude e interseccionalidade do processo avaliativo proposto na dissecação da política pública.</w:t>
      </w:r>
    </w:p>
    <w:p w14:paraId="44E9EB13" w14:textId="77777777" w:rsidR="008D27AC" w:rsidRDefault="008D27AC">
      <w:pPr>
        <w:spacing w:line="360" w:lineRule="auto"/>
        <w:ind w:firstLine="708"/>
        <w:jc w:val="both"/>
        <w:rPr>
          <w:sz w:val="24"/>
          <w:szCs w:val="24"/>
        </w:rPr>
      </w:pPr>
    </w:p>
    <w:p w14:paraId="266DEEFA" w14:textId="0375960D" w:rsidR="00B73BAC" w:rsidRDefault="00000000" w:rsidP="00C04728">
      <w:pPr>
        <w:spacing w:after="240" w:line="360" w:lineRule="auto"/>
        <w:jc w:val="both"/>
        <w:rPr>
          <w:b/>
          <w:sz w:val="24"/>
          <w:szCs w:val="24"/>
        </w:rPr>
      </w:pPr>
      <w:r>
        <w:rPr>
          <w:b/>
          <w:sz w:val="24"/>
          <w:szCs w:val="24"/>
        </w:rPr>
        <w:t xml:space="preserve">3 </w:t>
      </w:r>
      <w:r w:rsidR="00D9765B">
        <w:rPr>
          <w:b/>
          <w:sz w:val="24"/>
          <w:szCs w:val="24"/>
        </w:rPr>
        <w:tab/>
      </w:r>
      <w:r>
        <w:rPr>
          <w:b/>
          <w:sz w:val="24"/>
          <w:szCs w:val="24"/>
        </w:rPr>
        <w:t>REFERENCIAL TEÓRICO</w:t>
      </w:r>
    </w:p>
    <w:p w14:paraId="6275B56D" w14:textId="4D8A1A7D" w:rsidR="00B73BAC" w:rsidRDefault="00000000" w:rsidP="00C04728">
      <w:pPr>
        <w:spacing w:after="240" w:line="360" w:lineRule="auto"/>
        <w:jc w:val="both"/>
        <w:rPr>
          <w:b/>
          <w:sz w:val="24"/>
          <w:szCs w:val="24"/>
        </w:rPr>
      </w:pPr>
      <w:r>
        <w:rPr>
          <w:b/>
          <w:sz w:val="24"/>
          <w:szCs w:val="24"/>
        </w:rPr>
        <w:t xml:space="preserve">3.1 </w:t>
      </w:r>
      <w:r w:rsidR="00D9765B">
        <w:rPr>
          <w:b/>
          <w:sz w:val="24"/>
          <w:szCs w:val="24"/>
        </w:rPr>
        <w:tab/>
      </w:r>
      <w:r>
        <w:rPr>
          <w:b/>
          <w:sz w:val="24"/>
          <w:szCs w:val="24"/>
        </w:rPr>
        <w:t>Avaliação com Base na Sustentabilidade enquanto percurso avaliativo </w:t>
      </w:r>
    </w:p>
    <w:p w14:paraId="58BDFC50" w14:textId="77777777" w:rsidR="00B73BAC" w:rsidRDefault="00000000">
      <w:pPr>
        <w:spacing w:line="360" w:lineRule="auto"/>
        <w:ind w:firstLine="709"/>
        <w:jc w:val="both"/>
        <w:rPr>
          <w:sz w:val="24"/>
          <w:szCs w:val="24"/>
        </w:rPr>
      </w:pPr>
      <w:r>
        <w:rPr>
          <w:sz w:val="24"/>
          <w:szCs w:val="24"/>
        </w:rPr>
        <w:t>As políticas públicas surgem como uma medida adotada pelo Estado para resolver ou sanar um problema público, ou seja, problema que se torna recorrente no corpo social (</w:t>
      </w:r>
      <w:proofErr w:type="spellStart"/>
      <w:r>
        <w:rPr>
          <w:sz w:val="24"/>
          <w:szCs w:val="24"/>
        </w:rPr>
        <w:t>Secchi</w:t>
      </w:r>
      <w:proofErr w:type="spellEnd"/>
      <w:r>
        <w:rPr>
          <w:sz w:val="24"/>
          <w:szCs w:val="24"/>
        </w:rPr>
        <w:t xml:space="preserve">, 2010). O processo de construção destas é dinâmico, delicado e envolve diversos agentes nas suas diferentes etapas, dentre estas a da avaliação que, enquanto atividade estratégica, é de suma importância para definir modelo, continuidade, recursos, entre outros diversos aspectos da política pública avaliada (Howlett, </w:t>
      </w:r>
      <w:proofErr w:type="spellStart"/>
      <w:r>
        <w:rPr>
          <w:sz w:val="24"/>
          <w:szCs w:val="24"/>
        </w:rPr>
        <w:t>Ramesh</w:t>
      </w:r>
      <w:proofErr w:type="spellEnd"/>
      <w:r>
        <w:rPr>
          <w:sz w:val="24"/>
          <w:szCs w:val="24"/>
        </w:rPr>
        <w:t>; Perl, 2013).</w:t>
      </w:r>
    </w:p>
    <w:p w14:paraId="0B8565D4" w14:textId="77777777" w:rsidR="00B73BAC" w:rsidRDefault="00000000">
      <w:pPr>
        <w:spacing w:line="360" w:lineRule="auto"/>
        <w:ind w:firstLine="709"/>
        <w:jc w:val="both"/>
        <w:rPr>
          <w:sz w:val="24"/>
          <w:szCs w:val="24"/>
        </w:rPr>
      </w:pPr>
      <w:r>
        <w:rPr>
          <w:sz w:val="24"/>
          <w:szCs w:val="24"/>
        </w:rPr>
        <w:lastRenderedPageBreak/>
        <w:t xml:space="preserve">Nesse sentido, o modelo proposto por </w:t>
      </w:r>
      <w:proofErr w:type="spellStart"/>
      <w:r>
        <w:rPr>
          <w:sz w:val="24"/>
          <w:szCs w:val="24"/>
        </w:rPr>
        <w:t>Chacon</w:t>
      </w:r>
      <w:proofErr w:type="spellEnd"/>
      <w:r>
        <w:rPr>
          <w:sz w:val="24"/>
          <w:szCs w:val="24"/>
        </w:rPr>
        <w:t xml:space="preserve"> (2007), e revisto por </w:t>
      </w:r>
      <w:proofErr w:type="spellStart"/>
      <w:r>
        <w:rPr>
          <w:sz w:val="24"/>
          <w:szCs w:val="24"/>
        </w:rPr>
        <w:t>Chacon</w:t>
      </w:r>
      <w:proofErr w:type="spellEnd"/>
      <w:r>
        <w:rPr>
          <w:sz w:val="24"/>
          <w:szCs w:val="24"/>
        </w:rPr>
        <w:t xml:space="preserve"> e </w:t>
      </w:r>
    </w:p>
    <w:p w14:paraId="17A0248D" w14:textId="77777777" w:rsidR="00B73BAC" w:rsidRDefault="00000000" w:rsidP="00C04728">
      <w:pPr>
        <w:spacing w:after="240" w:line="360" w:lineRule="auto"/>
        <w:jc w:val="both"/>
        <w:rPr>
          <w:sz w:val="24"/>
          <w:szCs w:val="24"/>
        </w:rPr>
      </w:pPr>
      <w:r>
        <w:rPr>
          <w:sz w:val="24"/>
          <w:szCs w:val="24"/>
        </w:rPr>
        <w:t xml:space="preserve">Nascimento (2020), promove um percurso avaliativo que inclui a participação social, envolvendo no processo agentes no e do território da política pública para a sua legitimação. E seria, sobretudo, interdisciplinar, adaptável, integrador e transversal, sendo consequência da comunhão dos atores políticos envolvidos em prol do bem comum, analisando quatro eixos da política pública: social, econômica, institucional-política e ambiental. Então, o que se busca com a ABS ao final do processo avaliativo é definir se a política promove de alguma forma a solidariedade </w:t>
      </w:r>
      <w:proofErr w:type="spellStart"/>
      <w:r>
        <w:rPr>
          <w:sz w:val="24"/>
          <w:szCs w:val="24"/>
        </w:rPr>
        <w:t>inter</w:t>
      </w:r>
      <w:proofErr w:type="spellEnd"/>
      <w:r>
        <w:rPr>
          <w:sz w:val="24"/>
          <w:szCs w:val="24"/>
        </w:rPr>
        <w:t xml:space="preserve"> e/ou </w:t>
      </w:r>
      <w:proofErr w:type="spellStart"/>
      <w:r>
        <w:rPr>
          <w:sz w:val="24"/>
          <w:szCs w:val="24"/>
        </w:rPr>
        <w:t>intra</w:t>
      </w:r>
      <w:proofErr w:type="spellEnd"/>
      <w:r>
        <w:rPr>
          <w:sz w:val="24"/>
          <w:szCs w:val="24"/>
        </w:rPr>
        <w:t xml:space="preserve"> geracional, democracia participativa, redução de danos à natureza e a superação de desigualdades (</w:t>
      </w:r>
      <w:proofErr w:type="spellStart"/>
      <w:r>
        <w:rPr>
          <w:sz w:val="24"/>
          <w:szCs w:val="24"/>
        </w:rPr>
        <w:t>Chacon</w:t>
      </w:r>
      <w:proofErr w:type="spellEnd"/>
      <w:r>
        <w:rPr>
          <w:sz w:val="24"/>
          <w:szCs w:val="24"/>
        </w:rPr>
        <w:t xml:space="preserve"> e Nascimento, 2020). </w:t>
      </w:r>
    </w:p>
    <w:p w14:paraId="75A6E0FA" w14:textId="7763DFB5" w:rsidR="00B73BAC" w:rsidRDefault="00000000" w:rsidP="00C04728">
      <w:pPr>
        <w:spacing w:after="240" w:line="360" w:lineRule="auto"/>
        <w:jc w:val="both"/>
        <w:rPr>
          <w:sz w:val="24"/>
          <w:szCs w:val="24"/>
        </w:rPr>
      </w:pPr>
      <w:r>
        <w:rPr>
          <w:b/>
          <w:sz w:val="24"/>
          <w:szCs w:val="24"/>
        </w:rPr>
        <w:t xml:space="preserve">3.2 </w:t>
      </w:r>
      <w:r w:rsidR="00D9765B">
        <w:rPr>
          <w:b/>
          <w:sz w:val="24"/>
          <w:szCs w:val="24"/>
        </w:rPr>
        <w:tab/>
      </w:r>
      <w:r>
        <w:rPr>
          <w:b/>
          <w:sz w:val="24"/>
          <w:szCs w:val="24"/>
        </w:rPr>
        <w:t>Mobilidade urbana sustentável e as políticas de tarifa social</w:t>
      </w:r>
    </w:p>
    <w:p w14:paraId="1E11DA06" w14:textId="77777777" w:rsidR="00B73BAC" w:rsidRDefault="00000000" w:rsidP="00D9765B">
      <w:pPr>
        <w:spacing w:line="360" w:lineRule="auto"/>
        <w:ind w:firstLine="709"/>
        <w:jc w:val="both"/>
        <w:rPr>
          <w:sz w:val="24"/>
          <w:szCs w:val="24"/>
        </w:rPr>
      </w:pPr>
      <w:r>
        <w:rPr>
          <w:sz w:val="24"/>
          <w:szCs w:val="24"/>
        </w:rPr>
        <w:t>O Brasil vem de uma série histórica onde as políticas de mobilidade urbana tinham enfoque na infraestrutura das vias e o modelo nacional depositava, e assim faz até hoje, no transporte individual a solução para as questões de mobilidade urbana, que seria possível resolver os problemas de congestionamento nas cidades. Consequentemente, o cenário que se alavancou devido às medidas adotadas fugiu do controle e o uso extravasado dos transportes individuais foi, para além de ineficaz em resolver as questões para qual foi proposto, mas também ocasionaram na propagação de externalidades negativas (Lopes, 2017; ITDP, 2013). </w:t>
      </w:r>
    </w:p>
    <w:p w14:paraId="7B847F62" w14:textId="7E5934AD" w:rsidR="00C04728" w:rsidRDefault="00000000" w:rsidP="00D64C1C">
      <w:pPr>
        <w:spacing w:line="360" w:lineRule="auto"/>
        <w:ind w:firstLine="708"/>
        <w:jc w:val="both"/>
        <w:rPr>
          <w:sz w:val="24"/>
          <w:szCs w:val="24"/>
        </w:rPr>
      </w:pPr>
      <w:r>
        <w:rPr>
          <w:sz w:val="24"/>
          <w:szCs w:val="24"/>
        </w:rPr>
        <w:t>Nessa ótica, considera-se que na atualidade o investimento focado em crescimento de infraestrutura é ineficaz na questão da mobilidade em si, criando demanda de intervenções diferentes, favorecendo o transporte coletivo de qualidade e mais adequados ao contexto socioeconômico da região (Barcellos, 2006).  Assim, a política de tarifa social ou tarifa zero tem se difundido como uma medida de tornar o transporte coletivo mais acessível de forma democrática, garantindo aos usuários de transporte público o direito de ir e vir (Lopes, 2017). Dessa maneira, Santini (2019) defende como a aplicação da política de tarifa social pode ser benéfica para o território</w:t>
      </w:r>
      <w:r w:rsidR="00C04728">
        <w:rPr>
          <w:sz w:val="24"/>
          <w:szCs w:val="24"/>
        </w:rPr>
        <w:br w:type="page"/>
      </w:r>
    </w:p>
    <w:p w14:paraId="5A963B8F" w14:textId="3F46C031" w:rsidR="00B73BAC" w:rsidRDefault="00000000" w:rsidP="00C04728">
      <w:pPr>
        <w:spacing w:after="240" w:line="360" w:lineRule="auto"/>
        <w:jc w:val="both"/>
        <w:rPr>
          <w:sz w:val="24"/>
          <w:szCs w:val="24"/>
        </w:rPr>
      </w:pPr>
      <w:r>
        <w:rPr>
          <w:sz w:val="24"/>
          <w:szCs w:val="24"/>
        </w:rPr>
        <w:lastRenderedPageBreak/>
        <w:t>de aplicação em diversos sentidos, no trânsito e no bem-estar e qualidade de vida da população, garantindo o direito de mobilidade e propondo um novo</w:t>
      </w:r>
      <w:r w:rsidR="00A219AF">
        <w:rPr>
          <w:sz w:val="24"/>
          <w:szCs w:val="24"/>
        </w:rPr>
        <w:t xml:space="preserve"> </w:t>
      </w:r>
      <w:r>
        <w:rPr>
          <w:sz w:val="24"/>
          <w:szCs w:val="24"/>
        </w:rPr>
        <w:t>modelo de trânsito urbano.</w:t>
      </w:r>
    </w:p>
    <w:p w14:paraId="5077B92F" w14:textId="510A2BFD" w:rsidR="00B73BAC" w:rsidRDefault="00000000" w:rsidP="00C04728">
      <w:pPr>
        <w:spacing w:after="240" w:line="360" w:lineRule="auto"/>
        <w:jc w:val="both"/>
        <w:rPr>
          <w:b/>
          <w:sz w:val="24"/>
          <w:szCs w:val="24"/>
        </w:rPr>
      </w:pPr>
      <w:r>
        <w:rPr>
          <w:b/>
          <w:sz w:val="24"/>
          <w:szCs w:val="24"/>
        </w:rPr>
        <w:t xml:space="preserve">4 </w:t>
      </w:r>
      <w:r w:rsidR="00D9765B">
        <w:rPr>
          <w:b/>
          <w:sz w:val="24"/>
          <w:szCs w:val="24"/>
        </w:rPr>
        <w:tab/>
      </w:r>
      <w:r>
        <w:rPr>
          <w:b/>
          <w:sz w:val="24"/>
          <w:szCs w:val="24"/>
        </w:rPr>
        <w:t>DESENVOLVIMENTO</w:t>
      </w:r>
    </w:p>
    <w:p w14:paraId="1C0830EB" w14:textId="0E467CC1" w:rsidR="00B73BAC" w:rsidRDefault="00000000" w:rsidP="00C04728">
      <w:pPr>
        <w:spacing w:after="240" w:line="360" w:lineRule="auto"/>
        <w:jc w:val="both"/>
        <w:rPr>
          <w:b/>
          <w:sz w:val="24"/>
          <w:szCs w:val="24"/>
        </w:rPr>
      </w:pPr>
      <w:r>
        <w:rPr>
          <w:b/>
          <w:sz w:val="24"/>
          <w:szCs w:val="24"/>
        </w:rPr>
        <w:t xml:space="preserve">4.1 </w:t>
      </w:r>
      <w:r w:rsidR="00D9765B">
        <w:rPr>
          <w:b/>
          <w:sz w:val="24"/>
          <w:szCs w:val="24"/>
        </w:rPr>
        <w:tab/>
      </w:r>
      <w:r>
        <w:rPr>
          <w:b/>
          <w:sz w:val="24"/>
          <w:szCs w:val="24"/>
        </w:rPr>
        <w:t>Contexto social e territorial</w:t>
      </w:r>
    </w:p>
    <w:p w14:paraId="01496FFB" w14:textId="77777777" w:rsidR="00B73BAC" w:rsidRDefault="00000000" w:rsidP="00D9765B">
      <w:pPr>
        <w:spacing w:after="240" w:line="360" w:lineRule="auto"/>
        <w:ind w:firstLine="709"/>
        <w:jc w:val="both"/>
        <w:rPr>
          <w:sz w:val="24"/>
          <w:szCs w:val="24"/>
        </w:rPr>
      </w:pPr>
      <w:r>
        <w:rPr>
          <w:sz w:val="24"/>
          <w:szCs w:val="24"/>
        </w:rPr>
        <w:t>Caucaia é o maior município da Região Metropolitana de Fortaleza e o segundo mais populoso do Ceará, com 355.679 habitantes distribuídos em uma área de 1.228 km², predominantemente rural e dividida em 8 distritos (IBGE, 2022). Em termos socioeconômicos, o município de Caucaia apresenta grandes desafios. De acordo com o IBGE (2022), apenas 15% da população está ocupada com trabalho remunerado formal, enquanto 44% vivem com até meio salário mínimo.  Além disso, 64 mil famílias estão inscritas no programa Bolsa Família, com uma média de renda familiar de R$ 679 mensais (Andrés, 2024).</w:t>
      </w:r>
      <w:r>
        <w:rPr>
          <w:sz w:val="24"/>
          <w:szCs w:val="24"/>
        </w:rPr>
        <w:br/>
        <w:t xml:space="preserve">         Diante desse cenário de vulnerabilidade social e considerando a grande extensão territorial de Caucaia, equivalente a quatro vezes o tamanho da capital Fortaleza, a implementação de políticas públicas que garantam o direito à mobilidade se torna fundamental.</w:t>
      </w:r>
    </w:p>
    <w:p w14:paraId="7959A408" w14:textId="1CA4369C" w:rsidR="00B73BAC" w:rsidRDefault="00000000" w:rsidP="00D9765B">
      <w:pPr>
        <w:spacing w:after="240" w:line="360" w:lineRule="auto"/>
        <w:jc w:val="both"/>
        <w:rPr>
          <w:sz w:val="24"/>
          <w:szCs w:val="24"/>
        </w:rPr>
      </w:pPr>
      <w:r>
        <w:rPr>
          <w:b/>
          <w:sz w:val="24"/>
          <w:szCs w:val="24"/>
        </w:rPr>
        <w:t xml:space="preserve">4.2 </w:t>
      </w:r>
      <w:r w:rsidR="00D9765B">
        <w:rPr>
          <w:b/>
          <w:sz w:val="24"/>
          <w:szCs w:val="24"/>
        </w:rPr>
        <w:tab/>
      </w:r>
      <w:r>
        <w:rPr>
          <w:b/>
          <w:sz w:val="24"/>
          <w:szCs w:val="24"/>
        </w:rPr>
        <w:t>Formulação e implementação da política pública  </w:t>
      </w:r>
    </w:p>
    <w:p w14:paraId="1F4F92F2" w14:textId="70177970" w:rsidR="00B73BAC" w:rsidRDefault="00000000" w:rsidP="00D9765B">
      <w:pPr>
        <w:spacing w:line="360" w:lineRule="auto"/>
        <w:ind w:firstLine="709"/>
        <w:jc w:val="both"/>
        <w:rPr>
          <w:sz w:val="24"/>
          <w:szCs w:val="24"/>
        </w:rPr>
      </w:pPr>
      <w:r>
        <w:rPr>
          <w:sz w:val="24"/>
          <w:szCs w:val="24"/>
        </w:rPr>
        <w:t>Em suma, a formulação da Política Pública ocorreu no contexto de pandemia, durante o ano de 2021, período com limitação de recursos e retração de circulação de pessoas devido às medidas de isolamento social, a partir de uma idealização do prefeito, após solicitação de subsídio para empresa concessionária de transporte público continuar prestando serviço regularmente. </w:t>
      </w:r>
    </w:p>
    <w:p w14:paraId="06E0DC51" w14:textId="4C904EE1" w:rsidR="00B73BAC" w:rsidRDefault="00000000" w:rsidP="00D9765B">
      <w:pPr>
        <w:spacing w:line="360" w:lineRule="auto"/>
        <w:ind w:firstLine="709"/>
        <w:jc w:val="both"/>
        <w:rPr>
          <w:sz w:val="24"/>
          <w:szCs w:val="24"/>
        </w:rPr>
      </w:pPr>
      <w:r>
        <w:rPr>
          <w:sz w:val="24"/>
          <w:szCs w:val="24"/>
        </w:rPr>
        <w:t>Após análise técnica dos custos operacionais, a gestão municipal decidiu assumir os custos da empresa, diante da garantia da gratuidade da tarifa para os usuários. A medida foi anunciada em transmissão ao vivo pelo prefeito, em 23 de</w:t>
      </w:r>
      <w:r w:rsidR="00747EFC">
        <w:rPr>
          <w:sz w:val="24"/>
          <w:szCs w:val="24"/>
        </w:rPr>
        <w:t xml:space="preserve"> </w:t>
      </w:r>
      <w:r>
        <w:rPr>
          <w:sz w:val="24"/>
          <w:szCs w:val="24"/>
        </w:rPr>
        <w:t xml:space="preserve">julho </w:t>
      </w:r>
      <w:r>
        <w:rPr>
          <w:sz w:val="24"/>
          <w:szCs w:val="24"/>
        </w:rPr>
        <w:lastRenderedPageBreak/>
        <w:t>de 2021, mesmo anterior a publicação do decreto lei n° 1.221 que estabeleceu a tarifa zero no sistema de transporte público municipal de Caucaia, em 04 de agosto de 2021 (Caucaia, 2021).  </w:t>
      </w:r>
    </w:p>
    <w:p w14:paraId="7B70CAEA" w14:textId="77777777" w:rsidR="00B73BAC" w:rsidRDefault="00000000" w:rsidP="00D9765B">
      <w:pPr>
        <w:spacing w:line="360" w:lineRule="auto"/>
        <w:ind w:firstLine="709"/>
        <w:jc w:val="both"/>
        <w:rPr>
          <w:sz w:val="24"/>
          <w:szCs w:val="24"/>
        </w:rPr>
      </w:pPr>
      <w:r>
        <w:rPr>
          <w:sz w:val="24"/>
          <w:szCs w:val="24"/>
        </w:rPr>
        <w:t>A gestão instituiu um grupo composto por representantes da Procuradoria Geral do Município, da Secretaria de Patrimônio e Transporte, Secretaria de Finanças, Planejamento e Orçamento e da Empresa concessionária com finalidade de realizar estudo técnico para garantir o equilíbrio econômico-financeiro do contrato de concessão. </w:t>
      </w:r>
    </w:p>
    <w:p w14:paraId="31257BC1" w14:textId="77777777" w:rsidR="00B73BAC" w:rsidRDefault="00000000" w:rsidP="00D9765B">
      <w:pPr>
        <w:spacing w:line="360" w:lineRule="auto"/>
        <w:ind w:firstLine="709"/>
        <w:jc w:val="both"/>
        <w:rPr>
          <w:sz w:val="24"/>
          <w:szCs w:val="24"/>
        </w:rPr>
      </w:pPr>
      <w:r>
        <w:rPr>
          <w:sz w:val="24"/>
          <w:szCs w:val="24"/>
        </w:rPr>
        <w:t> A formulação do programa, diferente do que se aprende sobre o ciclo de políticas públicas, foi responsiva ao problema e durou pouco tempo, logo partindo para a implementação. Sobre o equilíbrio econômico e financeiro, o sistema custa em média 3,7 milhões de reais por mês para a prefeitura, o que equivale a 2,6% do orçamento municipal (Andrés, 2024). De acordo com a Secretaria de patrimônio e transporte do município, reserva-se ao programa um teto de 3% do orçamento municipal.  </w:t>
      </w:r>
    </w:p>
    <w:p w14:paraId="060961A0" w14:textId="77777777" w:rsidR="00B73BAC" w:rsidRDefault="00000000" w:rsidP="00D9765B">
      <w:pPr>
        <w:spacing w:line="360" w:lineRule="auto"/>
        <w:ind w:firstLine="709"/>
        <w:jc w:val="both"/>
        <w:rPr>
          <w:sz w:val="24"/>
          <w:szCs w:val="24"/>
        </w:rPr>
      </w:pPr>
      <w:r>
        <w:rPr>
          <w:sz w:val="24"/>
          <w:szCs w:val="24"/>
        </w:rPr>
        <w:t>A expectativa para o lançamento do programa era de cerca de 24 mil viagens. No entanto, de acordo com a Secretária Simone, “No dia 1º de setembro de 2021, os ônibus começaram a rodar no município de graça. No primeiro dia, de 18 mil, subiu para 35, 36 mil. E a gente fechou o mês em uma maior escala de 96 mil por dia.”</w:t>
      </w:r>
    </w:p>
    <w:p w14:paraId="30F2E7AE" w14:textId="77777777" w:rsidR="00B73BAC" w:rsidRDefault="00000000" w:rsidP="00D9765B">
      <w:pPr>
        <w:spacing w:line="360" w:lineRule="auto"/>
        <w:ind w:firstLine="709"/>
        <w:jc w:val="both"/>
        <w:rPr>
          <w:sz w:val="24"/>
          <w:szCs w:val="24"/>
        </w:rPr>
      </w:pPr>
      <w:r>
        <w:rPr>
          <w:sz w:val="24"/>
          <w:szCs w:val="24"/>
        </w:rPr>
        <w:t>A demanda pelo programa Bora de Graça apresentou um crescimento expressivo, passando de 510 mil passageiros atendidos em agosto de 2021 para 1.300.000 em setembro do mesmo ano. Diante desse cenário, foram realizadas adaptações e estratégias como mudanças de linhas e itinerários, com a inclusão de extensões, acréscimos de linhas e ampliação de horários. A gestão e o monitoramento da política ficaram sob responsabilidade da Secretaria Municipal de Patrimônio e Transporte de Caucaia, que passou a desempenhar funções como a análise técnica dos Relatórios Operacionais de Linhas (ROL), o acompanhamento em tempo real da circulação da frota por meio de sistema de geolocalização e o controle da quilometragem rodada.</w:t>
      </w:r>
    </w:p>
    <w:p w14:paraId="105DA019" w14:textId="72D399F9" w:rsidR="008D27AC" w:rsidRDefault="00000000" w:rsidP="00C04728">
      <w:pPr>
        <w:spacing w:after="240" w:line="360" w:lineRule="auto"/>
        <w:ind w:firstLine="851"/>
        <w:jc w:val="both"/>
        <w:rPr>
          <w:sz w:val="24"/>
          <w:szCs w:val="24"/>
        </w:rPr>
      </w:pPr>
      <w:r>
        <w:rPr>
          <w:sz w:val="24"/>
          <w:szCs w:val="24"/>
        </w:rPr>
        <w:lastRenderedPageBreak/>
        <w:t>Mensalmente, a empresa concessionária entrega à Secretaria dois tipos de relatórios: o relatório projetado, com as previsões operacionais de oferta de linhas e custos, e o relatório executado, contendo a prestação efetiva dos serviços, a quilometragem rodada e eventuais intercorrências. A Secretaria realiza a verificação desses documentos e efetua o pagamento apenas após a correção de possíveis divergências. Além de impactar positivamente a mobilidade, a política também gerou efeitos econômicos e sociais relevantes, como a redução da evasão escolar, resultado da ampliação de linhas e rotas escolares, como citado por membros da Secretaria de Patrimônio e Transporte de Caucaia durante a entrevista.</w:t>
      </w:r>
    </w:p>
    <w:p w14:paraId="59EE500D" w14:textId="4F9AB8CB" w:rsidR="00B73BAC" w:rsidRDefault="00000000" w:rsidP="00C04728">
      <w:pPr>
        <w:spacing w:after="240" w:line="360" w:lineRule="auto"/>
        <w:jc w:val="both"/>
        <w:rPr>
          <w:b/>
          <w:sz w:val="24"/>
          <w:szCs w:val="24"/>
        </w:rPr>
      </w:pPr>
      <w:r>
        <w:rPr>
          <w:b/>
          <w:sz w:val="24"/>
          <w:szCs w:val="24"/>
        </w:rPr>
        <w:t xml:space="preserve">4.3 </w:t>
      </w:r>
      <w:r w:rsidR="00D9765B">
        <w:rPr>
          <w:b/>
          <w:sz w:val="24"/>
          <w:szCs w:val="24"/>
        </w:rPr>
        <w:tab/>
      </w:r>
      <w:r>
        <w:rPr>
          <w:b/>
          <w:sz w:val="24"/>
          <w:szCs w:val="24"/>
        </w:rPr>
        <w:t>Avaliação da política pública</w:t>
      </w:r>
      <w:r>
        <w:rPr>
          <w:sz w:val="24"/>
          <w:szCs w:val="24"/>
        </w:rPr>
        <w:t xml:space="preserve">  </w:t>
      </w:r>
    </w:p>
    <w:p w14:paraId="2681E8DA" w14:textId="77777777" w:rsidR="00B73BAC" w:rsidRDefault="00000000">
      <w:pPr>
        <w:spacing w:line="360" w:lineRule="auto"/>
        <w:ind w:firstLine="720"/>
        <w:jc w:val="both"/>
        <w:rPr>
          <w:sz w:val="24"/>
          <w:szCs w:val="24"/>
        </w:rPr>
      </w:pPr>
      <w:r>
        <w:rPr>
          <w:sz w:val="24"/>
          <w:szCs w:val="24"/>
        </w:rPr>
        <w:t>A aplicação das entrevistas junto aos usuários da política permitiu a obtenção de importantes parâmetros, destacando a valorização da participação social. No total, foram coletadas 19 respostas, sendo identificada a repetição de algumas delas, o que motivou a representação desses dados no seguinte gráfico (Gráfico 1) para facilitar a análise.</w:t>
      </w:r>
    </w:p>
    <w:p w14:paraId="60CEBCC6" w14:textId="77777777" w:rsidR="00B73BAC" w:rsidRDefault="00000000" w:rsidP="00C04728">
      <w:pPr>
        <w:spacing w:line="360" w:lineRule="auto"/>
        <w:jc w:val="center"/>
        <w:rPr>
          <w:sz w:val="24"/>
          <w:szCs w:val="24"/>
        </w:rPr>
      </w:pPr>
      <w:r>
        <w:rPr>
          <w:b/>
          <w:sz w:val="24"/>
          <w:szCs w:val="24"/>
        </w:rPr>
        <w:t>Figura 1</w:t>
      </w:r>
      <w:r>
        <w:rPr>
          <w:sz w:val="24"/>
          <w:szCs w:val="24"/>
        </w:rPr>
        <w:t xml:space="preserve"> – Uso e percepções dos usuários sobre o programa.</w:t>
      </w:r>
    </w:p>
    <w:p w14:paraId="762CE001" w14:textId="77777777" w:rsidR="00B73BAC" w:rsidRDefault="00000000">
      <w:pPr>
        <w:spacing w:line="360" w:lineRule="auto"/>
        <w:ind w:firstLine="851"/>
        <w:jc w:val="both"/>
        <w:rPr>
          <w:color w:val="FF0000"/>
          <w:sz w:val="24"/>
          <w:szCs w:val="24"/>
        </w:rPr>
      </w:pPr>
      <w:r>
        <w:rPr>
          <w:noProof/>
        </w:rPr>
        <w:drawing>
          <wp:inline distT="0" distB="0" distL="0" distR="0" wp14:anchorId="0679A58D" wp14:editId="03D0C09B">
            <wp:extent cx="4538190" cy="2131894"/>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10" t="-20" r="-8" b="-18"/>
                    <a:stretch>
                      <a:fillRect/>
                    </a:stretch>
                  </pic:blipFill>
                  <pic:spPr>
                    <a:xfrm>
                      <a:off x="0" y="0"/>
                      <a:ext cx="4538190" cy="2131894"/>
                    </a:xfrm>
                    <a:prstGeom prst="rect">
                      <a:avLst/>
                    </a:prstGeom>
                    <a:ln w="12700">
                      <a:solidFill>
                        <a:srgbClr val="000000"/>
                      </a:solidFill>
                      <a:prstDash val="solid"/>
                    </a:ln>
                  </pic:spPr>
                </pic:pic>
              </a:graphicData>
            </a:graphic>
          </wp:inline>
        </w:drawing>
      </w:r>
    </w:p>
    <w:p w14:paraId="329A6BAB" w14:textId="77777777" w:rsidR="00B73BAC" w:rsidRDefault="00000000" w:rsidP="00C04728">
      <w:pPr>
        <w:spacing w:after="240" w:line="360" w:lineRule="auto"/>
        <w:ind w:left="851"/>
        <w:jc w:val="both"/>
        <w:rPr>
          <w:sz w:val="20"/>
          <w:szCs w:val="20"/>
        </w:rPr>
      </w:pPr>
      <w:r>
        <w:rPr>
          <w:sz w:val="20"/>
          <w:szCs w:val="20"/>
        </w:rPr>
        <w:t>Fonte: Gráfico elaborada pelos autores, com base nas entrevistas realizadas. (2025)</w:t>
      </w:r>
    </w:p>
    <w:p w14:paraId="3865894E" w14:textId="7FEF2FA3" w:rsidR="008D27AC" w:rsidRDefault="00000000" w:rsidP="00D9765B">
      <w:pPr>
        <w:spacing w:line="360" w:lineRule="auto"/>
        <w:ind w:firstLine="709"/>
        <w:jc w:val="both"/>
        <w:rPr>
          <w:sz w:val="24"/>
          <w:szCs w:val="24"/>
        </w:rPr>
      </w:pPr>
      <w:r>
        <w:rPr>
          <w:sz w:val="24"/>
          <w:szCs w:val="24"/>
        </w:rPr>
        <w:lastRenderedPageBreak/>
        <w:t>A primeira afirmativa refere-se às finalidades de locomoção dos usuários, as quais foram classificadas entre: Trabalho, Educação, Saúde, Comércio e Lazer. Além dos 10 usuários que expressaram locomover-se de Bora de Graça para ir ao trabalho,</w:t>
      </w:r>
    </w:p>
    <w:p w14:paraId="692148C6" w14:textId="5AEFB0FC" w:rsidR="00B73BAC" w:rsidRDefault="00000000" w:rsidP="00D9765B">
      <w:pPr>
        <w:spacing w:line="360" w:lineRule="auto"/>
        <w:jc w:val="both"/>
        <w:rPr>
          <w:sz w:val="24"/>
          <w:szCs w:val="24"/>
        </w:rPr>
      </w:pPr>
      <w:r>
        <w:rPr>
          <w:sz w:val="24"/>
          <w:szCs w:val="24"/>
        </w:rPr>
        <w:t>outros 4 usuários locomovem-se para fins educacionais, 7 para acessar o serviço de saúde, 8 para fins do setor de comércio e 8 dos usuários locomovem-se para ter acesso ao lazer. Nesta perspectiva, os entrevistados poderiam responder mais de uma finalidade e, ainda assim, o trabalho foi a finalidade mais expressiva.</w:t>
      </w:r>
    </w:p>
    <w:p w14:paraId="3CF1C2F9" w14:textId="77777777" w:rsidR="00B73BAC" w:rsidRDefault="00000000" w:rsidP="00D9765B">
      <w:pPr>
        <w:spacing w:line="360" w:lineRule="auto"/>
        <w:ind w:firstLine="709"/>
        <w:jc w:val="both"/>
        <w:rPr>
          <w:sz w:val="24"/>
          <w:szCs w:val="24"/>
        </w:rPr>
      </w:pPr>
      <w:r>
        <w:rPr>
          <w:sz w:val="24"/>
          <w:szCs w:val="24"/>
        </w:rPr>
        <w:t>A segunda, refere-se aos impactos do programa na vida dos usuários. Entre os participantes, 14 usuários relataram que o principal impacto do programa foi de ordem econômica. Já 5 usuários apontaram o impacto no aspecto do deslocamento como o mais relevante em suas vidas. Esses resultados indicam que a maioria percebe o programa como uma importante contribuição para a economia pessoal.</w:t>
      </w:r>
    </w:p>
    <w:p w14:paraId="21D1ABA4" w14:textId="77777777" w:rsidR="00B73BAC" w:rsidRDefault="00000000" w:rsidP="00D9765B">
      <w:pPr>
        <w:spacing w:line="360" w:lineRule="auto"/>
        <w:ind w:firstLine="709"/>
        <w:jc w:val="both"/>
        <w:rPr>
          <w:sz w:val="24"/>
          <w:szCs w:val="24"/>
        </w:rPr>
      </w:pPr>
      <w:r>
        <w:rPr>
          <w:sz w:val="24"/>
          <w:szCs w:val="24"/>
        </w:rPr>
        <w:t>Ao serem questionados se o programa representa o único meio de transporte utilizado, 15 usuários responderam de forma afirmativa, conforme evidenciado no Gráfico 1. Em contraste, 4 usuários relataram ter outras opções de transporte além do programa. Dentre esses, um destacou ter substituído o uso diário ou parcial de seu veículo particular, um carro, pela utilização do transporte público.</w:t>
      </w:r>
    </w:p>
    <w:p w14:paraId="716331D4" w14:textId="1847EEA5" w:rsidR="00B73BAC" w:rsidRDefault="00000000" w:rsidP="00D9765B">
      <w:pPr>
        <w:spacing w:line="360" w:lineRule="auto"/>
        <w:ind w:firstLine="709"/>
        <w:jc w:val="both"/>
        <w:rPr>
          <w:sz w:val="24"/>
          <w:szCs w:val="24"/>
        </w:rPr>
      </w:pPr>
      <w:r>
        <w:rPr>
          <w:sz w:val="24"/>
          <w:szCs w:val="24"/>
        </w:rPr>
        <w:t>Referente à frequência de uso do transporte pelos usuários do programa "Bora de Graça". Os resultados mostram que 14 usuários utilizam o transporte com maior frequência, entre 6 a 7 vezes por semana. Esses dados refletem um padrão de uso predominantemente frequente entre os usuários entrevistados, assim como evidenciado no Gráfico 1. Observa-se, então, a grande demanda do uso do transporte público.</w:t>
      </w:r>
    </w:p>
    <w:p w14:paraId="057B84F6" w14:textId="77777777" w:rsidR="00B73BAC" w:rsidRDefault="00000000" w:rsidP="00D9765B">
      <w:pPr>
        <w:spacing w:line="360" w:lineRule="auto"/>
        <w:ind w:firstLine="709"/>
        <w:jc w:val="both"/>
        <w:rPr>
          <w:b/>
          <w:sz w:val="24"/>
          <w:szCs w:val="24"/>
        </w:rPr>
      </w:pPr>
      <w:r>
        <w:rPr>
          <w:sz w:val="24"/>
          <w:szCs w:val="24"/>
        </w:rPr>
        <w:t xml:space="preserve">A respeito da qualidade do transporte nos quesitos ônibus, rota e serviço prestado. Os usuários avaliaram a qualidade do serviço a partir da escala de satisfação </w:t>
      </w:r>
      <w:proofErr w:type="spellStart"/>
      <w:r>
        <w:rPr>
          <w:sz w:val="24"/>
          <w:szCs w:val="24"/>
        </w:rPr>
        <w:t>Likert</w:t>
      </w:r>
      <w:proofErr w:type="spellEnd"/>
      <w:r>
        <w:rPr>
          <w:sz w:val="24"/>
          <w:szCs w:val="24"/>
        </w:rPr>
        <w:t>, do “muito insatisfatório” até o “muito satisfatório”. Entre os usuários, 12 se declararam muito satisfeitos, 5 estão satisfeitos e 2 se consideram neutros. Não houve registros de usuários insatisfeitos ou muito insatisfeitos.</w:t>
      </w:r>
    </w:p>
    <w:p w14:paraId="6EA8770E" w14:textId="77777777" w:rsidR="00B73BAC" w:rsidRDefault="00B73BAC">
      <w:pPr>
        <w:spacing w:line="360" w:lineRule="auto"/>
        <w:rPr>
          <w:b/>
          <w:sz w:val="24"/>
          <w:szCs w:val="24"/>
        </w:rPr>
      </w:pPr>
    </w:p>
    <w:p w14:paraId="4FEC3BF0" w14:textId="77777777" w:rsidR="00B73BAC" w:rsidRDefault="00000000">
      <w:pPr>
        <w:spacing w:line="360" w:lineRule="auto"/>
        <w:jc w:val="center"/>
        <w:rPr>
          <w:sz w:val="24"/>
          <w:szCs w:val="24"/>
        </w:rPr>
      </w:pPr>
      <w:r>
        <w:rPr>
          <w:b/>
          <w:sz w:val="24"/>
          <w:szCs w:val="24"/>
        </w:rPr>
        <w:lastRenderedPageBreak/>
        <w:t xml:space="preserve">Figura 2 - </w:t>
      </w:r>
      <w:r>
        <w:rPr>
          <w:sz w:val="24"/>
          <w:szCs w:val="24"/>
        </w:rPr>
        <w:t>Avaliação do programa “Bora de Graça” pelos seus usuários.</w:t>
      </w:r>
    </w:p>
    <w:p w14:paraId="34C436BD" w14:textId="77777777" w:rsidR="00B73BAC" w:rsidRDefault="00000000">
      <w:pPr>
        <w:spacing w:line="360" w:lineRule="auto"/>
        <w:jc w:val="center"/>
        <w:rPr>
          <w:color w:val="FF0000"/>
        </w:rPr>
      </w:pPr>
      <w:r>
        <w:rPr>
          <w:noProof/>
        </w:rPr>
        <w:drawing>
          <wp:inline distT="0" distB="0" distL="0" distR="0" wp14:anchorId="7A79BE7D" wp14:editId="2B8DCCDA">
            <wp:extent cx="4345940" cy="251587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 t="-16" r="-7" b="-15"/>
                    <a:stretch>
                      <a:fillRect/>
                    </a:stretch>
                  </pic:blipFill>
                  <pic:spPr>
                    <a:xfrm>
                      <a:off x="0" y="0"/>
                      <a:ext cx="4345940" cy="2515870"/>
                    </a:xfrm>
                    <a:prstGeom prst="rect">
                      <a:avLst/>
                    </a:prstGeom>
                    <a:ln w="12700">
                      <a:solidFill>
                        <a:srgbClr val="000000"/>
                      </a:solidFill>
                      <a:prstDash val="solid"/>
                    </a:ln>
                  </pic:spPr>
                </pic:pic>
              </a:graphicData>
            </a:graphic>
          </wp:inline>
        </w:drawing>
      </w:r>
    </w:p>
    <w:p w14:paraId="6674AE40" w14:textId="77777777" w:rsidR="00B73BAC" w:rsidRDefault="00000000" w:rsidP="00C04728">
      <w:pPr>
        <w:spacing w:after="240" w:line="360" w:lineRule="auto"/>
        <w:ind w:left="851"/>
        <w:jc w:val="both"/>
        <w:rPr>
          <w:sz w:val="20"/>
          <w:szCs w:val="20"/>
        </w:rPr>
      </w:pPr>
      <w:r>
        <w:rPr>
          <w:sz w:val="20"/>
          <w:szCs w:val="20"/>
        </w:rPr>
        <w:t>Fonte: Gráfico elaborado pelos autores, com base nas entrevistas realizadas. (2025)</w:t>
      </w:r>
    </w:p>
    <w:p w14:paraId="3688242A" w14:textId="1A9AF76D" w:rsidR="008D27AC" w:rsidRDefault="00000000" w:rsidP="00D64C1C">
      <w:pPr>
        <w:spacing w:after="240" w:line="360" w:lineRule="auto"/>
        <w:ind w:firstLine="709"/>
        <w:jc w:val="both"/>
        <w:rPr>
          <w:sz w:val="24"/>
          <w:szCs w:val="24"/>
        </w:rPr>
      </w:pPr>
      <w:r>
        <w:rPr>
          <w:sz w:val="24"/>
          <w:szCs w:val="24"/>
        </w:rPr>
        <w:t>Nesse sentido, muitos usuários apontaram aspectos como a lotação dos ônibus em horários de pico e a carência de horários de rotas para localidades mais distantes do Centro de Caucaia. Assim, dentre as sugestões de possíveis melhorias, foi mencionado a continuidade ou permanência do programa, a adequação dos horários, com a redução do intervalo entre eles, a diminuição da lotação, assim como a melhoria na limpeza e manutenção dos veículos.</w:t>
      </w:r>
    </w:p>
    <w:p w14:paraId="20C713A9" w14:textId="67B57FF9" w:rsidR="00B73BAC" w:rsidRDefault="00000000" w:rsidP="00C04728">
      <w:pPr>
        <w:spacing w:after="240" w:line="360" w:lineRule="auto"/>
        <w:jc w:val="both"/>
        <w:rPr>
          <w:b/>
          <w:sz w:val="24"/>
          <w:szCs w:val="24"/>
        </w:rPr>
      </w:pPr>
      <w:r>
        <w:rPr>
          <w:b/>
          <w:sz w:val="24"/>
          <w:szCs w:val="24"/>
        </w:rPr>
        <w:t xml:space="preserve">5 </w:t>
      </w:r>
      <w:r w:rsidR="00D9765B">
        <w:rPr>
          <w:b/>
          <w:sz w:val="24"/>
          <w:szCs w:val="24"/>
        </w:rPr>
        <w:tab/>
      </w:r>
      <w:r>
        <w:rPr>
          <w:b/>
          <w:sz w:val="24"/>
          <w:szCs w:val="24"/>
        </w:rPr>
        <w:t>DISCUSS</w:t>
      </w:r>
      <w:r w:rsidR="00D9765B">
        <w:rPr>
          <w:b/>
          <w:sz w:val="24"/>
          <w:szCs w:val="24"/>
        </w:rPr>
        <w:t>ÕES E</w:t>
      </w:r>
      <w:r>
        <w:rPr>
          <w:b/>
          <w:sz w:val="24"/>
          <w:szCs w:val="24"/>
        </w:rPr>
        <w:t xml:space="preserve"> RESULTADOS</w:t>
      </w:r>
    </w:p>
    <w:p w14:paraId="1049F717" w14:textId="29BC2942" w:rsidR="00B73BAC" w:rsidRDefault="00000000">
      <w:pPr>
        <w:spacing w:line="360" w:lineRule="auto"/>
        <w:ind w:firstLine="709"/>
        <w:jc w:val="both"/>
        <w:rPr>
          <w:sz w:val="24"/>
          <w:szCs w:val="24"/>
        </w:rPr>
      </w:pPr>
      <w:r>
        <w:rPr>
          <w:sz w:val="24"/>
          <w:szCs w:val="24"/>
        </w:rPr>
        <w:t xml:space="preserve">A partir da análise, concluiu-se que a política tem potencial de promover um significativo desenvolvimento social e econômico no município. Segundo (ANDRÉS, 2024) a economia com custo da passagem, corresponde entre 15% e 36% da renda familiar, possibilitando a destinação desses recursos para outras atividades, como alimentação, vestuário e lazer, que se comprova quando se observa que, </w:t>
      </w:r>
      <w:r w:rsidR="00D9765B">
        <w:rPr>
          <w:sz w:val="24"/>
          <w:szCs w:val="24"/>
        </w:rPr>
        <w:t>s</w:t>
      </w:r>
      <w:r>
        <w:rPr>
          <w:sz w:val="24"/>
          <w:szCs w:val="24"/>
        </w:rPr>
        <w:t>egundo a Câmara dos Dirigentes Lojistas de Caucaia, a implementação da tarifa zero resultou em aumento de 30% nas vendas do comércio local.</w:t>
      </w:r>
    </w:p>
    <w:p w14:paraId="04B3D485" w14:textId="76AC34A6" w:rsidR="00B73BAC" w:rsidRDefault="00000000" w:rsidP="00D64C1C">
      <w:pPr>
        <w:spacing w:line="360" w:lineRule="auto"/>
        <w:ind w:firstLine="709"/>
        <w:jc w:val="both"/>
        <w:rPr>
          <w:sz w:val="24"/>
          <w:szCs w:val="24"/>
        </w:rPr>
      </w:pPr>
      <w:r>
        <w:rPr>
          <w:sz w:val="24"/>
          <w:szCs w:val="24"/>
        </w:rPr>
        <w:lastRenderedPageBreak/>
        <w:t>Ao analisar a política junto aos usuários do programa Bora de Graça, entende-se como satisfatória a qualidade da política pública, pois atende as necessidades da população local com uma avaliação positiva expressiva, seguido de um bom impacto econômico para a população geral e o comércio local.  Destaca-se também o valor bem-estar já que transporte público também é usado para fins de lazer. O desejo de permanência ou continuidade do programa reflete sua legitimidade e ampla aprovação entre os beneficiários, enquanto questões como lotação, falta de horários, limpeza e manutenção surgem como pontos que necessitam de atenção por parte dos responsáveis pela política.   </w:t>
      </w:r>
    </w:p>
    <w:p w14:paraId="01ECA1E7" w14:textId="77777777" w:rsidR="00B73BAC" w:rsidRDefault="00000000">
      <w:pPr>
        <w:spacing w:line="360" w:lineRule="auto"/>
        <w:ind w:firstLine="709"/>
        <w:jc w:val="both"/>
        <w:rPr>
          <w:sz w:val="24"/>
          <w:szCs w:val="24"/>
        </w:rPr>
      </w:pPr>
      <w:r>
        <w:rPr>
          <w:sz w:val="24"/>
          <w:szCs w:val="24"/>
        </w:rPr>
        <w:t>Compreende-se que políticas públicas capazes de considerar os critérios sugeridos pela ABS, terão grande chance de promover inclusão social e um modelo sustentável, representando uma transformação institucional e política real (</w:t>
      </w:r>
      <w:proofErr w:type="spellStart"/>
      <w:r>
        <w:rPr>
          <w:sz w:val="24"/>
          <w:szCs w:val="24"/>
        </w:rPr>
        <w:t>Chacon</w:t>
      </w:r>
      <w:proofErr w:type="spellEnd"/>
      <w:r>
        <w:rPr>
          <w:sz w:val="24"/>
          <w:szCs w:val="24"/>
        </w:rPr>
        <w:t xml:space="preserve"> e Nascimento, 2020). Evidenciou-se que a política de tarifa zero no município de Caucaia integra os aspectos sociais, econômicos e ambientais, exigindo cooperação entre os diferentes setores da sociedade para sua efetivação.</w:t>
      </w:r>
    </w:p>
    <w:p w14:paraId="53EA241B" w14:textId="15238605" w:rsidR="00B73BAC" w:rsidRDefault="00000000" w:rsidP="00C04728">
      <w:pPr>
        <w:spacing w:line="360" w:lineRule="auto"/>
        <w:ind w:firstLine="709"/>
        <w:jc w:val="both"/>
        <w:rPr>
          <w:sz w:val="24"/>
          <w:szCs w:val="24"/>
        </w:rPr>
      </w:pPr>
      <w:r>
        <w:rPr>
          <w:sz w:val="24"/>
          <w:szCs w:val="24"/>
        </w:rPr>
        <w:t>Nessa perspectiva, os reflexos da política pública de tarifa zero adotada pelo município de Caucaia atende aos princípios avaliativos da ABS: 1. Dimensão Social: trata-se de uma ferramenta de redução da desigualdade social, possibilitando à</w:t>
      </w:r>
      <w:r w:rsidR="00C04728">
        <w:rPr>
          <w:sz w:val="24"/>
          <w:szCs w:val="24"/>
        </w:rPr>
        <w:t xml:space="preserve"> </w:t>
      </w:r>
      <w:r>
        <w:rPr>
          <w:sz w:val="24"/>
          <w:szCs w:val="24"/>
        </w:rPr>
        <w:t>população acesso aos serviços públicos de saúde, educação, integração social (visitas a amigos e familiares), lazer e trabalho; 2. Dimensão Econômica: permite crescimento e desenvolvimento do comércio local, aumento do poder de compra da população, maior arrecadação de impostos municipais (ICMS), benefícios para empresas locais (economia com vale-transporte) 3. Dimensão Institucional-política: Ação governamental em subsidiar o transporte público no município junto a empresa concessionária.; 4. Dimensão Ambiental: Redução de poluição (emissão de CO2), fluidez no trânsito, promoção do transporte coletivo e diminuição de acidentes. </w:t>
      </w:r>
    </w:p>
    <w:p w14:paraId="793D3744" w14:textId="77777777" w:rsidR="008D27AC" w:rsidRDefault="008D27AC">
      <w:pPr>
        <w:spacing w:line="360" w:lineRule="auto"/>
        <w:jc w:val="both"/>
        <w:rPr>
          <w:sz w:val="24"/>
          <w:szCs w:val="24"/>
        </w:rPr>
      </w:pPr>
    </w:p>
    <w:p w14:paraId="31DE2B02" w14:textId="77777777" w:rsidR="00D64C1C" w:rsidRDefault="00D64C1C">
      <w:pPr>
        <w:spacing w:line="360" w:lineRule="auto"/>
        <w:jc w:val="both"/>
        <w:rPr>
          <w:sz w:val="24"/>
          <w:szCs w:val="24"/>
        </w:rPr>
      </w:pPr>
    </w:p>
    <w:p w14:paraId="2291564F" w14:textId="4C7BE838" w:rsidR="00D64C1C" w:rsidRDefault="00D64C1C" w:rsidP="00D9765B">
      <w:pPr>
        <w:rPr>
          <w:sz w:val="24"/>
          <w:szCs w:val="24"/>
        </w:rPr>
      </w:pPr>
    </w:p>
    <w:p w14:paraId="5877F4B4" w14:textId="328781D9" w:rsidR="00B73BAC" w:rsidRDefault="00000000" w:rsidP="00D9765B">
      <w:pPr>
        <w:tabs>
          <w:tab w:val="left" w:pos="709"/>
        </w:tabs>
        <w:spacing w:after="240" w:line="360" w:lineRule="auto"/>
        <w:jc w:val="both"/>
        <w:rPr>
          <w:sz w:val="24"/>
          <w:szCs w:val="24"/>
        </w:rPr>
      </w:pPr>
      <w:r>
        <w:rPr>
          <w:b/>
          <w:sz w:val="24"/>
          <w:szCs w:val="24"/>
        </w:rPr>
        <w:lastRenderedPageBreak/>
        <w:t xml:space="preserve">6 </w:t>
      </w:r>
      <w:r w:rsidR="00D9765B">
        <w:rPr>
          <w:b/>
          <w:sz w:val="24"/>
          <w:szCs w:val="24"/>
        </w:rPr>
        <w:tab/>
      </w:r>
      <w:r>
        <w:rPr>
          <w:b/>
          <w:sz w:val="24"/>
          <w:szCs w:val="24"/>
        </w:rPr>
        <w:t>CONCLUSÃO</w:t>
      </w:r>
    </w:p>
    <w:p w14:paraId="7209D16C" w14:textId="15C2C5B1" w:rsidR="00B73BAC" w:rsidRDefault="00000000" w:rsidP="00D9765B">
      <w:pPr>
        <w:spacing w:line="360" w:lineRule="auto"/>
        <w:ind w:firstLine="709"/>
        <w:jc w:val="both"/>
        <w:rPr>
          <w:sz w:val="24"/>
          <w:szCs w:val="24"/>
        </w:rPr>
      </w:pPr>
      <w:r>
        <w:rPr>
          <w:sz w:val="24"/>
          <w:szCs w:val="24"/>
        </w:rPr>
        <w:t>A partir dos resultados obtidos com base nas escolhas epistemológicas e metodológicas, foi possível evidenciar o impacto social da política nas dimensões de desenvolvimento sustentável. Conclui-se que a política pública Bora de Graça democratizou o acesso ao direito social ao transporte e possibilitou que outros direitos sociais sejam usufruídos, bem como os benefícios e o desenvolvimento que a política proporciona ao município. Acima de tudo, Caucaia passou a ser vista como uma cidade referência nacional, por beneficiar cerca de 2,5 milhões de passageiros por mês, sendo a maior cidade do Brasil a oferecer transporte público gratuito. Isto significa um aumento da autoestima dos moradores, e maior identidade com seu território. </w:t>
      </w:r>
    </w:p>
    <w:p w14:paraId="7A4661AF" w14:textId="791E6F6E" w:rsidR="008D27AC" w:rsidRDefault="00000000" w:rsidP="00D9765B">
      <w:pPr>
        <w:spacing w:line="360" w:lineRule="auto"/>
        <w:ind w:firstLine="709"/>
        <w:jc w:val="both"/>
        <w:rPr>
          <w:sz w:val="24"/>
          <w:szCs w:val="24"/>
        </w:rPr>
      </w:pPr>
      <w:r>
        <w:rPr>
          <w:sz w:val="24"/>
          <w:szCs w:val="24"/>
        </w:rPr>
        <w:t>Acrescenta-se que o presente estudo se limitou ao segundo semestre de 2024, com análises concluídas até janeiro de 2025. Destaca-se a importância de novos estudos para monitorar sua evolução, prevenir descontinuidade e garantir a efetividade. Ressalta-se, ainda, a necessidade de avaliações contínuas e metodologias diversas para aprofundar os impactos da tarifa zero em Caucaia a longo prazo.</w:t>
      </w:r>
    </w:p>
    <w:p w14:paraId="02016306" w14:textId="77777777" w:rsidR="00B73BAC" w:rsidRDefault="00000000">
      <w:pPr>
        <w:spacing w:line="240" w:lineRule="auto"/>
        <w:jc w:val="center"/>
        <w:rPr>
          <w:b/>
          <w:sz w:val="24"/>
          <w:szCs w:val="24"/>
        </w:rPr>
      </w:pPr>
      <w:r>
        <w:rPr>
          <w:b/>
          <w:sz w:val="24"/>
          <w:szCs w:val="24"/>
        </w:rPr>
        <w:t xml:space="preserve">REFERÊNCIAS </w:t>
      </w:r>
    </w:p>
    <w:p w14:paraId="36F810C8" w14:textId="77777777" w:rsidR="008D27AC" w:rsidRDefault="008D27AC">
      <w:pPr>
        <w:spacing w:line="240" w:lineRule="auto"/>
        <w:jc w:val="center"/>
        <w:rPr>
          <w:sz w:val="24"/>
          <w:szCs w:val="24"/>
        </w:rPr>
      </w:pPr>
    </w:p>
    <w:p w14:paraId="0A407BAE" w14:textId="77777777" w:rsidR="00B73BAC" w:rsidRDefault="00000000">
      <w:pPr>
        <w:spacing w:line="240" w:lineRule="auto"/>
        <w:rPr>
          <w:sz w:val="24"/>
          <w:szCs w:val="24"/>
        </w:rPr>
      </w:pPr>
      <w:r>
        <w:rPr>
          <w:sz w:val="24"/>
          <w:szCs w:val="24"/>
        </w:rPr>
        <w:t xml:space="preserve">ANDRÉS, Roberto. Revista Piauí, edição 216, artigo </w:t>
      </w:r>
      <w:r>
        <w:rPr>
          <w:b/>
          <w:sz w:val="24"/>
          <w:szCs w:val="24"/>
        </w:rPr>
        <w:t>Bolsa Família sobre rodas</w:t>
      </w:r>
      <w:r>
        <w:rPr>
          <w:sz w:val="24"/>
          <w:szCs w:val="24"/>
        </w:rPr>
        <w:t>, 2024.</w:t>
      </w:r>
    </w:p>
    <w:p w14:paraId="66D572EA" w14:textId="77777777" w:rsidR="00B73BAC" w:rsidRDefault="00B73BAC">
      <w:pPr>
        <w:spacing w:line="240" w:lineRule="auto"/>
        <w:rPr>
          <w:sz w:val="24"/>
          <w:szCs w:val="24"/>
        </w:rPr>
      </w:pPr>
    </w:p>
    <w:p w14:paraId="25A66E64" w14:textId="77777777" w:rsidR="00B73BAC" w:rsidRDefault="00000000">
      <w:pPr>
        <w:spacing w:line="240" w:lineRule="auto"/>
        <w:rPr>
          <w:sz w:val="24"/>
          <w:szCs w:val="24"/>
        </w:rPr>
      </w:pPr>
      <w:r>
        <w:rPr>
          <w:sz w:val="24"/>
          <w:szCs w:val="24"/>
        </w:rPr>
        <w:t xml:space="preserve">BRASIL. </w:t>
      </w:r>
      <w:r>
        <w:rPr>
          <w:b/>
          <w:sz w:val="24"/>
          <w:szCs w:val="24"/>
        </w:rPr>
        <w:t>Extrato do Quinto Termo Aditivo ao CONTRATO Nº 20160615002</w:t>
      </w:r>
      <w:r>
        <w:rPr>
          <w:sz w:val="24"/>
          <w:szCs w:val="24"/>
        </w:rPr>
        <w:t>, resultante da CONCORRÊNCIA PÚBLICA DE Nº 26.006/2015-CP. Diário Oficial de Caucaia, Poder Executivo, Caucaia, CE, 06 de setembro de 2021.  </w:t>
      </w:r>
    </w:p>
    <w:p w14:paraId="7CE5B263" w14:textId="77777777" w:rsidR="00B73BAC" w:rsidRDefault="00000000">
      <w:pPr>
        <w:spacing w:line="240" w:lineRule="auto"/>
        <w:rPr>
          <w:sz w:val="24"/>
          <w:szCs w:val="24"/>
        </w:rPr>
      </w:pPr>
      <w:r>
        <w:rPr>
          <w:sz w:val="24"/>
          <w:szCs w:val="24"/>
        </w:rPr>
        <w:t>. </w:t>
      </w:r>
    </w:p>
    <w:p w14:paraId="12F98BC9" w14:textId="77777777" w:rsidR="00B73BAC" w:rsidRDefault="00000000">
      <w:pPr>
        <w:spacing w:line="240" w:lineRule="auto"/>
        <w:rPr>
          <w:sz w:val="24"/>
          <w:szCs w:val="24"/>
        </w:rPr>
      </w:pPr>
      <w:r>
        <w:rPr>
          <w:sz w:val="24"/>
          <w:szCs w:val="24"/>
        </w:rPr>
        <w:t xml:space="preserve">BARCELLOS, V. </w:t>
      </w:r>
      <w:r>
        <w:rPr>
          <w:b/>
          <w:sz w:val="24"/>
          <w:szCs w:val="24"/>
        </w:rPr>
        <w:t>Uma Visão Da Mobilidade Urbana Sustentável</w:t>
      </w:r>
      <w:r>
        <w:rPr>
          <w:sz w:val="24"/>
          <w:szCs w:val="24"/>
        </w:rPr>
        <w:t>. Revista dos Transportes Públicos, v.1.s/l.  2006. </w:t>
      </w:r>
    </w:p>
    <w:p w14:paraId="0A744F67" w14:textId="77777777" w:rsidR="00B73BAC" w:rsidRDefault="00B73BAC">
      <w:pPr>
        <w:spacing w:line="240" w:lineRule="auto"/>
        <w:ind w:hanging="2"/>
        <w:rPr>
          <w:sz w:val="24"/>
          <w:szCs w:val="24"/>
        </w:rPr>
      </w:pPr>
    </w:p>
    <w:p w14:paraId="2B16CA6E" w14:textId="77777777" w:rsidR="00B73BAC" w:rsidRDefault="00000000">
      <w:pPr>
        <w:spacing w:line="240" w:lineRule="auto"/>
        <w:ind w:hanging="2"/>
        <w:rPr>
          <w:sz w:val="24"/>
          <w:szCs w:val="24"/>
        </w:rPr>
      </w:pPr>
      <w:r>
        <w:rPr>
          <w:sz w:val="24"/>
          <w:szCs w:val="24"/>
        </w:rPr>
        <w:t xml:space="preserve">CHACON, S. S. O Sertanejo e o caminho das águas: políticas públicas, modernidade e sustentabilidade no </w:t>
      </w:r>
      <w:proofErr w:type="spellStart"/>
      <w:r>
        <w:rPr>
          <w:sz w:val="24"/>
          <w:szCs w:val="24"/>
        </w:rPr>
        <w:t>semi-árido</w:t>
      </w:r>
      <w:proofErr w:type="spellEnd"/>
      <w:r>
        <w:rPr>
          <w:sz w:val="24"/>
          <w:szCs w:val="24"/>
        </w:rPr>
        <w:t>.</w:t>
      </w:r>
      <w:r>
        <w:rPr>
          <w:b/>
          <w:sz w:val="24"/>
          <w:szCs w:val="24"/>
        </w:rPr>
        <w:t xml:space="preserve"> Série Teses e Dissertações</w:t>
      </w:r>
      <w:r>
        <w:rPr>
          <w:sz w:val="24"/>
          <w:szCs w:val="24"/>
        </w:rPr>
        <w:t>. Vol. 8. BNB, Fortaleza, 2007.</w:t>
      </w:r>
    </w:p>
    <w:p w14:paraId="2460B7A7" w14:textId="77777777" w:rsidR="00B73BAC" w:rsidRDefault="00000000">
      <w:pPr>
        <w:spacing w:line="240" w:lineRule="auto"/>
        <w:rPr>
          <w:sz w:val="24"/>
          <w:szCs w:val="24"/>
        </w:rPr>
      </w:pPr>
      <w:r>
        <w:rPr>
          <w:sz w:val="24"/>
          <w:szCs w:val="24"/>
        </w:rPr>
        <w:t> </w:t>
      </w:r>
    </w:p>
    <w:p w14:paraId="2D724568" w14:textId="77777777" w:rsidR="00B73BAC" w:rsidRDefault="00000000">
      <w:pPr>
        <w:spacing w:line="240" w:lineRule="auto"/>
        <w:rPr>
          <w:sz w:val="24"/>
          <w:szCs w:val="24"/>
        </w:rPr>
      </w:pPr>
      <w:r>
        <w:rPr>
          <w:sz w:val="24"/>
          <w:szCs w:val="24"/>
        </w:rPr>
        <w:lastRenderedPageBreak/>
        <w:t xml:space="preserve">CHACON, S; NASCIMENTO, V. </w:t>
      </w:r>
      <w:r>
        <w:rPr>
          <w:b/>
          <w:sz w:val="24"/>
          <w:szCs w:val="24"/>
        </w:rPr>
        <w:t>Para além do (</w:t>
      </w:r>
      <w:proofErr w:type="spellStart"/>
      <w:r>
        <w:rPr>
          <w:b/>
          <w:sz w:val="24"/>
          <w:szCs w:val="24"/>
        </w:rPr>
        <w:t>pré</w:t>
      </w:r>
      <w:proofErr w:type="spellEnd"/>
      <w:r>
        <w:rPr>
          <w:b/>
          <w:sz w:val="24"/>
          <w:szCs w:val="24"/>
        </w:rPr>
        <w:t>)conceito e do discurso - Proposta de avaliação de políticas públicas com base na sustentabilidade</w:t>
      </w:r>
      <w:r>
        <w:rPr>
          <w:sz w:val="24"/>
          <w:szCs w:val="24"/>
        </w:rPr>
        <w:t>. Revista Aval. v. 4, n.18, p. 62-86, dez.2020. </w:t>
      </w:r>
    </w:p>
    <w:p w14:paraId="481C2953" w14:textId="0F745E7A" w:rsidR="00B73BAC" w:rsidRDefault="00000000">
      <w:pPr>
        <w:spacing w:line="240" w:lineRule="auto"/>
        <w:rPr>
          <w:sz w:val="24"/>
          <w:szCs w:val="24"/>
        </w:rPr>
      </w:pPr>
      <w:r>
        <w:rPr>
          <w:sz w:val="24"/>
          <w:szCs w:val="24"/>
        </w:rPr>
        <w:t>  </w:t>
      </w:r>
    </w:p>
    <w:p w14:paraId="7B6A23F9" w14:textId="77777777" w:rsidR="00B73BAC" w:rsidRDefault="00000000">
      <w:pPr>
        <w:spacing w:line="240" w:lineRule="auto"/>
        <w:rPr>
          <w:sz w:val="24"/>
          <w:szCs w:val="24"/>
        </w:rPr>
      </w:pPr>
      <w:r>
        <w:rPr>
          <w:sz w:val="24"/>
          <w:szCs w:val="24"/>
        </w:rPr>
        <w:t>CAUCAIA. Decreto Lei Nº 1.221, de 4 de agosto de 2021.</w:t>
      </w:r>
      <w:r>
        <w:rPr>
          <w:b/>
          <w:sz w:val="24"/>
          <w:szCs w:val="24"/>
        </w:rPr>
        <w:t xml:space="preserve">Estabelece a </w:t>
      </w:r>
      <w:proofErr w:type="gramStart"/>
      <w:r>
        <w:rPr>
          <w:b/>
          <w:sz w:val="24"/>
          <w:szCs w:val="24"/>
        </w:rPr>
        <w:t>“ tarifa</w:t>
      </w:r>
      <w:proofErr w:type="gramEnd"/>
      <w:r>
        <w:rPr>
          <w:b/>
          <w:sz w:val="24"/>
          <w:szCs w:val="24"/>
        </w:rPr>
        <w:t xml:space="preserve"> zero” no sistema de transporte público municipal convencional de passageiros e dá outras providências</w:t>
      </w:r>
      <w:r>
        <w:rPr>
          <w:sz w:val="24"/>
          <w:szCs w:val="24"/>
        </w:rPr>
        <w:t>. Caucaia, CE.</w:t>
      </w:r>
    </w:p>
    <w:p w14:paraId="31F30AF5" w14:textId="77777777" w:rsidR="00B73BAC" w:rsidRDefault="00B73BAC">
      <w:pPr>
        <w:spacing w:line="240" w:lineRule="auto"/>
        <w:rPr>
          <w:sz w:val="24"/>
          <w:szCs w:val="24"/>
        </w:rPr>
      </w:pPr>
    </w:p>
    <w:p w14:paraId="53F82A73" w14:textId="77777777" w:rsidR="00B73BAC" w:rsidRDefault="00000000">
      <w:pPr>
        <w:spacing w:line="240" w:lineRule="auto"/>
        <w:rPr>
          <w:sz w:val="24"/>
          <w:szCs w:val="24"/>
        </w:rPr>
      </w:pPr>
      <w:r>
        <w:rPr>
          <w:sz w:val="24"/>
          <w:szCs w:val="24"/>
        </w:rPr>
        <w:t>GIL, Antônio Carlos.</w:t>
      </w:r>
      <w:r>
        <w:rPr>
          <w:b/>
          <w:sz w:val="24"/>
          <w:szCs w:val="24"/>
        </w:rPr>
        <w:t xml:space="preserve"> Como elaborar projetos de pesquisa.</w:t>
      </w:r>
      <w:r>
        <w:rPr>
          <w:sz w:val="24"/>
          <w:szCs w:val="24"/>
        </w:rPr>
        <w:t xml:space="preserve"> 4°edição, São Paulo: Atlas, 2002</w:t>
      </w:r>
    </w:p>
    <w:p w14:paraId="7281689F" w14:textId="77777777" w:rsidR="00B73BAC" w:rsidRDefault="00000000">
      <w:pPr>
        <w:spacing w:line="240" w:lineRule="auto"/>
        <w:rPr>
          <w:sz w:val="24"/>
          <w:szCs w:val="24"/>
        </w:rPr>
      </w:pPr>
      <w:r>
        <w:rPr>
          <w:sz w:val="24"/>
          <w:szCs w:val="24"/>
        </w:rPr>
        <w:t> </w:t>
      </w:r>
    </w:p>
    <w:p w14:paraId="69979CB6" w14:textId="77777777" w:rsidR="00B73BAC" w:rsidRDefault="00000000">
      <w:pPr>
        <w:spacing w:line="240" w:lineRule="auto"/>
        <w:rPr>
          <w:sz w:val="24"/>
          <w:szCs w:val="24"/>
        </w:rPr>
      </w:pPr>
      <w:r>
        <w:rPr>
          <w:sz w:val="24"/>
          <w:szCs w:val="24"/>
        </w:rPr>
        <w:t xml:space="preserve">HOWLETT, M. RAMESH, M; PERL, A. </w:t>
      </w:r>
      <w:r>
        <w:rPr>
          <w:b/>
          <w:sz w:val="24"/>
          <w:szCs w:val="24"/>
        </w:rPr>
        <w:t xml:space="preserve">Política Pública: seus ciclos e subsistemas: uma abordagem integral. </w:t>
      </w:r>
      <w:r>
        <w:rPr>
          <w:sz w:val="24"/>
          <w:szCs w:val="24"/>
        </w:rPr>
        <w:t>Rio de Janeiro: Elsevier, 2013. </w:t>
      </w:r>
    </w:p>
    <w:p w14:paraId="7863E32E" w14:textId="77777777" w:rsidR="00B73BAC" w:rsidRDefault="00000000">
      <w:pPr>
        <w:spacing w:line="240" w:lineRule="auto"/>
        <w:rPr>
          <w:sz w:val="24"/>
          <w:szCs w:val="24"/>
        </w:rPr>
      </w:pPr>
      <w:r>
        <w:rPr>
          <w:sz w:val="24"/>
          <w:szCs w:val="24"/>
        </w:rPr>
        <w:t> </w:t>
      </w:r>
    </w:p>
    <w:p w14:paraId="2B0F5F96" w14:textId="77777777" w:rsidR="00B73BAC" w:rsidRDefault="00000000">
      <w:pPr>
        <w:spacing w:line="240" w:lineRule="auto"/>
        <w:rPr>
          <w:sz w:val="24"/>
          <w:szCs w:val="24"/>
        </w:rPr>
      </w:pPr>
      <w:r>
        <w:rPr>
          <w:sz w:val="24"/>
          <w:szCs w:val="24"/>
        </w:rPr>
        <w:t xml:space="preserve">ITDP. </w:t>
      </w:r>
      <w:r>
        <w:rPr>
          <w:b/>
          <w:sz w:val="24"/>
          <w:szCs w:val="24"/>
        </w:rPr>
        <w:t>Instituto De Políticas De Transporte E Desenvolvimento</w:t>
      </w:r>
      <w:r>
        <w:rPr>
          <w:sz w:val="24"/>
          <w:szCs w:val="24"/>
        </w:rPr>
        <w:t>. Vida e Morte de Rodovias Urbanas. Abril 2013. Disponível em: </w:t>
      </w:r>
    </w:p>
    <w:p w14:paraId="07D2CB59" w14:textId="77777777" w:rsidR="00B73BAC" w:rsidRDefault="00000000">
      <w:pPr>
        <w:spacing w:line="240" w:lineRule="auto"/>
        <w:rPr>
          <w:sz w:val="24"/>
          <w:szCs w:val="24"/>
        </w:rPr>
      </w:pPr>
      <w:r>
        <w:rPr>
          <w:sz w:val="24"/>
          <w:szCs w:val="24"/>
        </w:rPr>
        <w:t>&lt;https://wrirosscities.org/sites/default/files/Vida-Morte-Rodovias-Urbanas-EMBARQ.pdf&gt;. Acesso em: 23 fev. 2025. </w:t>
      </w:r>
    </w:p>
    <w:p w14:paraId="3CCFBE3E" w14:textId="77777777" w:rsidR="00B73BAC" w:rsidRDefault="00B73BAC">
      <w:pPr>
        <w:spacing w:line="240" w:lineRule="auto"/>
        <w:rPr>
          <w:sz w:val="24"/>
          <w:szCs w:val="24"/>
        </w:rPr>
      </w:pPr>
    </w:p>
    <w:p w14:paraId="08C2311C" w14:textId="77777777" w:rsidR="00B73BAC" w:rsidRDefault="00000000">
      <w:pPr>
        <w:spacing w:line="240" w:lineRule="auto"/>
        <w:rPr>
          <w:sz w:val="24"/>
          <w:szCs w:val="24"/>
        </w:rPr>
      </w:pPr>
      <w:r>
        <w:rPr>
          <w:sz w:val="24"/>
          <w:szCs w:val="24"/>
        </w:rPr>
        <w:t xml:space="preserve">IBGE - Instituto Brasileiro de Geografia e Estatística. </w:t>
      </w:r>
      <w:r>
        <w:rPr>
          <w:b/>
          <w:sz w:val="24"/>
          <w:szCs w:val="24"/>
        </w:rPr>
        <w:t>Censo de 2022</w:t>
      </w:r>
      <w:r>
        <w:rPr>
          <w:sz w:val="24"/>
          <w:szCs w:val="24"/>
        </w:rPr>
        <w:t>.  </w:t>
      </w:r>
    </w:p>
    <w:p w14:paraId="3E77C34F" w14:textId="77777777" w:rsidR="00415B05" w:rsidRDefault="00415B05">
      <w:pPr>
        <w:spacing w:line="240" w:lineRule="auto"/>
        <w:rPr>
          <w:sz w:val="24"/>
          <w:szCs w:val="24"/>
        </w:rPr>
      </w:pPr>
    </w:p>
    <w:p w14:paraId="1CE2B7D2" w14:textId="77777777" w:rsidR="00B73BAC" w:rsidRDefault="00000000">
      <w:pPr>
        <w:spacing w:line="240" w:lineRule="auto"/>
        <w:rPr>
          <w:sz w:val="24"/>
          <w:szCs w:val="24"/>
        </w:rPr>
      </w:pPr>
      <w:r>
        <w:rPr>
          <w:sz w:val="24"/>
          <w:szCs w:val="24"/>
        </w:rPr>
        <w:t>LOPES, N. A. Realidade ou Utopia: Tarifa zero Em Viçosa/MG? Revista Vértices, Minas Gerais, vol. 19, n. 3, p. 111–138, dezembro 2017. </w:t>
      </w:r>
    </w:p>
    <w:p w14:paraId="40B2B30E" w14:textId="77777777" w:rsidR="00B73BAC" w:rsidRDefault="00000000">
      <w:pPr>
        <w:spacing w:line="240" w:lineRule="auto"/>
        <w:rPr>
          <w:sz w:val="24"/>
          <w:szCs w:val="24"/>
        </w:rPr>
      </w:pPr>
      <w:r>
        <w:rPr>
          <w:sz w:val="24"/>
          <w:szCs w:val="24"/>
        </w:rPr>
        <w:t> </w:t>
      </w:r>
    </w:p>
    <w:p w14:paraId="228BE9AB" w14:textId="77777777" w:rsidR="00B73BAC" w:rsidRDefault="00000000">
      <w:pPr>
        <w:spacing w:line="240" w:lineRule="auto"/>
        <w:rPr>
          <w:sz w:val="24"/>
          <w:szCs w:val="24"/>
        </w:rPr>
      </w:pPr>
      <w:r>
        <w:rPr>
          <w:sz w:val="24"/>
          <w:szCs w:val="24"/>
        </w:rPr>
        <w:t xml:space="preserve">MINAYO, Maria Cecília de S. (Org). </w:t>
      </w:r>
      <w:r>
        <w:rPr>
          <w:b/>
          <w:sz w:val="24"/>
          <w:szCs w:val="24"/>
        </w:rPr>
        <w:t xml:space="preserve">Pesquisa Social: teoria, método e criatividade. </w:t>
      </w:r>
      <w:r>
        <w:rPr>
          <w:sz w:val="24"/>
          <w:szCs w:val="24"/>
        </w:rPr>
        <w:t>Petrópolis RJ: Vozes, 2013.</w:t>
      </w:r>
    </w:p>
    <w:p w14:paraId="6C9006D5" w14:textId="77777777" w:rsidR="00B73BAC" w:rsidRDefault="00B73BAC">
      <w:pPr>
        <w:spacing w:line="240" w:lineRule="auto"/>
        <w:rPr>
          <w:sz w:val="24"/>
          <w:szCs w:val="24"/>
        </w:rPr>
      </w:pPr>
    </w:p>
    <w:p w14:paraId="6C62FEAE" w14:textId="77777777" w:rsidR="00B73BAC" w:rsidRDefault="00000000">
      <w:pPr>
        <w:spacing w:line="240" w:lineRule="auto"/>
        <w:rPr>
          <w:sz w:val="24"/>
          <w:szCs w:val="24"/>
        </w:rPr>
      </w:pPr>
      <w:r>
        <w:rPr>
          <w:sz w:val="24"/>
          <w:szCs w:val="24"/>
        </w:rPr>
        <w:t xml:space="preserve">SECCHI, L. </w:t>
      </w:r>
      <w:r>
        <w:rPr>
          <w:b/>
          <w:sz w:val="24"/>
          <w:szCs w:val="24"/>
        </w:rPr>
        <w:t>Políticas Públicas: conceitos, esquemas de análise, casos práticos.</w:t>
      </w:r>
      <w:r>
        <w:rPr>
          <w:sz w:val="24"/>
          <w:szCs w:val="24"/>
        </w:rPr>
        <w:t xml:space="preserve"> São Paulo: </w:t>
      </w:r>
      <w:proofErr w:type="spellStart"/>
      <w:r>
        <w:rPr>
          <w:sz w:val="24"/>
          <w:szCs w:val="24"/>
        </w:rPr>
        <w:t>Cengage</w:t>
      </w:r>
      <w:proofErr w:type="spellEnd"/>
      <w:r>
        <w:rPr>
          <w:sz w:val="24"/>
          <w:szCs w:val="24"/>
        </w:rPr>
        <w:t xml:space="preserve"> Learning, 2010 </w:t>
      </w:r>
    </w:p>
    <w:p w14:paraId="2CD1493B" w14:textId="77777777" w:rsidR="00B73BAC" w:rsidRDefault="00000000">
      <w:pPr>
        <w:spacing w:line="240" w:lineRule="auto"/>
        <w:rPr>
          <w:sz w:val="24"/>
          <w:szCs w:val="24"/>
        </w:rPr>
      </w:pPr>
      <w:r>
        <w:rPr>
          <w:sz w:val="24"/>
          <w:szCs w:val="24"/>
        </w:rPr>
        <w:t> </w:t>
      </w:r>
    </w:p>
    <w:p w14:paraId="73F32530" w14:textId="77777777" w:rsidR="00B73BAC" w:rsidRDefault="00000000">
      <w:pPr>
        <w:spacing w:line="240" w:lineRule="auto"/>
        <w:rPr>
          <w:sz w:val="24"/>
          <w:szCs w:val="24"/>
        </w:rPr>
      </w:pPr>
      <w:r>
        <w:rPr>
          <w:sz w:val="24"/>
          <w:szCs w:val="24"/>
        </w:rPr>
        <w:t>SANTINI, D.</w:t>
      </w:r>
      <w:r>
        <w:rPr>
          <w:b/>
          <w:sz w:val="24"/>
          <w:szCs w:val="24"/>
        </w:rPr>
        <w:t xml:space="preserve"> Passe Livre: As Possibilidades da Tarifa Zero Contra a Distopia da Uberização</w:t>
      </w:r>
      <w:r>
        <w:rPr>
          <w:sz w:val="24"/>
          <w:szCs w:val="24"/>
        </w:rPr>
        <w:t>. São Paulo: Autonomia Literária, 2019. </w:t>
      </w:r>
    </w:p>
    <w:p w14:paraId="51E68A96" w14:textId="77777777" w:rsidR="00B73BAC" w:rsidRDefault="00B73BAC">
      <w:pPr>
        <w:spacing w:line="240" w:lineRule="auto"/>
        <w:rPr>
          <w:sz w:val="24"/>
          <w:szCs w:val="24"/>
        </w:rPr>
      </w:pPr>
    </w:p>
    <w:p w14:paraId="145F88EB" w14:textId="77777777" w:rsidR="00B73BAC" w:rsidRDefault="00000000">
      <w:pPr>
        <w:spacing w:line="240" w:lineRule="auto"/>
        <w:rPr>
          <w:sz w:val="24"/>
          <w:szCs w:val="24"/>
        </w:rPr>
      </w:pPr>
      <w:r>
        <w:rPr>
          <w:sz w:val="24"/>
          <w:szCs w:val="24"/>
        </w:rPr>
        <w:t>VITORVALIMVT.</w:t>
      </w:r>
      <w:r>
        <w:rPr>
          <w:b/>
          <w:sz w:val="24"/>
          <w:szCs w:val="24"/>
        </w:rPr>
        <w:t xml:space="preserve"> Boa notícia! A partir do dia 1 de setembro todos os </w:t>
      </w:r>
      <w:proofErr w:type="spellStart"/>
      <w:r>
        <w:rPr>
          <w:b/>
          <w:sz w:val="24"/>
          <w:szCs w:val="24"/>
        </w:rPr>
        <w:t>caucaiense</w:t>
      </w:r>
      <w:proofErr w:type="spellEnd"/>
      <w:r>
        <w:rPr>
          <w:b/>
          <w:sz w:val="24"/>
          <w:szCs w:val="24"/>
        </w:rPr>
        <w:t xml:space="preserve"> terão transporte público gratuito</w:t>
      </w:r>
      <w:r>
        <w:rPr>
          <w:sz w:val="24"/>
          <w:szCs w:val="24"/>
        </w:rPr>
        <w:t xml:space="preserve">. Instagram. Caucaia. 23 de </w:t>
      </w:r>
      <w:proofErr w:type="gramStart"/>
      <w:r>
        <w:rPr>
          <w:sz w:val="24"/>
          <w:szCs w:val="24"/>
        </w:rPr>
        <w:t>Julho</w:t>
      </w:r>
      <w:proofErr w:type="gramEnd"/>
      <w:r>
        <w:rPr>
          <w:sz w:val="24"/>
          <w:szCs w:val="24"/>
        </w:rPr>
        <w:t xml:space="preserve"> de 2021. Disponível em:</w:t>
      </w:r>
    </w:p>
    <w:p w14:paraId="30144C7B" w14:textId="77777777" w:rsidR="00B73BAC" w:rsidRDefault="00000000">
      <w:pPr>
        <w:spacing w:line="240" w:lineRule="auto"/>
        <w:rPr>
          <w:sz w:val="24"/>
          <w:szCs w:val="24"/>
        </w:rPr>
      </w:pPr>
      <w:r>
        <w:rPr>
          <w:sz w:val="24"/>
          <w:szCs w:val="24"/>
        </w:rPr>
        <w:t>&lt;</w:t>
      </w:r>
      <w:hyperlink r:id="rId8">
        <w:r w:rsidR="00B73BAC">
          <w:rPr>
            <w:color w:val="0563C1"/>
            <w:sz w:val="24"/>
            <w:szCs w:val="24"/>
            <w:u w:val="single"/>
          </w:rPr>
          <w:t>https://www.instagram.com/tv/CRrn7iOnPD9/?igsh=ZnVvNHFydGZyd2Q5</w:t>
        </w:r>
      </w:hyperlink>
      <w:r>
        <w:rPr>
          <w:sz w:val="24"/>
          <w:szCs w:val="24"/>
        </w:rPr>
        <w:t>&gt;. Acesso em: 24 de fevereiro de 2025. </w:t>
      </w:r>
    </w:p>
    <w:p w14:paraId="15C6CB80" w14:textId="77777777" w:rsidR="00B73BAC" w:rsidRDefault="00000000">
      <w:pPr>
        <w:spacing w:line="240" w:lineRule="auto"/>
      </w:pPr>
      <w:r>
        <w:rPr>
          <w:sz w:val="24"/>
          <w:szCs w:val="24"/>
        </w:rPr>
        <w:t> </w:t>
      </w:r>
    </w:p>
    <w:sectPr w:rsidR="00B73BAC">
      <w:headerReference w:type="default" r:id="rId9"/>
      <w:pgSz w:w="11906" w:h="16838"/>
      <w:pgMar w:top="3458" w:right="1134" w:bottom="1134" w:left="1701" w:header="340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C5A99" w14:textId="77777777" w:rsidR="003D26EE" w:rsidRDefault="003D26EE">
      <w:pPr>
        <w:spacing w:line="240" w:lineRule="auto"/>
      </w:pPr>
      <w:r>
        <w:separator/>
      </w:r>
    </w:p>
  </w:endnote>
  <w:endnote w:type="continuationSeparator" w:id="0">
    <w:p w14:paraId="6A9CA1F1" w14:textId="77777777" w:rsidR="003D26EE" w:rsidRDefault="003D2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018C8" w14:textId="77777777" w:rsidR="003D26EE" w:rsidRDefault="003D26EE">
      <w:pPr>
        <w:spacing w:line="240" w:lineRule="auto"/>
      </w:pPr>
      <w:r>
        <w:separator/>
      </w:r>
    </w:p>
  </w:footnote>
  <w:footnote w:type="continuationSeparator" w:id="0">
    <w:p w14:paraId="22264C8A" w14:textId="77777777" w:rsidR="003D26EE" w:rsidRDefault="003D26EE">
      <w:pPr>
        <w:spacing w:line="240" w:lineRule="auto"/>
      </w:pPr>
      <w:r>
        <w:continuationSeparator/>
      </w:r>
    </w:p>
  </w:footnote>
  <w:footnote w:id="1">
    <w:p w14:paraId="17537EC6" w14:textId="77777777" w:rsidR="00131DA2" w:rsidRDefault="00131DA2" w:rsidP="00131DA2">
      <w:pPr>
        <w:pStyle w:val="Textodenotaderodap"/>
        <w:spacing w:line="240" w:lineRule="auto"/>
        <w:jc w:val="both"/>
      </w:pPr>
      <w:r>
        <w:rPr>
          <w:rStyle w:val="Refdenotaderodap"/>
        </w:rPr>
        <w:footnoteRef/>
      </w:r>
      <w:r>
        <w:t xml:space="preserve"> </w:t>
      </w:r>
      <w:r>
        <w:rPr>
          <w:rStyle w:val="normaltextrun"/>
          <w:color w:val="000000"/>
          <w:shd w:val="clear" w:color="auto" w:fill="FFFFFF"/>
          <w:lang w:val="pt-PT"/>
        </w:rPr>
        <w:t>Graduanda em Gestão de Políticas Públicas DEINTER. UFC, alexiaalvesgpp@alu.ufc.br</w:t>
      </w:r>
    </w:p>
  </w:footnote>
  <w:footnote w:id="2">
    <w:p w14:paraId="79333E0E" w14:textId="77777777" w:rsidR="00131DA2" w:rsidRDefault="00131DA2" w:rsidP="00131DA2">
      <w:pPr>
        <w:pStyle w:val="Textodenotaderodap"/>
        <w:spacing w:line="240" w:lineRule="auto"/>
        <w:jc w:val="both"/>
      </w:pPr>
      <w:r>
        <w:rPr>
          <w:rStyle w:val="Refdenotaderodap"/>
        </w:rPr>
        <w:footnoteRef/>
      </w:r>
      <w:r>
        <w:t xml:space="preserve"> </w:t>
      </w:r>
      <w:r w:rsidRPr="007D4222">
        <w:t xml:space="preserve">Graduando em Gestão de Políticas Públicas DEINTER. </w:t>
      </w:r>
      <w:r>
        <w:t>UFC</w:t>
      </w:r>
      <w:r w:rsidRPr="007D4222">
        <w:t xml:space="preserve">, </w:t>
      </w:r>
      <w:r w:rsidRPr="004A590D">
        <w:t>emanuellcabral96@gmail.com</w:t>
      </w:r>
    </w:p>
  </w:footnote>
  <w:footnote w:id="3">
    <w:p w14:paraId="3DE08DE8" w14:textId="77777777" w:rsidR="00131DA2" w:rsidRDefault="00131DA2" w:rsidP="00131DA2">
      <w:pPr>
        <w:pStyle w:val="Textodenotaderodap"/>
        <w:spacing w:line="240" w:lineRule="auto"/>
        <w:jc w:val="both"/>
      </w:pPr>
      <w:r>
        <w:rPr>
          <w:rStyle w:val="Refdenotaderodap"/>
        </w:rPr>
        <w:footnoteRef/>
      </w:r>
      <w:r>
        <w:t xml:space="preserve"> </w:t>
      </w:r>
      <w:r w:rsidRPr="007D4222">
        <w:t xml:space="preserve">Graduando em Gestão de Políticas Públicas DEINTER. </w:t>
      </w:r>
      <w:r>
        <w:t>UFC</w:t>
      </w:r>
      <w:r w:rsidRPr="007D4222">
        <w:t xml:space="preserve">, </w:t>
      </w:r>
      <w:r w:rsidRPr="004A590D">
        <w:t>pablossnascimento@alu.ufc.br</w:t>
      </w:r>
    </w:p>
  </w:footnote>
  <w:footnote w:id="4">
    <w:p w14:paraId="6AB0C9A2" w14:textId="77777777" w:rsidR="00131DA2" w:rsidRDefault="00131DA2" w:rsidP="00131DA2">
      <w:pPr>
        <w:pStyle w:val="Textodenotaderodap"/>
        <w:spacing w:line="240" w:lineRule="auto"/>
        <w:jc w:val="both"/>
      </w:pPr>
      <w:r>
        <w:rPr>
          <w:rStyle w:val="Refdenotaderodap"/>
        </w:rPr>
        <w:footnoteRef/>
      </w:r>
      <w:r>
        <w:t xml:space="preserve"> </w:t>
      </w:r>
      <w:r>
        <w:rPr>
          <w:rStyle w:val="normaltextrun"/>
          <w:color w:val="000000"/>
          <w:shd w:val="clear" w:color="auto" w:fill="FFFFFF"/>
          <w:lang w:val="pt-PT"/>
        </w:rPr>
        <w:t xml:space="preserve">Graduanda em Gestão de Políticas Públicas DEINTER. UFC, </w:t>
      </w:r>
      <w:r w:rsidRPr="004A590D">
        <w:rPr>
          <w:rStyle w:val="normaltextrun"/>
          <w:color w:val="000000"/>
          <w:shd w:val="clear" w:color="auto" w:fill="FFFFFF"/>
          <w:lang w:val="pt-PT"/>
        </w:rPr>
        <w:t>suziannesousa@alu.ufc.br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AEA1" w14:textId="77777777" w:rsidR="00B73BAC" w:rsidRDefault="00000000">
    <w:r>
      <w:rPr>
        <w:noProof/>
      </w:rPr>
      <w:drawing>
        <wp:anchor distT="0" distB="0" distL="0" distR="0" simplePos="0" relativeHeight="251658240" behindDoc="1" locked="0" layoutInCell="1" hidden="0" allowOverlap="1" wp14:anchorId="0A00FBE3" wp14:editId="62CBED9B">
          <wp:simplePos x="0" y="0"/>
          <wp:positionH relativeFrom="page">
            <wp:posOffset>0</wp:posOffset>
          </wp:positionH>
          <wp:positionV relativeFrom="page">
            <wp:posOffset>6985</wp:posOffset>
          </wp:positionV>
          <wp:extent cx="7560310" cy="1069213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 t="-4" b="-4"/>
                  <a:stretch>
                    <a:fillRect/>
                  </a:stretch>
                </pic:blipFill>
                <pic:spPr>
                  <a:xfrm>
                    <a:off x="0" y="0"/>
                    <a:ext cx="7560310" cy="106921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BAC"/>
    <w:rsid w:val="00035EB0"/>
    <w:rsid w:val="000C0DFA"/>
    <w:rsid w:val="00131DA2"/>
    <w:rsid w:val="001C36A5"/>
    <w:rsid w:val="00244741"/>
    <w:rsid w:val="002C22E3"/>
    <w:rsid w:val="003D26EE"/>
    <w:rsid w:val="003D5AD2"/>
    <w:rsid w:val="003F2173"/>
    <w:rsid w:val="00415B05"/>
    <w:rsid w:val="004A590D"/>
    <w:rsid w:val="005B048C"/>
    <w:rsid w:val="00747EFC"/>
    <w:rsid w:val="007977C8"/>
    <w:rsid w:val="00877753"/>
    <w:rsid w:val="008D27AC"/>
    <w:rsid w:val="00A219AF"/>
    <w:rsid w:val="00A82F27"/>
    <w:rsid w:val="00AE1FA5"/>
    <w:rsid w:val="00AF3959"/>
    <w:rsid w:val="00B73BAC"/>
    <w:rsid w:val="00B7773D"/>
    <w:rsid w:val="00BB417F"/>
    <w:rsid w:val="00C04728"/>
    <w:rsid w:val="00CA08A4"/>
    <w:rsid w:val="00D64C1C"/>
    <w:rsid w:val="00D7270D"/>
    <w:rsid w:val="00D9765B"/>
    <w:rsid w:val="00E21C98"/>
    <w:rsid w:val="00F3141B"/>
    <w:rsid w:val="00FF74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9D5D"/>
  <w15:docId w15:val="{9080BB61-2584-428C-B5FE-01982D65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nhideWhenUsed/>
    <w:rsid w:val="004A590D"/>
    <w:rPr>
      <w:sz w:val="20"/>
      <w:szCs w:val="20"/>
    </w:rPr>
  </w:style>
  <w:style w:type="character" w:customStyle="1" w:styleId="TextodenotaderodapChar">
    <w:name w:val="Texto de nota de rodapé Char"/>
    <w:basedOn w:val="Fontepargpadro"/>
    <w:link w:val="Textodenotaderodap"/>
    <w:rsid w:val="004A590D"/>
    <w:rPr>
      <w:sz w:val="20"/>
      <w:szCs w:val="20"/>
    </w:rPr>
  </w:style>
  <w:style w:type="character" w:styleId="Refdenotaderodap">
    <w:name w:val="footnote reference"/>
    <w:unhideWhenUsed/>
    <w:rsid w:val="004A590D"/>
    <w:rPr>
      <w:vertAlign w:val="superscript"/>
    </w:rPr>
  </w:style>
  <w:style w:type="character" w:customStyle="1" w:styleId="normaltextrun">
    <w:name w:val="normaltextrun"/>
    <w:basedOn w:val="Fontepargpadro"/>
    <w:rsid w:val="004A590D"/>
  </w:style>
  <w:style w:type="paragraph" w:styleId="Pr-formataoHTML">
    <w:name w:val="HTML Preformatted"/>
    <w:basedOn w:val="Normal"/>
    <w:link w:val="Pr-formataoHTMLChar"/>
    <w:uiPriority w:val="99"/>
    <w:semiHidden/>
    <w:unhideWhenUsed/>
    <w:rsid w:val="003D5AD2"/>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3D5AD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86980">
      <w:bodyDiv w:val="1"/>
      <w:marLeft w:val="0"/>
      <w:marRight w:val="0"/>
      <w:marTop w:val="0"/>
      <w:marBottom w:val="0"/>
      <w:divBdr>
        <w:top w:val="none" w:sz="0" w:space="0" w:color="auto"/>
        <w:left w:val="none" w:sz="0" w:space="0" w:color="auto"/>
        <w:bottom w:val="none" w:sz="0" w:space="0" w:color="auto"/>
        <w:right w:val="none" w:sz="0" w:space="0" w:color="auto"/>
      </w:divBdr>
    </w:div>
    <w:div w:id="657920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v/CRrn7iOnPD9/?igsh=ZnVvNHFydGZyd2Q5"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3435</Words>
  <Characters>18555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Suderly Alves</dc:creator>
  <cp:lastModifiedBy>alexia alves romualdo</cp:lastModifiedBy>
  <cp:revision>2</cp:revision>
  <dcterms:created xsi:type="dcterms:W3CDTF">2025-07-05T18:54:00Z</dcterms:created>
  <dcterms:modified xsi:type="dcterms:W3CDTF">2025-07-05T18:54:00Z</dcterms:modified>
</cp:coreProperties>
</file>