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B22C9" w14:textId="77777777" w:rsidR="0061230F" w:rsidRDefault="00124BFE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POLÍTICAS PÚBLICAS DE ESPORTE E LAZER EM SÃO LUÍS/MA: </w:t>
      </w:r>
      <w:r>
        <w:rPr>
          <w:sz w:val="24"/>
          <w:szCs w:val="24"/>
        </w:rPr>
        <w:t>Qual o papel da SEMDEL na garantia desse direito?</w:t>
      </w:r>
    </w:p>
    <w:p w14:paraId="4E819213" w14:textId="42D65C11" w:rsidR="00022EE6" w:rsidRDefault="00022EE6" w:rsidP="00022EE6">
      <w:pPr>
        <w:spacing w:line="360" w:lineRule="auto"/>
        <w:jc w:val="right"/>
        <w:rPr>
          <w:sz w:val="24"/>
          <w:szCs w:val="24"/>
        </w:rPr>
      </w:pPr>
      <w:r w:rsidRPr="00022EE6">
        <w:rPr>
          <w:sz w:val="24"/>
          <w:szCs w:val="24"/>
        </w:rPr>
        <w:t>Efraim Lopes Soares</w:t>
      </w:r>
      <w:r>
        <w:rPr>
          <w:rStyle w:val="Refdenotaderodap"/>
          <w:sz w:val="24"/>
          <w:szCs w:val="24"/>
        </w:rPr>
        <w:footnoteReference w:id="1"/>
      </w:r>
    </w:p>
    <w:p w14:paraId="62F30E90" w14:textId="1F661FD2" w:rsidR="00022EE6" w:rsidRDefault="00022EE6" w:rsidP="00022EE6">
      <w:pPr>
        <w:spacing w:line="360" w:lineRule="auto"/>
        <w:jc w:val="right"/>
        <w:rPr>
          <w:sz w:val="24"/>
          <w:szCs w:val="24"/>
        </w:rPr>
      </w:pPr>
      <w:r w:rsidRPr="00022EE6">
        <w:rPr>
          <w:sz w:val="24"/>
          <w:szCs w:val="24"/>
        </w:rPr>
        <w:t xml:space="preserve">Silvana Martins de </w:t>
      </w:r>
      <w:proofErr w:type="spellStart"/>
      <w:r w:rsidRPr="00022EE6">
        <w:rPr>
          <w:sz w:val="24"/>
          <w:szCs w:val="24"/>
        </w:rPr>
        <w:t>Araujo</w:t>
      </w:r>
      <w:proofErr w:type="spellEnd"/>
      <w:r>
        <w:rPr>
          <w:rStyle w:val="Refdenotaderodap"/>
          <w:sz w:val="24"/>
          <w:szCs w:val="24"/>
        </w:rPr>
        <w:footnoteReference w:id="2"/>
      </w:r>
    </w:p>
    <w:p w14:paraId="2DB2C0D6" w14:textId="042E69E5" w:rsidR="00022EE6" w:rsidRDefault="00022EE6" w:rsidP="00022EE6">
      <w:pPr>
        <w:spacing w:line="360" w:lineRule="auto"/>
        <w:jc w:val="right"/>
        <w:rPr>
          <w:sz w:val="24"/>
          <w:szCs w:val="24"/>
        </w:rPr>
      </w:pPr>
      <w:proofErr w:type="spellStart"/>
      <w:r w:rsidRPr="00022EE6">
        <w:rPr>
          <w:sz w:val="24"/>
          <w:szCs w:val="24"/>
        </w:rPr>
        <w:t>Layene</w:t>
      </w:r>
      <w:proofErr w:type="spellEnd"/>
      <w:r w:rsidRPr="00022EE6">
        <w:rPr>
          <w:sz w:val="24"/>
          <w:szCs w:val="24"/>
        </w:rPr>
        <w:t xml:space="preserve"> Maria Coelho Santos</w:t>
      </w:r>
      <w:r>
        <w:rPr>
          <w:rStyle w:val="Refdenotaderodap"/>
          <w:sz w:val="24"/>
          <w:szCs w:val="24"/>
        </w:rPr>
        <w:footnoteReference w:id="3"/>
      </w:r>
    </w:p>
    <w:p w14:paraId="00AA881A" w14:textId="1FCB9BCB" w:rsidR="00022EE6" w:rsidRDefault="00022EE6" w:rsidP="00022EE6">
      <w:pPr>
        <w:spacing w:line="360" w:lineRule="auto"/>
        <w:jc w:val="right"/>
        <w:rPr>
          <w:sz w:val="24"/>
          <w:szCs w:val="24"/>
        </w:rPr>
      </w:pPr>
      <w:r w:rsidRPr="00022EE6">
        <w:rPr>
          <w:sz w:val="24"/>
          <w:szCs w:val="24"/>
        </w:rPr>
        <w:t xml:space="preserve">Sara </w:t>
      </w:r>
      <w:proofErr w:type="spellStart"/>
      <w:r w:rsidRPr="00022EE6">
        <w:rPr>
          <w:sz w:val="24"/>
          <w:szCs w:val="24"/>
        </w:rPr>
        <w:t>Hingrid</w:t>
      </w:r>
      <w:proofErr w:type="spellEnd"/>
      <w:r w:rsidRPr="00022EE6">
        <w:rPr>
          <w:sz w:val="24"/>
          <w:szCs w:val="24"/>
        </w:rPr>
        <w:t xml:space="preserve"> Ramos Gonçalves de Oliveira</w:t>
      </w:r>
      <w:r>
        <w:rPr>
          <w:rStyle w:val="Refdenotaderodap"/>
          <w:sz w:val="24"/>
          <w:szCs w:val="24"/>
        </w:rPr>
        <w:footnoteReference w:id="4"/>
      </w:r>
    </w:p>
    <w:p w14:paraId="62C2406D" w14:textId="217F90E5" w:rsidR="0061230F" w:rsidRPr="00022EE6" w:rsidRDefault="00022EE6" w:rsidP="00022EE6">
      <w:pPr>
        <w:spacing w:line="360" w:lineRule="auto"/>
        <w:jc w:val="right"/>
        <w:rPr>
          <w:sz w:val="24"/>
          <w:szCs w:val="24"/>
        </w:rPr>
      </w:pPr>
      <w:r w:rsidRPr="00022EE6">
        <w:rPr>
          <w:sz w:val="24"/>
          <w:szCs w:val="24"/>
        </w:rPr>
        <w:t>Jorge Cesar Silva Mendes</w:t>
      </w:r>
      <w:r>
        <w:rPr>
          <w:rStyle w:val="Refdenotaderodap"/>
          <w:sz w:val="24"/>
          <w:szCs w:val="24"/>
        </w:rPr>
        <w:footnoteReference w:id="5"/>
      </w:r>
    </w:p>
    <w:p w14:paraId="512E7368" w14:textId="77777777" w:rsidR="0061230F" w:rsidRDefault="0061230F">
      <w:pPr>
        <w:spacing w:line="240" w:lineRule="auto"/>
        <w:ind w:left="2835"/>
        <w:jc w:val="both"/>
        <w:rPr>
          <w:sz w:val="20"/>
          <w:szCs w:val="20"/>
        </w:rPr>
      </w:pPr>
    </w:p>
    <w:p w14:paraId="7E0E4680" w14:textId="77777777" w:rsidR="0061230F" w:rsidRDefault="00124BF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4B3A805" w14:textId="77777777" w:rsidR="0061230F" w:rsidRDefault="00124BFE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Este artigo objetivou analisar os espaços e equipamentos públicos esportivos de lazer sob a responsabilidade da Secretaria Municipal de Desporto e Lazer (SEMDEL/MA), tomando por base oito indicadores analíticos: distribuição, conservação/manutenção, segur</w:t>
      </w:r>
      <w:r>
        <w:rPr>
          <w:sz w:val="20"/>
          <w:szCs w:val="20"/>
        </w:rPr>
        <w:t>ança, acesso, acessibilidade, programas, projetos e profissionais, analisando as dimensões entre o escrito, o dito e o feito. O estudo é de natureza quanti-qualitativa. Para a sua operacionalização, adotou-se como técnica de coleta de dados a entrevista se</w:t>
      </w:r>
      <w:r>
        <w:rPr>
          <w:sz w:val="20"/>
          <w:szCs w:val="20"/>
        </w:rPr>
        <w:t>miestruturada, os formulários e a observação sistemática. Constatou-se que a ação da SEMDEL é marcada por descontinuidade, ineficiência na gestão, falta de transparência, ausência de planejamento integrado e uma prevalência de interesses políticos e client</w:t>
      </w:r>
      <w:r>
        <w:rPr>
          <w:sz w:val="20"/>
          <w:szCs w:val="20"/>
        </w:rPr>
        <w:t>elistas sobre a efetiva garantia do direito ao esporte e lazer para toda à população.</w:t>
      </w:r>
    </w:p>
    <w:p w14:paraId="7B4183AE" w14:textId="77777777" w:rsidR="0061230F" w:rsidRDefault="00124BFE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Políticas Públicas; Esporte e Lazer; Gestão Municipal.</w:t>
      </w:r>
    </w:p>
    <w:p w14:paraId="1B65AF70" w14:textId="77777777" w:rsidR="0061230F" w:rsidRDefault="0061230F">
      <w:pPr>
        <w:spacing w:line="240" w:lineRule="auto"/>
        <w:ind w:left="2835"/>
        <w:jc w:val="both"/>
        <w:rPr>
          <w:sz w:val="20"/>
          <w:szCs w:val="20"/>
        </w:rPr>
      </w:pPr>
    </w:p>
    <w:p w14:paraId="27080DAB" w14:textId="77777777" w:rsidR="0061230F" w:rsidRDefault="00124BFE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Abstract</w:t>
      </w:r>
    </w:p>
    <w:p w14:paraId="7B011283" w14:textId="77777777" w:rsidR="0061230F" w:rsidRDefault="00124BFE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aimed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sports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leisure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facilities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responsibili</w:t>
      </w:r>
      <w:r>
        <w:rPr>
          <w:sz w:val="20"/>
          <w:szCs w:val="20"/>
        </w:rPr>
        <w:t>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Municipal </w:t>
      </w:r>
      <w:proofErr w:type="spellStart"/>
      <w:r>
        <w:rPr>
          <w:sz w:val="20"/>
          <w:szCs w:val="20"/>
        </w:rPr>
        <w:t>Department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Sports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Leisure</w:t>
      </w:r>
      <w:proofErr w:type="spellEnd"/>
      <w:r>
        <w:rPr>
          <w:sz w:val="20"/>
          <w:szCs w:val="20"/>
        </w:rPr>
        <w:t xml:space="preserve"> (SEMDEL/MA),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eight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indicators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distribution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maintenance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conservation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access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accessibility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programs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projects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professionals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examining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dimensions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between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written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said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done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quantitative-qualitative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nature</w:t>
      </w:r>
      <w:proofErr w:type="spellEnd"/>
      <w:r>
        <w:rPr>
          <w:sz w:val="20"/>
          <w:szCs w:val="20"/>
        </w:rPr>
        <w:t xml:space="preserve">. For its </w:t>
      </w:r>
      <w:proofErr w:type="spellStart"/>
      <w:r>
        <w:rPr>
          <w:sz w:val="20"/>
          <w:szCs w:val="20"/>
        </w:rPr>
        <w:t>implementation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semi-structured</w:t>
      </w:r>
      <w:proofErr w:type="spellEnd"/>
      <w:r>
        <w:rPr>
          <w:sz w:val="20"/>
          <w:szCs w:val="20"/>
        </w:rPr>
        <w:t xml:space="preserve"> interviews, </w:t>
      </w:r>
      <w:proofErr w:type="spellStart"/>
      <w:r>
        <w:rPr>
          <w:sz w:val="20"/>
          <w:szCs w:val="20"/>
        </w:rPr>
        <w:t>forms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systematic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observation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used</w:t>
      </w:r>
      <w:proofErr w:type="spellEnd"/>
      <w:r>
        <w:rPr>
          <w:sz w:val="20"/>
          <w:szCs w:val="20"/>
        </w:rPr>
        <w:t xml:space="preserve"> as data </w:t>
      </w:r>
      <w:proofErr w:type="spellStart"/>
      <w:r>
        <w:rPr>
          <w:sz w:val="20"/>
          <w:szCs w:val="20"/>
        </w:rPr>
        <w:t>collection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techniques</w:t>
      </w:r>
      <w:proofErr w:type="spellEnd"/>
      <w:r>
        <w:rPr>
          <w:sz w:val="20"/>
          <w:szCs w:val="20"/>
        </w:rPr>
        <w:t xml:space="preserve">. It </w:t>
      </w:r>
      <w:proofErr w:type="spellStart"/>
      <w:r>
        <w:rPr>
          <w:sz w:val="20"/>
          <w:szCs w:val="20"/>
        </w:rPr>
        <w:t>was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SEMDEL's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actions</w:t>
      </w:r>
      <w:proofErr w:type="spellEnd"/>
      <w:r>
        <w:rPr>
          <w:sz w:val="20"/>
          <w:szCs w:val="20"/>
        </w:rPr>
        <w:t xml:space="preserve"> are </w:t>
      </w:r>
      <w:proofErr w:type="spellStart"/>
      <w:r>
        <w:rPr>
          <w:sz w:val="20"/>
          <w:szCs w:val="20"/>
        </w:rPr>
        <w:t>marked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</w:t>
      </w:r>
      <w:r>
        <w:rPr>
          <w:sz w:val="20"/>
          <w:szCs w:val="20"/>
        </w:rPr>
        <w:t>continuity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inefficient</w:t>
      </w:r>
      <w:proofErr w:type="spellEnd"/>
      <w:r>
        <w:rPr>
          <w:sz w:val="20"/>
          <w:szCs w:val="20"/>
        </w:rPr>
        <w:t xml:space="preserve"> management, </w:t>
      </w:r>
      <w:proofErr w:type="spellStart"/>
      <w:r>
        <w:rPr>
          <w:sz w:val="20"/>
          <w:szCs w:val="20"/>
        </w:rPr>
        <w:t>lack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transparency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absence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integrated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planning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prevalence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clientelist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interests</w:t>
      </w:r>
      <w:proofErr w:type="spellEnd"/>
      <w:r>
        <w:rPr>
          <w:sz w:val="20"/>
          <w:szCs w:val="20"/>
        </w:rPr>
        <w:t xml:space="preserve"> over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effective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guarantee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sport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leisure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entire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population</w:t>
      </w:r>
      <w:proofErr w:type="spellEnd"/>
      <w:r>
        <w:rPr>
          <w:sz w:val="20"/>
          <w:szCs w:val="20"/>
        </w:rPr>
        <w:t>.</w:t>
      </w:r>
    </w:p>
    <w:p w14:paraId="34B45A5A" w14:textId="4F536BF1" w:rsidR="0061230F" w:rsidRPr="00567A0E" w:rsidRDefault="00124BFE" w:rsidP="00567A0E">
      <w:pPr>
        <w:spacing w:line="240" w:lineRule="auto"/>
        <w:ind w:left="2835"/>
        <w:jc w:val="both"/>
        <w:rPr>
          <w:b/>
          <w:sz w:val="20"/>
          <w:szCs w:val="20"/>
        </w:rPr>
        <w:sectPr w:rsidR="0061230F" w:rsidRPr="00567A0E">
          <w:headerReference w:type="default" r:id="rId7"/>
          <w:footerReference w:type="default" r:id="rId8"/>
          <w:pgSz w:w="11909" w:h="16834"/>
          <w:pgMar w:top="1701" w:right="1134" w:bottom="1134" w:left="1701" w:header="3401" w:footer="720" w:gutter="0"/>
          <w:pgNumType w:start="1"/>
          <w:cols w:space="720"/>
        </w:sect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Policies; Sport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Leisure</w:t>
      </w:r>
      <w:proofErr w:type="spellEnd"/>
      <w:r>
        <w:rPr>
          <w:sz w:val="20"/>
          <w:szCs w:val="20"/>
        </w:rPr>
        <w:t>; Municipal Management.</w:t>
      </w:r>
      <w:r>
        <w:br w:type="page"/>
      </w:r>
    </w:p>
    <w:p w14:paraId="05FB06F7" w14:textId="77777777" w:rsidR="0061230F" w:rsidRDefault="00124BF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0A46E429" w14:textId="77777777" w:rsidR="0061230F" w:rsidRDefault="0061230F">
      <w:pPr>
        <w:spacing w:line="360" w:lineRule="auto"/>
        <w:jc w:val="both"/>
        <w:rPr>
          <w:sz w:val="24"/>
          <w:szCs w:val="24"/>
        </w:rPr>
      </w:pPr>
    </w:p>
    <w:p w14:paraId="5CABB5BC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presente artigo apresenta resultados parciais da pesquisa intitulada “Espaços e equipamentos esportivos de lazer em São Luís – MA: uma análise da ação do poder público municipal e estadual”, financiada pela Fundação de Amparo à Pesquisa e ao Desenvolvime</w:t>
      </w:r>
      <w:r>
        <w:rPr>
          <w:sz w:val="24"/>
          <w:szCs w:val="24"/>
        </w:rPr>
        <w:t xml:space="preserve">nto Científico e Tecnológico do Maranhão (FAPEMA). </w:t>
      </w:r>
    </w:p>
    <w:p w14:paraId="4267DA05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Este trabalho demarca, especificamente, o papel da Secretaria Municipal de Desporto e Lazer (SEMDEL) na promoção de políticas públicas direcionadas à universalização do direito ao esporte e lazer nos espa</w:t>
      </w:r>
      <w:r>
        <w:rPr>
          <w:sz w:val="24"/>
          <w:szCs w:val="24"/>
        </w:rPr>
        <w:t>ços e equipamentos que estão sob sua responsabilidade, no período de 2014 a 2022.</w:t>
      </w:r>
    </w:p>
    <w:p w14:paraId="2523BACC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Para tanto, parte-se do entendimento que os estudos das políticas públicas de esporte no Brasil na contemporaneidade se intensificaram a partir da sua constitucionalização na</w:t>
      </w:r>
      <w:r>
        <w:rPr>
          <w:sz w:val="24"/>
          <w:szCs w:val="24"/>
        </w:rPr>
        <w:t xml:space="preserve"> Lei Maior do país, aprovada em 1988 (CF/88), na qual o Estado brasileiro assume legalmente a responsabilidade de promover o esporte como dever do poder público e direito de cidadania. Ademais, a criação, em 2003, do Ministério do Esporte como órgão respon</w:t>
      </w:r>
      <w:r>
        <w:rPr>
          <w:sz w:val="24"/>
          <w:szCs w:val="24"/>
        </w:rPr>
        <w:t xml:space="preserve">sável pela proposição e promoção de planos e ações, resulta da intenção do Estado de delinear a implantação de uma política pública que atenda de modo efetivo as especificidades do setor. </w:t>
      </w:r>
    </w:p>
    <w:p w14:paraId="66C1FACD" w14:textId="0E2DE806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Com efeito, a existência de espaços e equipamentos públicos de laze</w:t>
      </w:r>
      <w:r>
        <w:rPr>
          <w:sz w:val="24"/>
          <w:szCs w:val="24"/>
        </w:rPr>
        <w:t xml:space="preserve">r esportivos é uma das formas do Estado garantir que a população tenha oportunidade de vivenciar experiências diversas. Contudo, pode existir </w:t>
      </w:r>
      <w:r w:rsidR="00600769">
        <w:rPr>
          <w:sz w:val="24"/>
          <w:szCs w:val="24"/>
        </w:rPr>
        <w:t xml:space="preserve">o </w:t>
      </w:r>
      <w:r>
        <w:rPr>
          <w:sz w:val="24"/>
          <w:szCs w:val="24"/>
        </w:rPr>
        <w:t>es</w:t>
      </w:r>
      <w:r w:rsidR="00600769">
        <w:rPr>
          <w:sz w:val="24"/>
          <w:szCs w:val="24"/>
        </w:rPr>
        <w:t xml:space="preserve">paço e equipamento público sem </w:t>
      </w:r>
      <w:r>
        <w:rPr>
          <w:sz w:val="24"/>
          <w:szCs w:val="24"/>
        </w:rPr>
        <w:t>haver a apropriação deste, devido a fatores como degradação da infraest</w:t>
      </w:r>
      <w:r>
        <w:rPr>
          <w:sz w:val="24"/>
          <w:szCs w:val="24"/>
        </w:rPr>
        <w:t xml:space="preserve">rutura, ausência de segurança, iluminação, dentre outros. </w:t>
      </w:r>
    </w:p>
    <w:p w14:paraId="3ABF6A62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pressuposto inicial é que a política de esporte e lazer sob a perspectiva de utilização dos espaços e equipamentos públicos da cidade de São Luís é precária e insuficiente para atender a demanda </w:t>
      </w:r>
      <w:r>
        <w:rPr>
          <w:sz w:val="24"/>
          <w:szCs w:val="24"/>
        </w:rPr>
        <w:t xml:space="preserve">da população e, por conseguinte, não garante o direito ao lazer esportivo. Dessa forma, o objetivo desta investigação foi analisar os espaços e equipamentos públicos esportivos de lazer sob a gestão da SEMDEL/MA, </w:t>
      </w:r>
      <w:r>
        <w:rPr>
          <w:sz w:val="24"/>
          <w:szCs w:val="24"/>
        </w:rPr>
        <w:lastRenderedPageBreak/>
        <w:t>tomando por base oito indicadores analítico</w:t>
      </w:r>
      <w:r>
        <w:rPr>
          <w:sz w:val="24"/>
          <w:szCs w:val="24"/>
        </w:rPr>
        <w:t xml:space="preserve">s: distribuição, conservação/manutenção, segurança, acesso, acessibilidade, programas, projetos e profissionais. </w:t>
      </w:r>
    </w:p>
    <w:p w14:paraId="5C60F842" w14:textId="471F395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metodologia adotada articulou </w:t>
      </w:r>
      <w:r w:rsidR="002C54AE">
        <w:rPr>
          <w:sz w:val="24"/>
          <w:szCs w:val="24"/>
        </w:rPr>
        <w:t xml:space="preserve">abordagens </w:t>
      </w:r>
      <w:r>
        <w:rPr>
          <w:sz w:val="24"/>
          <w:szCs w:val="24"/>
        </w:rPr>
        <w:t>quantitativas e qualitativas de coleta e análise de dados, com aplicação de questionários a usuári</w:t>
      </w:r>
      <w:r>
        <w:rPr>
          <w:sz w:val="24"/>
          <w:szCs w:val="24"/>
        </w:rPr>
        <w:t>os e administradores, entrevistas semiestruturada com o gestor da pasta, observação direta e análise documental, que incluiu os relatórios de atividades, o ofício enviado pela Secretaria, informando a relação das praças e equipamentos públicos esportivos s</w:t>
      </w:r>
      <w:r>
        <w:rPr>
          <w:sz w:val="24"/>
          <w:szCs w:val="24"/>
        </w:rPr>
        <w:t xml:space="preserve">ob sua responsabilidade e os Planos Plurianuais (PPA). </w:t>
      </w:r>
    </w:p>
    <w:p w14:paraId="0F20E0D5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o tratamento dos dados, elegeu-se a análise de conteúdo (</w:t>
      </w:r>
      <w:proofErr w:type="spellStart"/>
      <w:r>
        <w:rPr>
          <w:sz w:val="24"/>
          <w:szCs w:val="24"/>
        </w:rPr>
        <w:t>Bardin</w:t>
      </w:r>
      <w:proofErr w:type="spellEnd"/>
      <w:r>
        <w:rPr>
          <w:sz w:val="24"/>
          <w:szCs w:val="24"/>
        </w:rPr>
        <w:t xml:space="preserve">, 2016) guiada pela triangulação entre o “escrito” (documentos oficiais), o “dito” (discursos do gestor e administradores dos </w:t>
      </w:r>
      <w:r>
        <w:rPr>
          <w:sz w:val="24"/>
          <w:szCs w:val="24"/>
        </w:rPr>
        <w:t>espaços) e o “feito” (realidade empírica observada). Buscou-se a partir desse modelo analítico contrastar as informações oficiais com as percepções dos envolvidos e a realidade observada, revelando as lacunas e desafios na implementação dessas políticas.</w:t>
      </w:r>
    </w:p>
    <w:p w14:paraId="7B5E1195" w14:textId="77777777" w:rsidR="0061230F" w:rsidRDefault="0061230F">
      <w:pPr>
        <w:spacing w:line="360" w:lineRule="auto"/>
        <w:ind w:firstLine="708"/>
        <w:jc w:val="both"/>
        <w:rPr>
          <w:sz w:val="24"/>
          <w:szCs w:val="24"/>
        </w:rPr>
      </w:pPr>
    </w:p>
    <w:p w14:paraId="62D588E6" w14:textId="0D7B3840" w:rsidR="0061230F" w:rsidRDefault="00124BF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E874AE">
        <w:rPr>
          <w:b/>
          <w:sz w:val="24"/>
          <w:szCs w:val="24"/>
        </w:rPr>
        <w:t>O ESCRITO, O DITO E O FEITO SOBRE A GESTÃO DOS ESPAÇOS E EQUIPAMENTOS PÚBLICOS ESPORTIVOS DE LAZER</w:t>
      </w:r>
    </w:p>
    <w:p w14:paraId="34F1BE7D" w14:textId="77777777" w:rsidR="0061230F" w:rsidRDefault="0061230F">
      <w:pPr>
        <w:spacing w:line="360" w:lineRule="auto"/>
        <w:ind w:firstLine="709"/>
        <w:jc w:val="both"/>
        <w:rPr>
          <w:sz w:val="24"/>
          <w:szCs w:val="24"/>
        </w:rPr>
      </w:pPr>
    </w:p>
    <w:p w14:paraId="3925A092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Um dos elementos que compõem os espaços urbanos é a infraestrutura para as práticas de esporte e lazer que, em geral, está relacionada aos espaços e equi</w:t>
      </w:r>
      <w:r>
        <w:rPr>
          <w:sz w:val="24"/>
          <w:szCs w:val="24"/>
        </w:rPr>
        <w:t xml:space="preserve">pamentos. </w:t>
      </w:r>
      <w:proofErr w:type="spellStart"/>
      <w:r>
        <w:rPr>
          <w:sz w:val="24"/>
          <w:szCs w:val="24"/>
        </w:rPr>
        <w:t>Marcellino</w:t>
      </w:r>
      <w:proofErr w:type="spellEnd"/>
      <w:r>
        <w:rPr>
          <w:i/>
          <w:sz w:val="24"/>
          <w:szCs w:val="24"/>
        </w:rPr>
        <w:t xml:space="preserve"> et al.</w:t>
      </w:r>
      <w:r>
        <w:rPr>
          <w:sz w:val="24"/>
          <w:szCs w:val="24"/>
        </w:rPr>
        <w:t xml:space="preserve"> (2007, p. 15) apresentam que o “espaço é entendido como o suporte para os equipamentos. E os equipamentos são compreendidos como os objetos que organizam o espaço em função de determinada atividade”. Nas cidades, os parques públ</w:t>
      </w:r>
      <w:r>
        <w:rPr>
          <w:sz w:val="24"/>
          <w:szCs w:val="24"/>
        </w:rPr>
        <w:t>icos, as praças, os centros culturais/esportivos e as escolas são os espaços privilegiados para as práticas esportivas (Rechia, 2017).</w:t>
      </w:r>
    </w:p>
    <w:p w14:paraId="738DCEBD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mesma direção, </w:t>
      </w:r>
      <w:proofErr w:type="spellStart"/>
      <w:r>
        <w:rPr>
          <w:sz w:val="24"/>
          <w:szCs w:val="24"/>
        </w:rPr>
        <w:t>Ungheri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Isayama</w:t>
      </w:r>
      <w:proofErr w:type="spellEnd"/>
      <w:r>
        <w:rPr>
          <w:sz w:val="24"/>
          <w:szCs w:val="24"/>
        </w:rPr>
        <w:t xml:space="preserve"> (2019) destacam que a oferta de espaços e equipamentos públicos para as vivências de </w:t>
      </w:r>
      <w:r>
        <w:rPr>
          <w:sz w:val="24"/>
          <w:szCs w:val="24"/>
        </w:rPr>
        <w:t xml:space="preserve">lazer esportivo é uma das formas de se promover o acesso dos cidadãos a essas práticas e, por esse motivo, apresenta-se como possibilidade de intervenção do poder público. Para </w:t>
      </w:r>
      <w:proofErr w:type="spellStart"/>
      <w:r>
        <w:rPr>
          <w:sz w:val="24"/>
          <w:szCs w:val="24"/>
        </w:rPr>
        <w:t>Marcellino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lastRenderedPageBreak/>
        <w:t>Barbosa e Mariano (2006, p. 55), “os espaços e equipamentos são com</w:t>
      </w:r>
      <w:r>
        <w:rPr>
          <w:sz w:val="24"/>
          <w:szCs w:val="24"/>
        </w:rPr>
        <w:t xml:space="preserve">ponentes dinâmicos de uma política de esporte e lazer e estão em constante transformação”. Dessa forma, os espaços e equipamentos esportivos assumem um lugar importante das políticas públicas para o convívio social (Silva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2012). </w:t>
      </w:r>
    </w:p>
    <w:p w14:paraId="2241105D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isso, a forma </w:t>
      </w:r>
      <w:r>
        <w:rPr>
          <w:sz w:val="24"/>
          <w:szCs w:val="24"/>
        </w:rPr>
        <w:t>como esses logradouros se encontram distribuídos nas cidades se constitui uma condição essencial para a implementação de políticas que assegurem o direito ao lazer esportivo, além de favorecer a apropriação desses espaços por diversos segmentos da sociedad</w:t>
      </w:r>
      <w:r>
        <w:rPr>
          <w:sz w:val="24"/>
          <w:szCs w:val="24"/>
        </w:rPr>
        <w:t>e.</w:t>
      </w:r>
    </w:p>
    <w:p w14:paraId="351D823F" w14:textId="14824FC0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âmbito desta pesquisa, a identificação dos espaços e equipamentos foi realizada com base em documentação oficial fornecida pela SEMDEL. Para o mapeamento territorial, foram utilizados recursos de </w:t>
      </w:r>
      <w:proofErr w:type="spellStart"/>
      <w:r>
        <w:rPr>
          <w:sz w:val="24"/>
          <w:szCs w:val="24"/>
        </w:rPr>
        <w:t>geolocalização</w:t>
      </w:r>
      <w:proofErr w:type="spellEnd"/>
      <w:r>
        <w:rPr>
          <w:sz w:val="24"/>
          <w:szCs w:val="24"/>
        </w:rPr>
        <w:t xml:space="preserve"> por meio do </w:t>
      </w:r>
      <w:r>
        <w:rPr>
          <w:i/>
          <w:sz w:val="24"/>
          <w:szCs w:val="24"/>
        </w:rPr>
        <w:t xml:space="preserve">Google </w:t>
      </w:r>
      <w:proofErr w:type="spellStart"/>
      <w:r>
        <w:rPr>
          <w:i/>
          <w:sz w:val="24"/>
          <w:szCs w:val="24"/>
        </w:rPr>
        <w:t>Maps</w:t>
      </w:r>
      <w:proofErr w:type="spellEnd"/>
      <w:r>
        <w:rPr>
          <w:i/>
          <w:sz w:val="24"/>
          <w:szCs w:val="24"/>
        </w:rPr>
        <w:t xml:space="preserve"> Pró,</w:t>
      </w:r>
      <w:r>
        <w:rPr>
          <w:sz w:val="24"/>
          <w:szCs w:val="24"/>
        </w:rPr>
        <w:t xml:space="preserve"> visitas </w:t>
      </w:r>
      <w:r>
        <w:rPr>
          <w:i/>
          <w:sz w:val="24"/>
          <w:szCs w:val="24"/>
        </w:rPr>
        <w:t>in</w:t>
      </w:r>
      <w:r>
        <w:rPr>
          <w:i/>
          <w:sz w:val="24"/>
          <w:szCs w:val="24"/>
        </w:rPr>
        <w:t xml:space="preserve"> loco </w:t>
      </w:r>
      <w:r>
        <w:rPr>
          <w:sz w:val="24"/>
          <w:szCs w:val="24"/>
        </w:rPr>
        <w:t>e rastreamento por sistema de coordenadas geográficas. Considerando os critérios de inclusão e exclusão previamente definidos, dos 34 espaços esportivos informados pela Secretaria, 11 foram excluídos da amostra</w:t>
      </w:r>
      <w:r>
        <w:rPr>
          <w:sz w:val="24"/>
          <w:szCs w:val="24"/>
        </w:rPr>
        <w:t>, seja porque os endereços não coincidi</w:t>
      </w:r>
      <w:r>
        <w:rPr>
          <w:sz w:val="24"/>
          <w:szCs w:val="24"/>
        </w:rPr>
        <w:t>am com a realidade observada, seja porque os locais estavam indisponíveis para a realização das visitas e aplicação dos questionários.</w:t>
      </w:r>
    </w:p>
    <w:p w14:paraId="481A8925" w14:textId="1697E140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sobre </w:t>
      </w:r>
      <w:r w:rsidR="00E874AE">
        <w:rPr>
          <w:sz w:val="24"/>
          <w:szCs w:val="24"/>
        </w:rPr>
        <w:t>a distribuição</w:t>
      </w:r>
      <w:r>
        <w:rPr>
          <w:sz w:val="24"/>
          <w:szCs w:val="24"/>
        </w:rPr>
        <w:t xml:space="preserve"> dos espaços e equipamentos sob responsabilidade da Secretaria revelou uma concentração sig</w:t>
      </w:r>
      <w:r>
        <w:rPr>
          <w:sz w:val="24"/>
          <w:szCs w:val="24"/>
        </w:rPr>
        <w:t>nificativa desses logradouros nas regiões Norte e Nordeste do município, especialmente em áreas urbanas, em detrimento das zona rural, sinalizando haver uma distribuição desigual e pouco democrática. Essa configuração aponta para uma ação seletiva do poder</w:t>
      </w:r>
      <w:r>
        <w:rPr>
          <w:sz w:val="24"/>
          <w:szCs w:val="24"/>
        </w:rPr>
        <w:t xml:space="preserve"> público municipal no planejamento das políticas para o setor, já que diversos bairros de São Luís permanecem desassistidos. </w:t>
      </w:r>
    </w:p>
    <w:p w14:paraId="3D0C3D9D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que se refere aos dados dos indicadores que versam sobre a conservação/manutenção e segurança dos espaços e equipamentos, as di</w:t>
      </w:r>
      <w:r>
        <w:rPr>
          <w:sz w:val="24"/>
          <w:szCs w:val="24"/>
        </w:rPr>
        <w:t>mensões do escrito, o dito e o feito revelam que a maioria dos logradouros se encontram em condições inadequadas para o uso.</w:t>
      </w:r>
    </w:p>
    <w:p w14:paraId="19A47C77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 forma mais específica, observa-se que os documentos oficiais — como os PPA (2014-2017 e 2018-2021) e os Relatórios de atividades</w:t>
      </w:r>
      <w:r>
        <w:rPr>
          <w:sz w:val="24"/>
          <w:szCs w:val="24"/>
        </w:rPr>
        <w:t xml:space="preserve"> da Secretaria — não fazem qualquer menção ao indicador “segurança” entre suas metas e ações, tampouco apresentam um plano de gestão direcionado para essa agenda. Já com relação ao indicador conservação/manutenção, embora não se tenha um diagnóstico detalh</w:t>
      </w:r>
      <w:r>
        <w:rPr>
          <w:sz w:val="24"/>
          <w:szCs w:val="24"/>
        </w:rPr>
        <w:t xml:space="preserve">ado que permita identificar com precisão às áreas da cidade que demandariam políticas de ampliação e animação esportiva, há indícios de uma preocupação dos agentes públicos em estabelecer metas voltadas à “construção, ampliação, reforma e modernização das </w:t>
      </w:r>
      <w:r>
        <w:rPr>
          <w:sz w:val="24"/>
          <w:szCs w:val="24"/>
        </w:rPr>
        <w:t>instalações esportivas”, além da previsão de orçamentos significativos destinados a essa finalidade, como os mais de R$ 7 milhões alocados para o período de 2018 a 2021 (São Luís, 2013; 2018).</w:t>
      </w:r>
    </w:p>
    <w:p w14:paraId="56479F32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entanto, a falta de conhecimento demonstrado pelo gestor res</w:t>
      </w:r>
      <w:r>
        <w:rPr>
          <w:sz w:val="24"/>
          <w:szCs w:val="24"/>
        </w:rPr>
        <w:t>ponsável pela SEMDEL em relação aos recursos disponíveis representa um obstáculo relevante à execução eficiente dessas ações. Isso porque, o desconhecimento sobre os mecanismos de financiamento inviabiliza, por um lado, a mobilização necessária para acessa</w:t>
      </w:r>
      <w:r>
        <w:rPr>
          <w:sz w:val="24"/>
          <w:szCs w:val="24"/>
        </w:rPr>
        <w:t>r e disputar o fundo público (Magalhães, 2023), por outro, ele prejudica a regularidade e continuidade das despesas com manutenção, que devem estar previstas como parte estruturante das políticas públicas (</w:t>
      </w:r>
      <w:proofErr w:type="spellStart"/>
      <w:r>
        <w:rPr>
          <w:sz w:val="24"/>
          <w:szCs w:val="24"/>
        </w:rPr>
        <w:t>Ungheri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Isayama</w:t>
      </w:r>
      <w:proofErr w:type="spellEnd"/>
      <w:r>
        <w:rPr>
          <w:sz w:val="24"/>
          <w:szCs w:val="24"/>
        </w:rPr>
        <w:t>, 2021).</w:t>
      </w:r>
    </w:p>
    <w:p w14:paraId="14B32353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Além disso, o próprio ges</w:t>
      </w:r>
      <w:r>
        <w:rPr>
          <w:sz w:val="24"/>
          <w:szCs w:val="24"/>
        </w:rPr>
        <w:t>tor da SEMDEL reconhece como de responsabilidade direta da Secretaria apenas três espaços, dos 34 oficialmente informados pela gestão anterior da Secretaria, a saber: o Ginásio Sabará, as quadras do Parque do Bom Menino e o Estágio Nhozinho Santos, sendo o</w:t>
      </w:r>
      <w:r>
        <w:rPr>
          <w:sz w:val="24"/>
          <w:szCs w:val="24"/>
        </w:rPr>
        <w:t xml:space="preserve"> restante administrado por meio de Comitês Gestores ou associações locais. Não obstante, a observação direta identificou a presença do poder público em pelo menos 14 dos 23 espaços analisados.</w:t>
      </w:r>
    </w:p>
    <w:p w14:paraId="375ED8AE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 inconsistência gerencial e transferência de responsabilida</w:t>
      </w:r>
      <w:r>
        <w:rPr>
          <w:sz w:val="24"/>
          <w:szCs w:val="24"/>
        </w:rPr>
        <w:t>de para comunidade explicam, em grande medida, as condições em que muitos desses espaços se encontram atualmente, pois, da totalidade dos logradouros observados, mais de 50% foi classificado como tendo condições de conservação “ruim” ou “abandonado”, não p</w:t>
      </w:r>
      <w:r>
        <w:rPr>
          <w:sz w:val="24"/>
          <w:szCs w:val="24"/>
        </w:rPr>
        <w:t xml:space="preserve">ossuindo iluminação adequada, e inexistindo, inclusive, </w:t>
      </w:r>
      <w:r>
        <w:rPr>
          <w:sz w:val="24"/>
          <w:szCs w:val="24"/>
        </w:rPr>
        <w:lastRenderedPageBreak/>
        <w:t xml:space="preserve">segurança pública. De acordo com o Gestor, a SEMDEL não tem dotação orçamentária para grandes manutenções, apenas para reparos, apesar dos </w:t>
      </w:r>
      <w:proofErr w:type="spellStart"/>
      <w:r>
        <w:rPr>
          <w:sz w:val="24"/>
          <w:szCs w:val="24"/>
        </w:rPr>
        <w:t>PPAs</w:t>
      </w:r>
      <w:proofErr w:type="spellEnd"/>
      <w:r>
        <w:rPr>
          <w:sz w:val="24"/>
          <w:szCs w:val="24"/>
        </w:rPr>
        <w:t xml:space="preserve"> preverem milhões para conservação desses espaços. </w:t>
      </w:r>
    </w:p>
    <w:p w14:paraId="4CAB6786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 </w:t>
      </w:r>
      <w:r>
        <w:rPr>
          <w:sz w:val="24"/>
          <w:szCs w:val="24"/>
        </w:rPr>
        <w:t>cenário se reflete também, nas condições de acesso e acessibilidade dos espaços, evidenciando a limitação da atuação da Secretaria no direcionamento de ações que assegurem infraestrutura adequada e políticas públicas efetivas para o setor. E se espaços púb</w:t>
      </w:r>
      <w:r>
        <w:rPr>
          <w:sz w:val="24"/>
          <w:szCs w:val="24"/>
        </w:rPr>
        <w:t xml:space="preserve">licos, por definição, devem ser gratuitos e de fácil acesso, a distribuição desigual deles em São Luís acaba por excluir parcelas significativas da população, especialmente pessoas idosas e com deficiência. </w:t>
      </w:r>
    </w:p>
    <w:p w14:paraId="66AF5120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Assim, embora os documentos oficiais assegurem a</w:t>
      </w:r>
      <w:r>
        <w:rPr>
          <w:sz w:val="24"/>
          <w:szCs w:val="24"/>
        </w:rPr>
        <w:t xml:space="preserve"> ampliação do acesso ao esporte como direito social e Constitucional, promovendo-o como ferramenta de inclusão, a pesquisa constatou que, na prática, a gratuidade do acesso aos logradouros não garante gratuidade das atividades neles realizadas. Em diversos</w:t>
      </w:r>
      <w:r>
        <w:rPr>
          <w:sz w:val="24"/>
          <w:szCs w:val="24"/>
        </w:rPr>
        <w:t xml:space="preserve"> casos, profissionais autônomos utilizam os espaços públicos para ofertar serviços mediante a cobrança de taxas. Isso foi confirmado, por exemplo, pelo administrador e usuários da Praça das Flores, que relataram a cobrança de R$ 30,00 para participação nas</w:t>
      </w:r>
      <w:r>
        <w:rPr>
          <w:sz w:val="24"/>
          <w:szCs w:val="24"/>
        </w:rPr>
        <w:t xml:space="preserve"> atividades, em contradição direta com as declarações do Gestor da Pasta — revelando não apenas seu desconhecimento, mas também a distorção do papel do Estado na gestão gratuita desses espaços.</w:t>
      </w:r>
    </w:p>
    <w:p w14:paraId="6EC82378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Além disso, contrariando novamente as alegações do Gestor, obs</w:t>
      </w:r>
      <w:r>
        <w:rPr>
          <w:sz w:val="24"/>
          <w:szCs w:val="24"/>
        </w:rPr>
        <w:t xml:space="preserve">ervou-se que em pelo menos três dos 23 espaços analisados (Estádio </w:t>
      </w:r>
      <w:proofErr w:type="spellStart"/>
      <w:r>
        <w:rPr>
          <w:sz w:val="24"/>
          <w:szCs w:val="24"/>
        </w:rPr>
        <w:t>Cardozão</w:t>
      </w:r>
      <w:proofErr w:type="spellEnd"/>
      <w:r>
        <w:rPr>
          <w:sz w:val="24"/>
          <w:szCs w:val="24"/>
        </w:rPr>
        <w:t xml:space="preserve"> Quadra do Sabará e Praça Poliesportiva Parque dos Sabiás), há a cobrança de taxa, não apenas para participação em atividades, mas também, como condição para o simples acesso ao log</w:t>
      </w:r>
      <w:r>
        <w:rPr>
          <w:sz w:val="24"/>
          <w:szCs w:val="24"/>
        </w:rPr>
        <w:t>radouro, o que configura violação ao princípio da gratuidade dos bens públicos.</w:t>
      </w:r>
    </w:p>
    <w:p w14:paraId="0F05B38C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a questão de acessibilidade foi amplamente reconhecida como um desafio tanto pelos gestores quanto pela observação direta realizada nos espaços, indicando que as adaptações </w:t>
      </w:r>
      <w:r>
        <w:rPr>
          <w:sz w:val="24"/>
          <w:szCs w:val="24"/>
        </w:rPr>
        <w:t xml:space="preserve">existentes ainda não garantem a inclusão plena. Assim, embora os documentos oficiais (o “escrito”) prevejam ações de reforma, construção e manutenção voltadas à garantia de acesso para idosos e pessoas com deficiência, a </w:t>
      </w:r>
      <w:r>
        <w:rPr>
          <w:sz w:val="24"/>
          <w:szCs w:val="24"/>
        </w:rPr>
        <w:lastRenderedPageBreak/>
        <w:t>realidade observada aponta que apen</w:t>
      </w:r>
      <w:r>
        <w:rPr>
          <w:sz w:val="24"/>
          <w:szCs w:val="24"/>
        </w:rPr>
        <w:t xml:space="preserve">as um dos espaços analisados atende plenamente aos critérios de acessibilidade — com presença de rampas, piso tátil, sinalização e banheiros adaptados. Isso evidencia um descompasso entre o planejado e o efetivamente implementado. </w:t>
      </w:r>
    </w:p>
    <w:p w14:paraId="68C5CC90" w14:textId="02A7ED8F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Cumpre mencionar que tal</w:t>
      </w:r>
      <w:r>
        <w:rPr>
          <w:sz w:val="24"/>
          <w:szCs w:val="24"/>
        </w:rPr>
        <w:t xml:space="preserve"> cenário não se apresenta de modo pacificado entre a percepção dos administradores e usuários desses locais. Enquanto os administradores consideram a maioria dos espaços adequados, ou parcialmente adaptados, 27% dos usuários entrevistados avaliam que as ad</w:t>
      </w:r>
      <w:r>
        <w:rPr>
          <w:sz w:val="24"/>
          <w:szCs w:val="24"/>
        </w:rPr>
        <w:t xml:space="preserve">aptações são insuficientes para pessoas com deficiência ou mobilidade reduzida. Cabe ressaltar, contudo, que a pesquisa não incluiu diretamente pessoas com deficiência entre os entrevistados — por não </w:t>
      </w:r>
      <w:r w:rsidR="00E874AE">
        <w:rPr>
          <w:sz w:val="24"/>
          <w:szCs w:val="24"/>
        </w:rPr>
        <w:t>os encontrar</w:t>
      </w:r>
      <w:r>
        <w:rPr>
          <w:sz w:val="24"/>
          <w:szCs w:val="24"/>
        </w:rPr>
        <w:t xml:space="preserve"> no período da observação —, o que pode lim</w:t>
      </w:r>
      <w:r>
        <w:rPr>
          <w:sz w:val="24"/>
          <w:szCs w:val="24"/>
        </w:rPr>
        <w:t>itar a compreensão mais precisa das barreiras enfrentadas por esse público e distorcer a real dimensão da acessibilidade nos espaços analisados.</w:t>
      </w:r>
    </w:p>
    <w:p w14:paraId="07458DD4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análise dos indicadores “programas”, “projetos” e “profissionais envolvidos” articulados às dimensões do “esc</w:t>
      </w:r>
      <w:r>
        <w:rPr>
          <w:color w:val="000000"/>
          <w:sz w:val="24"/>
          <w:szCs w:val="24"/>
        </w:rPr>
        <w:t xml:space="preserve">rito, “dito” e “feito” evidencia também, </w:t>
      </w:r>
      <w:r>
        <w:rPr>
          <w:sz w:val="24"/>
          <w:szCs w:val="24"/>
        </w:rPr>
        <w:t>uma atuação limitada do poder público na consolidação de uma política de Estado para o esporte e lazer, agravada frente ao não reconhecimento da Secretaria como responsável pela gestão de mais de 85% dos logradouros</w:t>
      </w:r>
      <w:r>
        <w:rPr>
          <w:sz w:val="24"/>
          <w:szCs w:val="24"/>
        </w:rPr>
        <w:t>.</w:t>
      </w:r>
    </w:p>
    <w:p w14:paraId="125EA582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Isso promove, notadamente, uma contradição no desenvolvimento dos programas e projetos, pois, embora a Secretaria promova ações esportivas em diversos espaços comunitários — inclusive com o pagamento de profissionais —, ela não assume a gestão formal des</w:t>
      </w:r>
      <w:r>
        <w:rPr>
          <w:sz w:val="24"/>
          <w:szCs w:val="24"/>
        </w:rPr>
        <w:t>ses espaços. Tal prática revela uma política pública desconectada das especificidades territoriais e carente de um plano estruturado de gestão, limitando-se a intervenções pontuais e desarticuladas.</w:t>
      </w:r>
    </w:p>
    <w:p w14:paraId="54001523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Paradoxalmente, o próprio Gestor menciona a existência de</w:t>
      </w:r>
      <w:r>
        <w:rPr>
          <w:sz w:val="24"/>
          <w:szCs w:val="24"/>
        </w:rPr>
        <w:t xml:space="preserve"> 57 escolinhas de iniciação esportiva, sendo 35 delas voltadas ao futebol, vinculadas ao “Programa Movimento Resgate”. Essas ações estão alinhadas, em termos formais, às diretrizes contidas nos PPA (2014-2017 e 2018-2021), que preveem atividades relacionad</w:t>
      </w:r>
      <w:r>
        <w:rPr>
          <w:sz w:val="24"/>
          <w:szCs w:val="24"/>
        </w:rPr>
        <w:t xml:space="preserve">as à "realização de eventos de desporto educacional", "equipamentos para prática do </w:t>
      </w:r>
      <w:r>
        <w:rPr>
          <w:sz w:val="24"/>
          <w:szCs w:val="24"/>
        </w:rPr>
        <w:lastRenderedPageBreak/>
        <w:t>esporte", "esporte para crianças e adolescentes", "esporte</w:t>
      </w:r>
      <w:r>
        <w:rPr>
          <w:color w:val="131314"/>
          <w:sz w:val="24"/>
          <w:szCs w:val="24"/>
        </w:rPr>
        <w:t xml:space="preserve"> e inclusão social" e "apoio ao atleta". No entanto,</w:t>
      </w:r>
      <w:r>
        <w:rPr>
          <w:sz w:val="24"/>
          <w:szCs w:val="24"/>
        </w:rPr>
        <w:t xml:space="preserve"> o lazer aparece de forma periférica, limitado ao uso da infra</w:t>
      </w:r>
      <w:r>
        <w:rPr>
          <w:sz w:val="24"/>
          <w:szCs w:val="24"/>
        </w:rPr>
        <w:t>estrutura, sem a devida valorização como dimensão autônoma do direito social.</w:t>
      </w:r>
    </w:p>
    <w:p w14:paraId="2237C04D" w14:textId="77777777" w:rsidR="0061230F" w:rsidRDefault="00124BFE">
      <w:pPr>
        <w:spacing w:line="360" w:lineRule="auto"/>
        <w:ind w:firstLine="709"/>
        <w:jc w:val="both"/>
        <w:rPr>
          <w:color w:val="131314"/>
          <w:sz w:val="24"/>
          <w:szCs w:val="24"/>
        </w:rPr>
      </w:pPr>
      <w:r>
        <w:rPr>
          <w:sz w:val="24"/>
          <w:szCs w:val="24"/>
        </w:rPr>
        <w:t xml:space="preserve"> Essa configuração contradiz a própria finalidade institucional da Secretaria, que aponta como missão, a </w:t>
      </w:r>
      <w:r>
        <w:rPr>
          <w:color w:val="131314"/>
          <w:sz w:val="24"/>
          <w:szCs w:val="24"/>
        </w:rPr>
        <w:t>garantia e ampliação do acesso ao esporte e ao lazer como direitos sociai</w:t>
      </w:r>
      <w:r>
        <w:rPr>
          <w:color w:val="131314"/>
          <w:sz w:val="24"/>
          <w:szCs w:val="24"/>
        </w:rPr>
        <w:t>s e constitucionais (São Luís, 2013). Na prática, porém, a ênfase recai sobre o esporte, sobretudo por meio da realização de eventos pontuais — copas, festivais, corridas, torneios e campeonatos — que, embora relevantes, não substituem ações sistemáticas e</w:t>
      </w:r>
      <w:r>
        <w:rPr>
          <w:color w:val="131314"/>
          <w:sz w:val="24"/>
          <w:szCs w:val="24"/>
        </w:rPr>
        <w:t xml:space="preserve"> planejadas, não havendo, portanto, uma política de animação regular nos espaços visitados.</w:t>
      </w:r>
    </w:p>
    <w:p w14:paraId="4FD9029E" w14:textId="77777777" w:rsidR="0061230F" w:rsidRDefault="00124BFE">
      <w:pPr>
        <w:spacing w:line="360" w:lineRule="auto"/>
        <w:ind w:firstLine="709"/>
        <w:jc w:val="both"/>
        <w:rPr>
          <w:color w:val="131314"/>
          <w:sz w:val="24"/>
          <w:szCs w:val="24"/>
        </w:rPr>
      </w:pPr>
      <w:r>
        <w:rPr>
          <w:color w:val="131314"/>
          <w:sz w:val="24"/>
          <w:szCs w:val="24"/>
        </w:rPr>
        <w:t xml:space="preserve"> De</w:t>
      </w:r>
      <w:r>
        <w:rPr>
          <w:sz w:val="24"/>
          <w:szCs w:val="24"/>
        </w:rPr>
        <w:t xml:space="preserve"> um lado, </w:t>
      </w:r>
      <w:r>
        <w:rPr>
          <w:color w:val="131314"/>
          <w:sz w:val="24"/>
          <w:szCs w:val="24"/>
        </w:rPr>
        <w:t>essa abordagem revela uma visão salvacionista do esporte, que, segundo Athayde (2011, p. 200) se configura como “síndrome do salvador da pátria”, ao se</w:t>
      </w:r>
      <w:r>
        <w:rPr>
          <w:color w:val="131314"/>
          <w:sz w:val="24"/>
          <w:szCs w:val="24"/>
        </w:rPr>
        <w:t xml:space="preserve">r atribuído a ele o papel de </w:t>
      </w:r>
      <w:r>
        <w:rPr>
          <w:sz w:val="24"/>
          <w:szCs w:val="24"/>
        </w:rPr>
        <w:t xml:space="preserve">“garantir a ascensão e inclusão social; combater a criminalidade e a </w:t>
      </w:r>
      <w:proofErr w:type="spellStart"/>
      <w:r>
        <w:rPr>
          <w:sz w:val="24"/>
          <w:szCs w:val="24"/>
        </w:rPr>
        <w:t>drogadição</w:t>
      </w:r>
      <w:proofErr w:type="spellEnd"/>
      <w:r>
        <w:rPr>
          <w:sz w:val="24"/>
          <w:szCs w:val="24"/>
        </w:rPr>
        <w:t>; e promover melhoria na qualidade de vida e saúde da população”. Por outro, o que se constatou foi a centralidade das atividades assistemáticas — o</w:t>
      </w:r>
      <w:r>
        <w:rPr>
          <w:sz w:val="24"/>
          <w:szCs w:val="24"/>
        </w:rPr>
        <w:t>s eventos esportivos — em detrimento da institucionalização de políticas de longo prazo.</w:t>
      </w:r>
    </w:p>
    <w:p w14:paraId="53464D86" w14:textId="77777777" w:rsidR="0061230F" w:rsidRDefault="00124BFE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Tal lacuna se manifesta de forma alarmante nos dados de cobertura da política municipal, que, em 2017, previa atingir apenas 0,64</w:t>
      </w:r>
      <w:r>
        <w:rPr>
          <w:color w:val="131314"/>
          <w:sz w:val="24"/>
          <w:szCs w:val="24"/>
        </w:rPr>
        <w:t>% da população, e em 2018, 0,49%. Esses índices revelam o caráter extremamente focalizado da política, cuja lógica compensatória atinge apenas uma parcela muito restrita da população, distanciando-se da perspectiva universalista que deveria nortear os dire</w:t>
      </w:r>
      <w:r>
        <w:rPr>
          <w:color w:val="131314"/>
          <w:sz w:val="24"/>
          <w:szCs w:val="24"/>
        </w:rPr>
        <w:t xml:space="preserve">itos ao esporte e ao lazer. </w:t>
      </w:r>
    </w:p>
    <w:p w14:paraId="4B18FD9F" w14:textId="77777777" w:rsidR="0061230F" w:rsidRDefault="00124BFE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Outro fato que compromete a consolidação da política esportiva municipal diz respeito ao reduzido quadro de funcionários na Secretaria, agravado pela </w:t>
      </w:r>
      <w:r>
        <w:rPr>
          <w:color w:val="000000"/>
          <w:sz w:val="24"/>
          <w:szCs w:val="24"/>
        </w:rPr>
        <w:t>ausência de concursos públicos. Essa carência transforma a pasta em um espaço</w:t>
      </w:r>
      <w:r>
        <w:rPr>
          <w:color w:val="000000"/>
          <w:sz w:val="24"/>
          <w:szCs w:val="24"/>
        </w:rPr>
        <w:t xml:space="preserve"> propício para a acomodação de cargos por critérios políticos, o que, </w:t>
      </w:r>
      <w:r>
        <w:rPr>
          <w:sz w:val="24"/>
          <w:szCs w:val="24"/>
        </w:rPr>
        <w:t xml:space="preserve">conforme </w:t>
      </w:r>
      <w:proofErr w:type="spellStart"/>
      <w:r>
        <w:rPr>
          <w:color w:val="000000"/>
          <w:sz w:val="24"/>
          <w:szCs w:val="24"/>
        </w:rPr>
        <w:t>Dalmas</w:t>
      </w:r>
      <w:proofErr w:type="spellEnd"/>
      <w:r>
        <w:rPr>
          <w:color w:val="000000"/>
          <w:sz w:val="24"/>
          <w:szCs w:val="24"/>
          <w:vertAlign w:val="superscript"/>
        </w:rPr>
        <w:t xml:space="preserve"> </w:t>
      </w:r>
      <w:r>
        <w:rPr>
          <w:color w:val="000000"/>
          <w:sz w:val="24"/>
          <w:szCs w:val="24"/>
        </w:rPr>
        <w:t xml:space="preserve">(2022) contribui para uma alta rotatividade de servidores, </w:t>
      </w:r>
      <w:proofErr w:type="spellStart"/>
      <w:r>
        <w:rPr>
          <w:color w:val="000000"/>
          <w:sz w:val="24"/>
          <w:szCs w:val="24"/>
        </w:rPr>
        <w:t>precarizando</w:t>
      </w:r>
      <w:proofErr w:type="spellEnd"/>
      <w:r>
        <w:rPr>
          <w:color w:val="000000"/>
          <w:sz w:val="24"/>
          <w:szCs w:val="24"/>
        </w:rPr>
        <w:t xml:space="preserve"> as condições de trabalho e dificultando a continuidade das ações planejadas. </w:t>
      </w:r>
    </w:p>
    <w:p w14:paraId="18C6A4D7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análise dos dados </w:t>
      </w:r>
      <w:r>
        <w:rPr>
          <w:sz w:val="24"/>
          <w:szCs w:val="24"/>
        </w:rPr>
        <w:t>disponíveis no Portal da Transparência da Prefeitura de São Luís (São Luís, 2023) reforça esse diagnóstico: dos 160 servidores vinculados à SEMDEL, apenas 2,4% pertencem ao quadro, enquanto 86,2% (138 servidores) são “prestadores de serviço”, isto é, contr</w:t>
      </w:r>
      <w:r>
        <w:rPr>
          <w:sz w:val="24"/>
          <w:szCs w:val="24"/>
        </w:rPr>
        <w:t>atados temporariamente. Chama atenção o fato de que, a cada mudança de gestão, mais de 90% dos profissionais que integram a Secretaria podem ser substituídos, revelando um grau extremo de instabilidade na estrutura organizacional.</w:t>
      </w:r>
    </w:p>
    <w:p w14:paraId="17AE8B0C" w14:textId="709785CB" w:rsidR="0061230F" w:rsidRDefault="00124BFE">
      <w:pPr>
        <w:spacing w:line="360" w:lineRule="auto"/>
        <w:ind w:firstLine="708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Essa alta rotatividade co</w:t>
      </w:r>
      <w:r>
        <w:rPr>
          <w:sz w:val="24"/>
          <w:szCs w:val="24"/>
        </w:rPr>
        <w:t>mpromete significa</w:t>
      </w:r>
      <w:r w:rsidR="00E874AE">
        <w:rPr>
          <w:sz w:val="24"/>
          <w:szCs w:val="24"/>
        </w:rPr>
        <w:t>tiva</w:t>
      </w:r>
      <w:r>
        <w:rPr>
          <w:sz w:val="24"/>
          <w:szCs w:val="24"/>
        </w:rPr>
        <w:t xml:space="preserve">mente a continuidade das políticas públicas, especialmente pela ausência de servidores de carreira, que poderiam garantir a preservação da memória administrativa e a implementação progressiva de projetos estruturantes. Soma-se a isso </w:t>
      </w:r>
      <w:r>
        <w:rPr>
          <w:sz w:val="24"/>
          <w:szCs w:val="24"/>
        </w:rPr>
        <w:t>o dado alarmante de que nenhum dos servidores possui formação ou vínculo direto com a área-fim da Secretaria, ou seja, com os campos da Educação Física, Esporte ou Lazer, o que agrava ainda mais a distância entre a formulação técnica e a execução das polít</w:t>
      </w:r>
      <w:r>
        <w:rPr>
          <w:sz w:val="24"/>
          <w:szCs w:val="24"/>
        </w:rPr>
        <w:t>icas setoriais.</w:t>
      </w:r>
    </w:p>
    <w:p w14:paraId="1E191504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Essas constatações são corroboradas pelas declarações do próprio Gestor da SEMDEL, que reconhece as fragilidades estruturais do quadro funcional ao afirmar que a predominância de “cargos comissionados, poucos efetivos e os chamados serviços</w:t>
      </w:r>
      <w:r>
        <w:rPr>
          <w:sz w:val="24"/>
          <w:szCs w:val="24"/>
        </w:rPr>
        <w:t xml:space="preserve"> prestados (</w:t>
      </w:r>
      <w:proofErr w:type="spellStart"/>
      <w:r>
        <w:rPr>
          <w:sz w:val="24"/>
          <w:szCs w:val="24"/>
        </w:rPr>
        <w:t>SPs</w:t>
      </w:r>
      <w:proofErr w:type="spellEnd"/>
      <w:r>
        <w:rPr>
          <w:sz w:val="24"/>
          <w:szCs w:val="24"/>
        </w:rPr>
        <w:t xml:space="preserve">) constitui uma grande problemática que o próprio município carrega ‘em seu ombro’”. No âmbito dos programas “Movimento Resgate” e “São Luís Saudável”, segundo ele, “todos são </w:t>
      </w:r>
      <w:proofErr w:type="spellStart"/>
      <w:r>
        <w:rPr>
          <w:sz w:val="24"/>
          <w:szCs w:val="24"/>
        </w:rPr>
        <w:t>SPs</w:t>
      </w:r>
      <w:proofErr w:type="spellEnd"/>
      <w:r>
        <w:rPr>
          <w:sz w:val="24"/>
          <w:szCs w:val="24"/>
        </w:rPr>
        <w:t>. Muitos são habilitados e muitos não, Essa é a realidade, por</w:t>
      </w:r>
      <w:r>
        <w:rPr>
          <w:sz w:val="24"/>
          <w:szCs w:val="24"/>
        </w:rPr>
        <w:t>que são da comunidade”.</w:t>
      </w:r>
    </w:p>
    <w:p w14:paraId="43480322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Destaca-se, nesse contexto, a criação dos chamados “agentes do esporte”, oriundos majoritariamente das próprias comunidades atendidas, o que levou à contratação de </w:t>
      </w:r>
      <w:proofErr w:type="spellStart"/>
      <w:r>
        <w:rPr>
          <w:sz w:val="24"/>
          <w:szCs w:val="24"/>
        </w:rPr>
        <w:t>ex-atletas</w:t>
      </w:r>
      <w:proofErr w:type="spellEnd"/>
      <w:r>
        <w:rPr>
          <w:sz w:val="24"/>
          <w:szCs w:val="24"/>
        </w:rPr>
        <w:t xml:space="preserve"> — em sua maioria ligada ao futebol — muitos deles com mai</w:t>
      </w:r>
      <w:r>
        <w:rPr>
          <w:sz w:val="24"/>
          <w:szCs w:val="24"/>
        </w:rPr>
        <w:t>s de 60 ou 70 anos de idade. De acordo com o Gestor, essa prática foi marcada por forte influência política, sendo o futebol o eixo central das ações e das decisões quanto à seleção dos profissionais para atuar nas escolinhas de iniciação esportiva do Prog</w:t>
      </w:r>
      <w:r>
        <w:rPr>
          <w:sz w:val="24"/>
          <w:szCs w:val="24"/>
        </w:rPr>
        <w:t>rama “Movimento Resgate”.</w:t>
      </w:r>
    </w:p>
    <w:p w14:paraId="3CAD1089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entrevista evidencia, portanto, a hegemonia do futebol como modalidade privilegiada e a instrumentalização político-partidária das ações do Programa, com critérios de contratação que nem sempre consideram a formação técnica ou p</w:t>
      </w:r>
      <w:r>
        <w:rPr>
          <w:sz w:val="24"/>
          <w:szCs w:val="24"/>
        </w:rPr>
        <w:t xml:space="preserve">edagógica dos profissionais, com o próprio Gestor admitindo ser uma dificuldade da atual gestão, a de romper com esse padrão. </w:t>
      </w:r>
    </w:p>
    <w:p w14:paraId="566021CC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Não por acaso, a observação direta realizada nos espaços analisados evidenciou a ausência de atuação da SEMDEL na oferta de orien</w:t>
      </w:r>
      <w:r>
        <w:rPr>
          <w:sz w:val="24"/>
          <w:szCs w:val="24"/>
        </w:rPr>
        <w:t>tação qualificada à população. Em grande parte dos locais, não havia presença de profissionais vinculados à Secretaria, predominando atividades desenvolvidas de forma autônoma pelas próprias comunidades. Precisamente, em mais de 60% dos 23 espaços visitado</w:t>
      </w:r>
      <w:r>
        <w:rPr>
          <w:sz w:val="24"/>
          <w:szCs w:val="24"/>
        </w:rPr>
        <w:t>s, não foram encontrados profissionais de Educação Física atuando na orientação das práticas realizadas.</w:t>
      </w:r>
    </w:p>
    <w:p w14:paraId="40FD7AA2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Nos 39,1% dos locais onde havia profissionais presentes, a maioria era composta por prestadores de serviço, o que corrobora tanto as declarações do Ges</w:t>
      </w:r>
      <w:r>
        <w:rPr>
          <w:sz w:val="24"/>
          <w:szCs w:val="24"/>
        </w:rPr>
        <w:t>tor quanto os dados oficiais disponíveis. A ausência de uma política efetiva nesses espaços é reforçada pelas respostas dos usuários: cerca de 80% afirmaram não receber qualquer tipo de orientação ofertada por integrantes da Secretaria.</w:t>
      </w:r>
    </w:p>
    <w:p w14:paraId="5756656D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Esse cenário tem im</w:t>
      </w:r>
      <w:r>
        <w:rPr>
          <w:sz w:val="24"/>
          <w:szCs w:val="24"/>
        </w:rPr>
        <w:t>plicações diretas no modo como os espaços são utilizados. Como 81% dos usuários não contratam profissionais particulares, o uso dos equipamentos ocorre de forma aleatória e desassistida, sem acompanhamento qualificado, o que representa uma omissão do poder</w:t>
      </w:r>
      <w:r>
        <w:rPr>
          <w:sz w:val="24"/>
          <w:szCs w:val="24"/>
        </w:rPr>
        <w:t xml:space="preserve"> público. Adicionalmente, verificou-se que os 138 prestadores de serviço vinculados à SEMDEL atuam exclusivamente nas escolinhas de iniciação esportiva, especialmente no âmbito do Programa “Movimento Resgate”, deixando de atender o público em geral que fre</w:t>
      </w:r>
      <w:r>
        <w:rPr>
          <w:sz w:val="24"/>
          <w:szCs w:val="24"/>
        </w:rPr>
        <w:t xml:space="preserve">quenta os demais espaços públicos de esporte e lazer. </w:t>
      </w:r>
    </w:p>
    <w:p w14:paraId="287DF8DD" w14:textId="77777777" w:rsidR="0061230F" w:rsidRDefault="00124BF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Isso evidencia uma política restrita, que prioriza projetos pontuais em detrimento de uma oferta ampla, contínua e universal de esporte e lazer à população </w:t>
      </w:r>
      <w:proofErr w:type="spellStart"/>
      <w:r>
        <w:rPr>
          <w:sz w:val="24"/>
          <w:szCs w:val="24"/>
        </w:rPr>
        <w:t>ludovicense</w:t>
      </w:r>
      <w:proofErr w:type="spellEnd"/>
      <w:r>
        <w:rPr>
          <w:sz w:val="24"/>
          <w:szCs w:val="24"/>
        </w:rPr>
        <w:t>. Diante disso, é fundamental reaf</w:t>
      </w:r>
      <w:r>
        <w:rPr>
          <w:sz w:val="24"/>
          <w:szCs w:val="24"/>
        </w:rPr>
        <w:t xml:space="preserve">irmar que “[...] as diretrizes gerais de uma política municipal de lazer não podem se restringir apenas a uma política de </w:t>
      </w:r>
      <w:r>
        <w:rPr>
          <w:sz w:val="24"/>
          <w:szCs w:val="24"/>
        </w:rPr>
        <w:lastRenderedPageBreak/>
        <w:t>atividades, mas devem contemplar questões relativas à formação e desenvolvimento de quadros para atuação, aos espaços e equipamentos e</w:t>
      </w:r>
      <w:r>
        <w:rPr>
          <w:sz w:val="24"/>
          <w:szCs w:val="24"/>
        </w:rPr>
        <w:t xml:space="preserve"> critérios de reordenação do tempo” (</w:t>
      </w:r>
      <w:proofErr w:type="spellStart"/>
      <w:r>
        <w:rPr>
          <w:sz w:val="24"/>
          <w:szCs w:val="24"/>
        </w:rPr>
        <w:t>Marcellino</w:t>
      </w:r>
      <w:proofErr w:type="spellEnd"/>
      <w:r>
        <w:rPr>
          <w:sz w:val="24"/>
          <w:szCs w:val="24"/>
        </w:rPr>
        <w:t xml:space="preserve">, 2008, p. 15). A incorporação dessas dimensões representaria um avanço significativo na efetivação do direito ao esporte e ao lazer, promovendo e inclusão para a população. </w:t>
      </w:r>
    </w:p>
    <w:p w14:paraId="03C11034" w14:textId="77777777" w:rsidR="0061230F" w:rsidRDefault="0061230F">
      <w:pPr>
        <w:tabs>
          <w:tab w:val="left" w:pos="3990"/>
        </w:tabs>
        <w:spacing w:line="360" w:lineRule="auto"/>
        <w:jc w:val="both"/>
        <w:rPr>
          <w:sz w:val="24"/>
          <w:szCs w:val="24"/>
        </w:rPr>
      </w:pPr>
    </w:p>
    <w:p w14:paraId="20974D2B" w14:textId="77777777" w:rsidR="0061230F" w:rsidRDefault="00124BF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</w:t>
      </w:r>
    </w:p>
    <w:p w14:paraId="67783FE3" w14:textId="77777777" w:rsidR="0061230F" w:rsidRDefault="0061230F">
      <w:pPr>
        <w:spacing w:line="360" w:lineRule="auto"/>
        <w:jc w:val="both"/>
        <w:rPr>
          <w:sz w:val="24"/>
          <w:szCs w:val="24"/>
        </w:rPr>
      </w:pPr>
    </w:p>
    <w:p w14:paraId="0B37DC6E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das dimens</w:t>
      </w:r>
      <w:r>
        <w:rPr>
          <w:sz w:val="24"/>
          <w:szCs w:val="24"/>
        </w:rPr>
        <w:t xml:space="preserve">ões “escrito”, “dito” e “feito” revela que, apesar de uma base legal e orçamentária que prevê o fomento e a democratização do esporte e lazer em São Luís, a realidade da SEMDEL é marcada por descontinuidade, ineficiência na gestão, falta de transparência, </w:t>
      </w:r>
      <w:r>
        <w:rPr>
          <w:sz w:val="24"/>
          <w:szCs w:val="24"/>
        </w:rPr>
        <w:t>ausência de planejamento integrado e uma prevalência de interesses políticos e clientelistas sobre a efetiva garantia do direito ao esporte e lazer para toda à população.</w:t>
      </w:r>
    </w:p>
    <w:p w14:paraId="79103030" w14:textId="77777777" w:rsidR="0061230F" w:rsidRDefault="00124B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Nessa perspectiva, defende-se a redefinição da política setorial, com dotação orçamentária suficiente para a construção de novos espaços/equipamentos, distribuídos democraticamente na cidade e a manutenção/segurança dos já existentes, bem como concurso púb</w:t>
      </w:r>
      <w:r>
        <w:rPr>
          <w:sz w:val="24"/>
          <w:szCs w:val="24"/>
        </w:rPr>
        <w:t>lico para ingresso de equipe efetiva de profissionais especializados e atualização/qualificação dos já existentes, como maneira de garantir um programa regular de ações esportivas de lazer em todos os espaços e equipamentos municipais, no qual os eventos s</w:t>
      </w:r>
      <w:r>
        <w:rPr>
          <w:sz w:val="24"/>
          <w:szCs w:val="24"/>
        </w:rPr>
        <w:t>ejam culminância e não a finalística do órgão gestor. Somente assim, será possível efetivar o direito ao esporte e lazer em São Luís do Maranhão, como prevê a Lei Orgânica do Munícipio e a Constituição Federal de 1988.</w:t>
      </w:r>
    </w:p>
    <w:p w14:paraId="61BBCB14" w14:textId="77777777" w:rsidR="00CF4EFC" w:rsidRDefault="00CF4EFC" w:rsidP="00362ACB">
      <w:pPr>
        <w:spacing w:line="240" w:lineRule="auto"/>
        <w:jc w:val="center"/>
        <w:rPr>
          <w:b/>
          <w:sz w:val="24"/>
          <w:szCs w:val="24"/>
        </w:rPr>
      </w:pPr>
    </w:p>
    <w:p w14:paraId="427C5B9A" w14:textId="48DC2148" w:rsidR="0061230F" w:rsidRDefault="00124BFE" w:rsidP="00362ACB">
      <w:pPr>
        <w:spacing w:line="240" w:lineRule="auto"/>
        <w:jc w:val="center"/>
        <w:rPr>
          <w:sz w:val="24"/>
          <w:szCs w:val="24"/>
        </w:rPr>
      </w:pPr>
      <w:bookmarkStart w:id="0" w:name="_GoBack"/>
      <w:bookmarkEnd w:id="0"/>
      <w:r w:rsidRPr="00D425D6">
        <w:rPr>
          <w:b/>
          <w:sz w:val="24"/>
          <w:szCs w:val="24"/>
        </w:rPr>
        <w:t>REFERÊNCIAS</w:t>
      </w:r>
    </w:p>
    <w:p w14:paraId="0CD9A97A" w14:textId="77777777" w:rsidR="00D425D6" w:rsidRPr="00D425D6" w:rsidRDefault="00D425D6" w:rsidP="00D425D6">
      <w:pPr>
        <w:spacing w:line="240" w:lineRule="auto"/>
        <w:rPr>
          <w:sz w:val="24"/>
          <w:szCs w:val="24"/>
        </w:rPr>
      </w:pPr>
    </w:p>
    <w:p w14:paraId="37D2ECE6" w14:textId="5F36F26A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ATHAYDE, P. F. A. O “lu</w:t>
      </w:r>
      <w:r w:rsidRPr="00D425D6">
        <w:rPr>
          <w:sz w:val="24"/>
          <w:szCs w:val="24"/>
        </w:rPr>
        <w:t xml:space="preserve">gar do social” na Política de Esporte do Governo Lula. </w:t>
      </w:r>
      <w:r w:rsidRPr="00D425D6">
        <w:rPr>
          <w:b/>
          <w:sz w:val="24"/>
          <w:szCs w:val="24"/>
        </w:rPr>
        <w:t>Ser Social</w:t>
      </w:r>
      <w:r w:rsidRPr="00D425D6">
        <w:rPr>
          <w:sz w:val="24"/>
          <w:szCs w:val="24"/>
        </w:rPr>
        <w:t>, v.</w:t>
      </w:r>
      <w:r w:rsidR="00362ACB">
        <w:rPr>
          <w:sz w:val="24"/>
          <w:szCs w:val="24"/>
        </w:rPr>
        <w:t xml:space="preserve"> </w:t>
      </w:r>
      <w:r w:rsidRPr="00D425D6">
        <w:rPr>
          <w:sz w:val="24"/>
          <w:szCs w:val="24"/>
        </w:rPr>
        <w:t>13, n. 28, p. 184–209, 2011.</w:t>
      </w:r>
    </w:p>
    <w:p w14:paraId="31D7181C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23C4BADF" w14:textId="4E1A0ABE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 xml:space="preserve">BARDIN, L. </w:t>
      </w:r>
      <w:r w:rsidRPr="00D425D6">
        <w:rPr>
          <w:b/>
          <w:sz w:val="24"/>
          <w:szCs w:val="24"/>
        </w:rPr>
        <w:t xml:space="preserve">Análise de Conteúdo. </w:t>
      </w:r>
      <w:r w:rsidRPr="00D425D6">
        <w:rPr>
          <w:sz w:val="24"/>
          <w:szCs w:val="24"/>
        </w:rPr>
        <w:t>São Paulo: Edições 70, 2016.</w:t>
      </w:r>
    </w:p>
    <w:p w14:paraId="4D41C88A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6FB73391" w14:textId="1990F647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MAGALHÃES, Y</w:t>
      </w:r>
      <w:r w:rsidR="00E9575D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</w:t>
      </w:r>
      <w:r w:rsidR="00E9575D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</w:t>
      </w:r>
      <w:proofErr w:type="spellStart"/>
      <w:r w:rsidRPr="00D425D6">
        <w:rPr>
          <w:sz w:val="24"/>
          <w:szCs w:val="24"/>
        </w:rPr>
        <w:t>da</w:t>
      </w:r>
      <w:proofErr w:type="spellEnd"/>
      <w:r w:rsidRPr="00D425D6">
        <w:rPr>
          <w:sz w:val="24"/>
          <w:szCs w:val="24"/>
        </w:rPr>
        <w:t xml:space="preserve"> S. </w:t>
      </w:r>
      <w:r w:rsidRPr="00D425D6">
        <w:rPr>
          <w:b/>
          <w:sz w:val="24"/>
          <w:szCs w:val="24"/>
        </w:rPr>
        <w:t xml:space="preserve">As políticas públicas de esporte no Maranhão nos governos Roseana </w:t>
      </w:r>
      <w:r w:rsidRPr="00D425D6">
        <w:rPr>
          <w:b/>
          <w:sz w:val="24"/>
          <w:szCs w:val="24"/>
        </w:rPr>
        <w:t>Sarney (2011-2014) e Flávio Dino (2015-2018)</w:t>
      </w:r>
      <w:r w:rsidRPr="00D425D6">
        <w:rPr>
          <w:sz w:val="24"/>
          <w:szCs w:val="24"/>
        </w:rPr>
        <w:t xml:space="preserve">: entre a continuidade e a intenção de ruptura. 2023. 200 f. Tese (Doutorado) - Curso de Educação Física, Universidade de Brasília, Brasília, 2023. </w:t>
      </w:r>
    </w:p>
    <w:p w14:paraId="62422EEB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200EE748" w14:textId="31920557" w:rsidR="0061230F" w:rsidRPr="00D425D6" w:rsidRDefault="00D425D6" w:rsidP="00D425D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MARANHÃO</w:t>
      </w:r>
      <w:r w:rsidRPr="00D425D6">
        <w:rPr>
          <w:sz w:val="24"/>
          <w:szCs w:val="24"/>
        </w:rPr>
        <w:t xml:space="preserve">. </w:t>
      </w:r>
      <w:r w:rsidRPr="00D425D6">
        <w:rPr>
          <w:b/>
          <w:sz w:val="24"/>
          <w:szCs w:val="24"/>
        </w:rPr>
        <w:t>Portal da Transparência 2023</w:t>
      </w:r>
      <w:r w:rsidRPr="00D425D6">
        <w:rPr>
          <w:sz w:val="24"/>
          <w:szCs w:val="24"/>
        </w:rPr>
        <w:t>. Remuneração de Servido</w:t>
      </w:r>
      <w:r w:rsidR="002C54AE">
        <w:rPr>
          <w:sz w:val="24"/>
          <w:szCs w:val="24"/>
        </w:rPr>
        <w:t>res.</w:t>
      </w:r>
    </w:p>
    <w:p w14:paraId="76CB7CEF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7784DD79" w14:textId="72DF2B7C" w:rsidR="0061230F" w:rsidRPr="00D425D6" w:rsidRDefault="00D425D6" w:rsidP="00D425D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MARANHÃO</w:t>
      </w:r>
      <w:r w:rsidRPr="00D425D6">
        <w:rPr>
          <w:sz w:val="24"/>
          <w:szCs w:val="24"/>
        </w:rPr>
        <w:t xml:space="preserve">. Secretaria de Estado do Esporte e Lazer. </w:t>
      </w:r>
      <w:r w:rsidRPr="00D425D6">
        <w:rPr>
          <w:b/>
          <w:sz w:val="24"/>
          <w:szCs w:val="24"/>
        </w:rPr>
        <w:t>Relatório de atividades</w:t>
      </w:r>
      <w:r w:rsidRPr="00D425D6">
        <w:rPr>
          <w:sz w:val="24"/>
          <w:szCs w:val="24"/>
        </w:rPr>
        <w:t>. São Luís, 2013. 54f.</w:t>
      </w:r>
    </w:p>
    <w:p w14:paraId="3F316684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65369DA8" w14:textId="73DBC735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MARCELLINO, N</w:t>
      </w:r>
      <w:r w:rsidR="00E9575D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</w:t>
      </w:r>
      <w:r w:rsidR="00E9575D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</w:t>
      </w:r>
      <w:r w:rsidRPr="00D425D6">
        <w:rPr>
          <w:i/>
          <w:sz w:val="24"/>
          <w:szCs w:val="24"/>
        </w:rPr>
        <w:t>et al</w:t>
      </w:r>
      <w:r w:rsidRPr="00D425D6">
        <w:rPr>
          <w:sz w:val="24"/>
          <w:szCs w:val="24"/>
        </w:rPr>
        <w:t xml:space="preserve">. </w:t>
      </w:r>
      <w:r w:rsidRPr="00D425D6">
        <w:rPr>
          <w:b/>
          <w:sz w:val="24"/>
          <w:szCs w:val="24"/>
        </w:rPr>
        <w:t>Políticas públicas de lazer - formação e desenvolvimento de pessoal</w:t>
      </w:r>
      <w:r w:rsidRPr="00D425D6">
        <w:rPr>
          <w:sz w:val="24"/>
          <w:szCs w:val="24"/>
        </w:rPr>
        <w:t xml:space="preserve">: os casos de Campinas e </w:t>
      </w:r>
      <w:r w:rsidR="005A4836" w:rsidRPr="00D425D6">
        <w:rPr>
          <w:sz w:val="24"/>
          <w:szCs w:val="24"/>
        </w:rPr>
        <w:t>Piracicaba</w:t>
      </w:r>
      <w:r w:rsidRPr="00D425D6">
        <w:rPr>
          <w:sz w:val="24"/>
          <w:szCs w:val="24"/>
        </w:rPr>
        <w:t xml:space="preserve"> – SP. 1 ed. Curitiba, PR: Opus, 2007.</w:t>
      </w:r>
    </w:p>
    <w:p w14:paraId="7B4B2FB6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0E7258B9" w14:textId="1EDAAEE1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MARCELLINO, N</w:t>
      </w:r>
      <w:r w:rsidR="00E9575D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C. </w:t>
      </w:r>
      <w:r w:rsidRPr="00D425D6">
        <w:rPr>
          <w:b/>
          <w:sz w:val="24"/>
          <w:szCs w:val="24"/>
        </w:rPr>
        <w:t>Políticas públicas de</w:t>
      </w:r>
      <w:r w:rsidRPr="00D425D6">
        <w:rPr>
          <w:b/>
          <w:sz w:val="24"/>
          <w:szCs w:val="24"/>
        </w:rPr>
        <w:t xml:space="preserve"> lazer</w:t>
      </w:r>
      <w:r w:rsidRPr="00D425D6">
        <w:rPr>
          <w:sz w:val="24"/>
          <w:szCs w:val="24"/>
        </w:rPr>
        <w:t>. Campinas, SP: Editora Alínea, 2008.</w:t>
      </w:r>
    </w:p>
    <w:p w14:paraId="53C27192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658BC900" w14:textId="40546E53" w:rsidR="0061230F" w:rsidRPr="00D425D6" w:rsidRDefault="00124BFE" w:rsidP="00D425D6">
      <w:pPr>
        <w:shd w:val="clear" w:color="auto" w:fill="FFFFFF"/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MARCELLINO, N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>; BARBOSA, F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S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>; MARIANO, S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H. A cidade e os acessos aos espaços e equipamentos de lazer. </w:t>
      </w:r>
      <w:r w:rsidRPr="00D425D6">
        <w:rPr>
          <w:b/>
          <w:sz w:val="24"/>
          <w:szCs w:val="24"/>
        </w:rPr>
        <w:t>Re</w:t>
      </w:r>
      <w:r w:rsidR="00362ACB">
        <w:rPr>
          <w:b/>
          <w:sz w:val="24"/>
          <w:szCs w:val="24"/>
        </w:rPr>
        <w:t xml:space="preserve">vista </w:t>
      </w:r>
      <w:r w:rsidRPr="00D425D6">
        <w:rPr>
          <w:b/>
          <w:sz w:val="24"/>
          <w:szCs w:val="24"/>
        </w:rPr>
        <w:t>Impulso</w:t>
      </w:r>
      <w:r w:rsidRPr="00D425D6">
        <w:rPr>
          <w:sz w:val="24"/>
          <w:szCs w:val="24"/>
        </w:rPr>
        <w:t>. Piracicaba,</w:t>
      </w:r>
      <w:r w:rsidR="006A519D">
        <w:rPr>
          <w:sz w:val="24"/>
          <w:szCs w:val="24"/>
        </w:rPr>
        <w:t xml:space="preserve"> v. </w:t>
      </w:r>
      <w:r w:rsidRPr="00D425D6">
        <w:rPr>
          <w:sz w:val="24"/>
          <w:szCs w:val="24"/>
        </w:rPr>
        <w:t>17</w:t>
      </w:r>
      <w:r w:rsidR="006A519D">
        <w:rPr>
          <w:sz w:val="24"/>
          <w:szCs w:val="24"/>
        </w:rPr>
        <w:t xml:space="preserve">, n. </w:t>
      </w:r>
      <w:r w:rsidRPr="00D425D6">
        <w:rPr>
          <w:sz w:val="24"/>
          <w:szCs w:val="24"/>
        </w:rPr>
        <w:t>44, p. 55-66. 2006.</w:t>
      </w:r>
    </w:p>
    <w:p w14:paraId="3EAAF278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3F24CDE5" w14:textId="62D422AD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 xml:space="preserve">RECHIA, S. Atividades físicas e esportivas e as cidades. </w:t>
      </w:r>
      <w:r w:rsidRPr="00D425D6">
        <w:rPr>
          <w:i/>
          <w:sz w:val="24"/>
          <w:szCs w:val="24"/>
        </w:rPr>
        <w:t>In</w:t>
      </w:r>
      <w:r w:rsidRPr="00D425D6">
        <w:rPr>
          <w:sz w:val="24"/>
          <w:szCs w:val="24"/>
        </w:rPr>
        <w:t xml:space="preserve">: PNUD - Programa das Nações Unidas para o Desenvolvimento (Org.). </w:t>
      </w:r>
      <w:r w:rsidRPr="00D425D6">
        <w:rPr>
          <w:b/>
          <w:sz w:val="24"/>
          <w:szCs w:val="24"/>
        </w:rPr>
        <w:t>Relatório de desenvolvimento humano nacional – movimento é vida</w:t>
      </w:r>
      <w:r w:rsidRPr="00D425D6">
        <w:rPr>
          <w:sz w:val="24"/>
          <w:szCs w:val="24"/>
        </w:rPr>
        <w:t>: atividade físicas e esportivas para todas as pessoas: 2017. Brasí</w:t>
      </w:r>
      <w:r w:rsidRPr="00D425D6">
        <w:rPr>
          <w:sz w:val="24"/>
          <w:szCs w:val="24"/>
        </w:rPr>
        <w:t xml:space="preserve">lia: PNUD, 2017. 392 p. </w:t>
      </w:r>
    </w:p>
    <w:p w14:paraId="01FB9E0A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2CEAA2ED" w14:textId="2E9FBE99" w:rsidR="0061230F" w:rsidRPr="00D425D6" w:rsidRDefault="00124BFE" w:rsidP="00D425D6">
      <w:pPr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SILVA, M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</w:t>
      </w:r>
      <w:proofErr w:type="spellStart"/>
      <w:r w:rsidRPr="00D425D6">
        <w:rPr>
          <w:sz w:val="24"/>
          <w:szCs w:val="24"/>
        </w:rPr>
        <w:t>da</w:t>
      </w:r>
      <w:proofErr w:type="spellEnd"/>
      <w:r w:rsidRPr="00D425D6">
        <w:rPr>
          <w:sz w:val="24"/>
          <w:szCs w:val="24"/>
        </w:rPr>
        <w:t xml:space="preserve">; SILVA, </w:t>
      </w:r>
      <w:r w:rsidR="002C6079">
        <w:rPr>
          <w:sz w:val="24"/>
          <w:szCs w:val="24"/>
        </w:rPr>
        <w:t>A.</w:t>
      </w:r>
      <w:r w:rsidRPr="00D425D6">
        <w:rPr>
          <w:sz w:val="24"/>
          <w:szCs w:val="24"/>
        </w:rPr>
        <w:t xml:space="preserve"> B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da; AMORIN, T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E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C. Condições de espaços públicos destinados a prática de atividades físicas na cidade de Pelotas/RS/Brasil. </w:t>
      </w:r>
      <w:r w:rsidRPr="00D425D6">
        <w:rPr>
          <w:b/>
          <w:sz w:val="24"/>
          <w:szCs w:val="24"/>
        </w:rPr>
        <w:t xml:space="preserve">Revista Brasileira de Atividade Física </w:t>
      </w:r>
      <w:r w:rsidR="006A519D">
        <w:rPr>
          <w:b/>
          <w:sz w:val="24"/>
          <w:szCs w:val="24"/>
        </w:rPr>
        <w:t>e</w:t>
      </w:r>
      <w:r w:rsidRPr="00D425D6">
        <w:rPr>
          <w:b/>
          <w:sz w:val="24"/>
          <w:szCs w:val="24"/>
        </w:rPr>
        <w:t xml:space="preserve"> Saúde</w:t>
      </w:r>
      <w:r w:rsidRPr="00D425D6">
        <w:rPr>
          <w:sz w:val="24"/>
          <w:szCs w:val="24"/>
        </w:rPr>
        <w:t>, Pelotas, v. 17, n. 1, p. 2</w:t>
      </w:r>
      <w:r w:rsidRPr="00D425D6">
        <w:rPr>
          <w:sz w:val="24"/>
          <w:szCs w:val="24"/>
        </w:rPr>
        <w:t xml:space="preserve">8, 29 ago. 2012. </w:t>
      </w:r>
    </w:p>
    <w:p w14:paraId="407927E8" w14:textId="77777777" w:rsidR="0061230F" w:rsidRPr="00D425D6" w:rsidRDefault="0061230F" w:rsidP="00D425D6">
      <w:pPr>
        <w:spacing w:line="240" w:lineRule="auto"/>
        <w:rPr>
          <w:sz w:val="24"/>
          <w:szCs w:val="24"/>
        </w:rPr>
      </w:pPr>
    </w:p>
    <w:p w14:paraId="02FCB68B" w14:textId="33A54FA4" w:rsidR="0061230F" w:rsidRPr="00D425D6" w:rsidRDefault="00124BFE" w:rsidP="00D425D6">
      <w:pPr>
        <w:shd w:val="clear" w:color="auto" w:fill="FFFFFF"/>
        <w:spacing w:line="240" w:lineRule="auto"/>
        <w:rPr>
          <w:sz w:val="24"/>
          <w:szCs w:val="24"/>
        </w:rPr>
      </w:pPr>
      <w:r w:rsidRPr="00D425D6">
        <w:rPr>
          <w:sz w:val="24"/>
          <w:szCs w:val="24"/>
        </w:rPr>
        <w:t>UNGHERI, B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O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>; ISAYAMA, H</w:t>
      </w:r>
      <w:r w:rsidR="002C6079">
        <w:rPr>
          <w:sz w:val="24"/>
          <w:szCs w:val="24"/>
        </w:rPr>
        <w:t>.</w:t>
      </w:r>
      <w:r w:rsidRPr="00D425D6">
        <w:rPr>
          <w:sz w:val="24"/>
          <w:szCs w:val="24"/>
        </w:rPr>
        <w:t xml:space="preserve"> F. Esporte, Lazer e Descentralização. </w:t>
      </w:r>
      <w:proofErr w:type="spellStart"/>
      <w:r w:rsidRPr="00D425D6">
        <w:rPr>
          <w:b/>
          <w:sz w:val="24"/>
          <w:szCs w:val="24"/>
        </w:rPr>
        <w:t>L</w:t>
      </w:r>
      <w:r w:rsidR="006A519D">
        <w:rPr>
          <w:b/>
          <w:sz w:val="24"/>
          <w:szCs w:val="24"/>
        </w:rPr>
        <w:t>icere</w:t>
      </w:r>
      <w:proofErr w:type="spellEnd"/>
      <w:r w:rsidRPr="00D425D6">
        <w:rPr>
          <w:sz w:val="24"/>
          <w:szCs w:val="24"/>
        </w:rPr>
        <w:t xml:space="preserve">, v. 22, n. 3, p. 537-578, 27 set. 2019. Universidade Federal de Minas Gerais - </w:t>
      </w:r>
      <w:proofErr w:type="spellStart"/>
      <w:r w:rsidRPr="00D425D6">
        <w:rPr>
          <w:sz w:val="24"/>
          <w:szCs w:val="24"/>
        </w:rPr>
        <w:t>Pro-Reitoria</w:t>
      </w:r>
      <w:proofErr w:type="spellEnd"/>
      <w:r w:rsidRPr="00D425D6">
        <w:rPr>
          <w:sz w:val="24"/>
          <w:szCs w:val="24"/>
        </w:rPr>
        <w:t xml:space="preserve"> de Pesquisa. </w:t>
      </w:r>
    </w:p>
    <w:p w14:paraId="33F39C02" w14:textId="77777777" w:rsidR="0061230F" w:rsidRPr="002C6079" w:rsidRDefault="0061230F" w:rsidP="00D425D6">
      <w:pPr>
        <w:shd w:val="clear" w:color="auto" w:fill="FFFFFF"/>
        <w:spacing w:line="240" w:lineRule="auto"/>
        <w:rPr>
          <w:sz w:val="24"/>
          <w:szCs w:val="24"/>
        </w:rPr>
      </w:pPr>
    </w:p>
    <w:p w14:paraId="6C6B5118" w14:textId="67BA97BC" w:rsidR="0061230F" w:rsidRDefault="002C6079" w:rsidP="002C54AE">
      <w:pPr>
        <w:shd w:val="clear" w:color="auto" w:fill="FFFFFF"/>
        <w:spacing w:line="240" w:lineRule="auto"/>
        <w:rPr>
          <w:sz w:val="24"/>
          <w:szCs w:val="24"/>
        </w:rPr>
      </w:pPr>
      <w:r w:rsidRPr="002C6079">
        <w:rPr>
          <w:sz w:val="24"/>
          <w:szCs w:val="24"/>
        </w:rPr>
        <w:t xml:space="preserve">UNGHERI, B. O.; ISAYAMA, H. F. Equipamentos públicos de lazer e esporte: o cenário institucional de municípios que implementaram o Programa Esporte e Lazer da Cidade. </w:t>
      </w:r>
      <w:r w:rsidRPr="002C6079">
        <w:rPr>
          <w:b/>
          <w:sz w:val="24"/>
          <w:szCs w:val="24"/>
        </w:rPr>
        <w:t>Rev</w:t>
      </w:r>
      <w:r w:rsidR="006A519D" w:rsidRPr="002C6079">
        <w:rPr>
          <w:b/>
          <w:sz w:val="24"/>
          <w:szCs w:val="24"/>
        </w:rPr>
        <w:t>ista</w:t>
      </w:r>
      <w:r w:rsidRPr="002C6079">
        <w:rPr>
          <w:b/>
          <w:sz w:val="24"/>
          <w:szCs w:val="24"/>
        </w:rPr>
        <w:t xml:space="preserve"> Bras</w:t>
      </w:r>
      <w:r w:rsidR="006A519D" w:rsidRPr="002C6079">
        <w:rPr>
          <w:b/>
          <w:sz w:val="24"/>
          <w:szCs w:val="24"/>
        </w:rPr>
        <w:t>ileira</w:t>
      </w:r>
      <w:r w:rsidRPr="002C6079">
        <w:rPr>
          <w:b/>
          <w:sz w:val="24"/>
          <w:szCs w:val="24"/>
        </w:rPr>
        <w:t xml:space="preserve"> </w:t>
      </w:r>
      <w:r w:rsidR="006A519D" w:rsidRPr="002C6079">
        <w:rPr>
          <w:b/>
          <w:sz w:val="24"/>
          <w:szCs w:val="24"/>
        </w:rPr>
        <w:t xml:space="preserve">de </w:t>
      </w:r>
      <w:r w:rsidRPr="002C6079">
        <w:rPr>
          <w:b/>
          <w:sz w:val="24"/>
          <w:szCs w:val="24"/>
        </w:rPr>
        <w:t>Ciênc</w:t>
      </w:r>
      <w:r w:rsidR="006A519D" w:rsidRPr="002C6079">
        <w:rPr>
          <w:b/>
          <w:sz w:val="24"/>
          <w:szCs w:val="24"/>
        </w:rPr>
        <w:t>ias</w:t>
      </w:r>
      <w:r w:rsidRPr="002C6079">
        <w:rPr>
          <w:b/>
          <w:sz w:val="24"/>
          <w:szCs w:val="24"/>
        </w:rPr>
        <w:t xml:space="preserve"> </w:t>
      </w:r>
      <w:r w:rsidR="006A519D" w:rsidRPr="002C6079">
        <w:rPr>
          <w:b/>
          <w:sz w:val="24"/>
          <w:szCs w:val="24"/>
        </w:rPr>
        <w:t xml:space="preserve">do </w:t>
      </w:r>
      <w:r w:rsidRPr="002C6079">
        <w:rPr>
          <w:b/>
          <w:sz w:val="24"/>
          <w:szCs w:val="24"/>
        </w:rPr>
        <w:t>Esporte</w:t>
      </w:r>
      <w:r w:rsidRPr="002C6079">
        <w:rPr>
          <w:sz w:val="24"/>
          <w:szCs w:val="24"/>
        </w:rPr>
        <w:t>. 2021</w:t>
      </w:r>
      <w:r w:rsidR="006A519D" w:rsidRPr="002C6079">
        <w:rPr>
          <w:sz w:val="24"/>
          <w:szCs w:val="24"/>
        </w:rPr>
        <w:t>.</w:t>
      </w:r>
    </w:p>
    <w:sectPr w:rsidR="0061230F">
      <w:pgSz w:w="11909" w:h="16834"/>
      <w:pgMar w:top="1700" w:right="1133" w:bottom="1133" w:left="1700" w:header="34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EDBB4" w14:textId="77777777" w:rsidR="00124BFE" w:rsidRDefault="00124BFE">
      <w:pPr>
        <w:spacing w:line="240" w:lineRule="auto"/>
      </w:pPr>
      <w:r>
        <w:separator/>
      </w:r>
    </w:p>
  </w:endnote>
  <w:endnote w:type="continuationSeparator" w:id="0">
    <w:p w14:paraId="7912BC82" w14:textId="77777777" w:rsidR="00124BFE" w:rsidRDefault="00124B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BDDA0" w14:textId="77777777" w:rsidR="0061230F" w:rsidRDefault="006123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4EA1A" w14:textId="77777777" w:rsidR="00124BFE" w:rsidRDefault="00124BFE">
      <w:pPr>
        <w:spacing w:line="240" w:lineRule="auto"/>
      </w:pPr>
      <w:r>
        <w:separator/>
      </w:r>
    </w:p>
  </w:footnote>
  <w:footnote w:type="continuationSeparator" w:id="0">
    <w:p w14:paraId="26860FC3" w14:textId="77777777" w:rsidR="00124BFE" w:rsidRDefault="00124BFE">
      <w:pPr>
        <w:spacing w:line="240" w:lineRule="auto"/>
      </w:pPr>
      <w:r>
        <w:continuationSeparator/>
      </w:r>
    </w:p>
  </w:footnote>
  <w:footnote w:id="1">
    <w:p w14:paraId="3496D5C3" w14:textId="550A19DE" w:rsidR="00022EE6" w:rsidRPr="00FE36A0" w:rsidRDefault="00022EE6">
      <w:pPr>
        <w:pStyle w:val="Textodenotaderodap"/>
        <w:ind w:left="0" w:hanging="2"/>
        <w:rPr>
          <w:rFonts w:ascii="Arial" w:hAnsi="Arial" w:cs="Arial"/>
        </w:rPr>
      </w:pPr>
      <w:r w:rsidRPr="00FE36A0">
        <w:rPr>
          <w:rStyle w:val="Refdenotaderodap"/>
          <w:rFonts w:ascii="Arial" w:hAnsi="Arial" w:cs="Arial"/>
        </w:rPr>
        <w:footnoteRef/>
      </w:r>
      <w:r w:rsidRPr="00FE36A0">
        <w:rPr>
          <w:rFonts w:ascii="Arial" w:hAnsi="Arial" w:cs="Arial"/>
        </w:rPr>
        <w:t xml:space="preserve"> </w:t>
      </w:r>
      <w:r w:rsidR="00FE36A0" w:rsidRPr="00FE36A0">
        <w:rPr>
          <w:rFonts w:ascii="Arial" w:hAnsi="Arial" w:cs="Arial"/>
        </w:rPr>
        <w:t>Universidade Estadual do Maranhão, Doutor, efraimsoares16@hotmail.com</w:t>
      </w:r>
    </w:p>
  </w:footnote>
  <w:footnote w:id="2">
    <w:p w14:paraId="2BDF706A" w14:textId="043424DD" w:rsidR="00022EE6" w:rsidRPr="00FE36A0" w:rsidRDefault="00022EE6">
      <w:pPr>
        <w:pStyle w:val="Textodenotaderodap"/>
        <w:ind w:left="0" w:hanging="2"/>
        <w:rPr>
          <w:rFonts w:ascii="Arial" w:hAnsi="Arial" w:cs="Arial"/>
        </w:rPr>
      </w:pPr>
      <w:r w:rsidRPr="00FE36A0">
        <w:rPr>
          <w:rStyle w:val="Refdenotaderodap"/>
          <w:rFonts w:ascii="Arial" w:hAnsi="Arial" w:cs="Arial"/>
        </w:rPr>
        <w:footnoteRef/>
      </w:r>
      <w:r w:rsidRPr="00FE36A0">
        <w:rPr>
          <w:rFonts w:ascii="Arial" w:hAnsi="Arial" w:cs="Arial"/>
        </w:rPr>
        <w:t xml:space="preserve"> Universidade Federal do Maranhão, Doutora, silvanaaraujo@elointernet.com.br</w:t>
      </w:r>
    </w:p>
  </w:footnote>
  <w:footnote w:id="3">
    <w:p w14:paraId="03A11AD6" w14:textId="34B9D6D4" w:rsidR="00022EE6" w:rsidRPr="00FE36A0" w:rsidRDefault="00022EE6">
      <w:pPr>
        <w:pStyle w:val="Textodenotaderodap"/>
        <w:ind w:left="0" w:hanging="2"/>
        <w:rPr>
          <w:rFonts w:ascii="Arial" w:hAnsi="Arial" w:cs="Arial"/>
        </w:rPr>
      </w:pPr>
      <w:r w:rsidRPr="00FE36A0">
        <w:rPr>
          <w:rStyle w:val="Refdenotaderodap"/>
          <w:rFonts w:ascii="Arial" w:hAnsi="Arial" w:cs="Arial"/>
        </w:rPr>
        <w:footnoteRef/>
      </w:r>
      <w:r w:rsidRPr="00FE36A0">
        <w:rPr>
          <w:rFonts w:ascii="Arial" w:hAnsi="Arial" w:cs="Arial"/>
        </w:rPr>
        <w:t xml:space="preserve"> Universidade Est</w:t>
      </w:r>
      <w:r w:rsidR="00FE36A0" w:rsidRPr="00FE36A0">
        <w:rPr>
          <w:rFonts w:ascii="Arial" w:hAnsi="Arial" w:cs="Arial"/>
        </w:rPr>
        <w:t>adual do Maranhão, Graduada</w:t>
      </w:r>
      <w:r w:rsidRPr="00FE36A0">
        <w:rPr>
          <w:rFonts w:ascii="Arial" w:hAnsi="Arial" w:cs="Arial"/>
        </w:rPr>
        <w:t>, layene.santos14@gmail.com</w:t>
      </w:r>
    </w:p>
  </w:footnote>
  <w:footnote w:id="4">
    <w:p w14:paraId="61248D3E" w14:textId="5DDD824C" w:rsidR="00022EE6" w:rsidRPr="00FE36A0" w:rsidRDefault="00022EE6">
      <w:pPr>
        <w:pStyle w:val="Textodenotaderodap"/>
        <w:ind w:left="0" w:hanging="2"/>
        <w:rPr>
          <w:rFonts w:ascii="Arial" w:hAnsi="Arial" w:cs="Arial"/>
        </w:rPr>
      </w:pPr>
      <w:r w:rsidRPr="00FE36A0">
        <w:rPr>
          <w:rStyle w:val="Refdenotaderodap"/>
          <w:rFonts w:ascii="Arial" w:hAnsi="Arial" w:cs="Arial"/>
        </w:rPr>
        <w:footnoteRef/>
      </w:r>
      <w:r w:rsidRPr="00FE36A0">
        <w:rPr>
          <w:rFonts w:ascii="Arial" w:hAnsi="Arial" w:cs="Arial"/>
        </w:rPr>
        <w:t xml:space="preserve"> Universidad</w:t>
      </w:r>
      <w:r w:rsidR="00FE36A0" w:rsidRPr="00FE36A0">
        <w:rPr>
          <w:rFonts w:ascii="Arial" w:hAnsi="Arial" w:cs="Arial"/>
        </w:rPr>
        <w:t>e Federal do Maranhão, Discente</w:t>
      </w:r>
      <w:r w:rsidRPr="00FE36A0">
        <w:rPr>
          <w:rFonts w:ascii="Arial" w:hAnsi="Arial" w:cs="Arial"/>
        </w:rPr>
        <w:t>, sara.hingrid@discente.ufma.br</w:t>
      </w:r>
    </w:p>
  </w:footnote>
  <w:footnote w:id="5">
    <w:p w14:paraId="0B278500" w14:textId="1324BFBE" w:rsidR="00022EE6" w:rsidRPr="00022EE6" w:rsidRDefault="00022EE6">
      <w:pPr>
        <w:pStyle w:val="Textodenotaderodap"/>
        <w:ind w:left="0" w:hanging="2"/>
      </w:pPr>
      <w:r w:rsidRPr="00FE36A0">
        <w:rPr>
          <w:rStyle w:val="Refdenotaderodap"/>
          <w:rFonts w:ascii="Arial" w:hAnsi="Arial" w:cs="Arial"/>
        </w:rPr>
        <w:footnoteRef/>
      </w:r>
      <w:r w:rsidRPr="00FE36A0">
        <w:rPr>
          <w:rFonts w:ascii="Arial" w:hAnsi="Arial" w:cs="Arial"/>
        </w:rPr>
        <w:t xml:space="preserve"> Secretaria de Estado da Educação, Graduado, jorgecarueira@yahoo.com.br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1C97F" w14:textId="77777777" w:rsidR="0061230F" w:rsidRDefault="00124BFE">
    <w:r>
      <w:rPr>
        <w:noProof/>
      </w:rPr>
      <w:drawing>
        <wp:anchor distT="0" distB="0" distL="0" distR="0" simplePos="0" relativeHeight="251658240" behindDoc="1" locked="0" layoutInCell="1" hidden="0" allowOverlap="1" wp14:anchorId="3A6BD8DB" wp14:editId="566B1C34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639705" cy="1082770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9705" cy="10827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30F"/>
    <w:rsid w:val="00022EE6"/>
    <w:rsid w:val="00124BFE"/>
    <w:rsid w:val="002C54AE"/>
    <w:rsid w:val="002C6079"/>
    <w:rsid w:val="00362ACB"/>
    <w:rsid w:val="004C19D7"/>
    <w:rsid w:val="00567A0E"/>
    <w:rsid w:val="005A4836"/>
    <w:rsid w:val="00600769"/>
    <w:rsid w:val="0061230F"/>
    <w:rsid w:val="006A519D"/>
    <w:rsid w:val="00996BAB"/>
    <w:rsid w:val="009A5439"/>
    <w:rsid w:val="00BD054D"/>
    <w:rsid w:val="00C67837"/>
    <w:rsid w:val="00CF4EFC"/>
    <w:rsid w:val="00D425D6"/>
    <w:rsid w:val="00E74004"/>
    <w:rsid w:val="00E874AE"/>
    <w:rsid w:val="00E9575D"/>
    <w:rsid w:val="00F33563"/>
    <w:rsid w:val="00FE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97B8B"/>
  <w15:docId w15:val="{DC8DD0C9-964A-4850-A452-360B18BB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f5HYY7U8I5Bu9T3PYKSH9eTQuA==">CgMxLjA4AHIhMUtEaWlZX2duUERKUmhOSVFFaHBQbTI1OTloSHpUVmpY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3853</Words>
  <Characters>20812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Conta da Microsoft</cp:lastModifiedBy>
  <cp:revision>7</cp:revision>
  <dcterms:created xsi:type="dcterms:W3CDTF">2025-07-05T16:35:00Z</dcterms:created>
  <dcterms:modified xsi:type="dcterms:W3CDTF">2025-07-05T16:51:00Z</dcterms:modified>
</cp:coreProperties>
</file>