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FDAB8" w14:textId="77777777" w:rsidR="00030AE2" w:rsidRPr="00024510" w:rsidRDefault="00030AE2" w:rsidP="00030AE2">
      <w:pPr>
        <w:spacing w:line="240" w:lineRule="auto"/>
        <w:jc w:val="center"/>
        <w:rPr>
          <w:rFonts w:eastAsia="Times New Roman"/>
          <w:color w:val="000000" w:themeColor="text1"/>
          <w:sz w:val="24"/>
          <w:szCs w:val="24"/>
        </w:rPr>
      </w:pPr>
      <w:r w:rsidRPr="00024510">
        <w:rPr>
          <w:rFonts w:eastAsia="Times New Roman"/>
          <w:b/>
          <w:bCs/>
          <w:caps/>
          <w:color w:val="000000" w:themeColor="text1"/>
          <w:sz w:val="24"/>
          <w:szCs w:val="24"/>
        </w:rPr>
        <w:t>A segregação socioespacial na Orla de Icoaraci</w:t>
      </w:r>
      <w:r w:rsidRPr="00024510">
        <w:rPr>
          <w:rFonts w:eastAsia="Times New Roman"/>
          <w:caps/>
          <w:color w:val="000000" w:themeColor="text1"/>
          <w:sz w:val="24"/>
          <w:szCs w:val="24"/>
        </w:rPr>
        <w:t>:</w:t>
      </w:r>
      <w:r w:rsidRPr="00024510">
        <w:rPr>
          <w:rFonts w:eastAsia="Times New Roman"/>
          <w:color w:val="000000" w:themeColor="text1"/>
          <w:sz w:val="24"/>
          <w:szCs w:val="24"/>
        </w:rPr>
        <w:t xml:space="preserve"> reflexões acerca das dinâmicas de consumo, circulação e segurança pública.</w:t>
      </w:r>
    </w:p>
    <w:p w14:paraId="2876A188" w14:textId="77777777" w:rsidR="00CE351B" w:rsidRPr="00024510" w:rsidRDefault="00CE351B" w:rsidP="00030AE2">
      <w:pPr>
        <w:spacing w:line="240" w:lineRule="auto"/>
        <w:jc w:val="center"/>
        <w:rPr>
          <w:rFonts w:eastAsia="Times New Roman"/>
          <w:color w:val="000000" w:themeColor="text1"/>
          <w:sz w:val="24"/>
          <w:szCs w:val="24"/>
        </w:rPr>
      </w:pPr>
    </w:p>
    <w:p w14:paraId="6A1FAC54" w14:textId="517B11AF" w:rsidR="00CE351B" w:rsidRPr="00024510" w:rsidRDefault="00CE351B" w:rsidP="00CE351B">
      <w:pPr>
        <w:spacing w:line="240" w:lineRule="auto"/>
        <w:jc w:val="right"/>
        <w:rPr>
          <w:rFonts w:eastAsia="Times New Roman"/>
          <w:color w:val="000000" w:themeColor="text1"/>
          <w:sz w:val="24"/>
          <w:szCs w:val="24"/>
        </w:rPr>
      </w:pPr>
      <w:r w:rsidRPr="00024510">
        <w:rPr>
          <w:rFonts w:eastAsia="Times New Roman"/>
          <w:color w:val="000000" w:themeColor="text1"/>
          <w:sz w:val="24"/>
          <w:szCs w:val="24"/>
        </w:rPr>
        <w:t>Pedro Henrique Costa da Silva</w:t>
      </w:r>
      <w:r w:rsidR="009D4007">
        <w:rPr>
          <w:rStyle w:val="Refdenotaderodap"/>
          <w:rFonts w:eastAsia="Times New Roman"/>
          <w:color w:val="000000" w:themeColor="text1"/>
          <w:sz w:val="24"/>
          <w:szCs w:val="24"/>
        </w:rPr>
        <w:footnoteReference w:id="1"/>
      </w:r>
    </w:p>
    <w:p w14:paraId="5C230F1F" w14:textId="7C1B54FC" w:rsidR="00030AE2" w:rsidRPr="00024510" w:rsidRDefault="00030AE2" w:rsidP="00030AE2">
      <w:pPr>
        <w:spacing w:line="360" w:lineRule="auto"/>
        <w:jc w:val="both"/>
        <w:rPr>
          <w:rFonts w:eastAsia="Times New Roman"/>
          <w:b/>
          <w:bCs/>
          <w:color w:val="000000" w:themeColor="text1"/>
          <w:sz w:val="24"/>
          <w:szCs w:val="24"/>
        </w:rPr>
      </w:pPr>
    </w:p>
    <w:p w14:paraId="4807F4B9" w14:textId="77777777" w:rsidR="00030AE2" w:rsidRPr="00024510" w:rsidRDefault="00030AE2" w:rsidP="00030AE2">
      <w:pPr>
        <w:spacing w:line="240" w:lineRule="auto"/>
        <w:ind w:left="2835"/>
        <w:jc w:val="both"/>
        <w:rPr>
          <w:rFonts w:eastAsia="Times New Roman"/>
          <w:color w:val="000000" w:themeColor="text1"/>
          <w:sz w:val="20"/>
          <w:szCs w:val="20"/>
        </w:rPr>
      </w:pPr>
      <w:r w:rsidRPr="00024510">
        <w:rPr>
          <w:rFonts w:eastAsia="Times New Roman"/>
          <w:b/>
          <w:bCs/>
          <w:color w:val="000000" w:themeColor="text1"/>
          <w:sz w:val="20"/>
          <w:szCs w:val="20"/>
        </w:rPr>
        <w:t xml:space="preserve">Resumo: </w:t>
      </w:r>
      <w:r w:rsidRPr="00024510">
        <w:rPr>
          <w:rFonts w:eastAsia="Times New Roman"/>
          <w:color w:val="000000" w:themeColor="text1"/>
          <w:sz w:val="20"/>
          <w:szCs w:val="20"/>
        </w:rPr>
        <w:t>Este artigo analisa as desigualdades sociais presentes na Orla de Icoaraci, em Belém do Pará. O estudo baseou-se no materialismo histórico-dialético, visando à apreensão do objeto sob a perspectiva histórico-crítica e de totalidade. Quanto aos procedimentos metodológicos, utilizou-se estudos bibliográficos, em autores clássicos e contemporâneos acerca da segregação socioespacial, além de observações em campo realizadas como parte da avaliação da disciplina “Antropologia Cultural” do Curso de Serviço Social da Universidade Federal do Pará. O trabalho apresenta como principais resultados a seletividade dos espaços na Orla, abordagens policiais distintas conforme o público e o racismo como elemento estruturante das relações sociais nesse espaço de lazer/poder. A análise revela como a biopolítica e o planejamento urbano reforçam a lógica de segregação, convertendo um espaço público em ambiente de acesso restrito.</w:t>
      </w:r>
    </w:p>
    <w:p w14:paraId="74443C96" w14:textId="77777777" w:rsidR="00030AE2" w:rsidRDefault="00030AE2" w:rsidP="00030AE2">
      <w:pPr>
        <w:spacing w:line="240" w:lineRule="auto"/>
        <w:ind w:left="2835"/>
        <w:jc w:val="both"/>
        <w:rPr>
          <w:rFonts w:eastAsia="Times New Roman"/>
          <w:color w:val="000000" w:themeColor="text1"/>
          <w:sz w:val="20"/>
          <w:szCs w:val="20"/>
        </w:rPr>
      </w:pPr>
      <w:r w:rsidRPr="00024510">
        <w:rPr>
          <w:rFonts w:eastAsia="Times New Roman"/>
          <w:b/>
          <w:bCs/>
          <w:color w:val="000000" w:themeColor="text1"/>
          <w:sz w:val="20"/>
          <w:szCs w:val="20"/>
        </w:rPr>
        <w:t>Palavras-</w:t>
      </w:r>
      <w:r w:rsidRPr="00024510">
        <w:rPr>
          <w:rFonts w:eastAsia="Times New Roman"/>
          <w:color w:val="000000" w:themeColor="text1"/>
          <w:sz w:val="20"/>
          <w:szCs w:val="20"/>
        </w:rPr>
        <w:t xml:space="preserve">Chave: Segregação. Socioespacial. Orla de Icoaraci. </w:t>
      </w:r>
    </w:p>
    <w:p w14:paraId="5BADB52E" w14:textId="77777777" w:rsidR="00024510" w:rsidRDefault="00024510" w:rsidP="00030AE2">
      <w:pPr>
        <w:spacing w:line="240" w:lineRule="auto"/>
        <w:ind w:left="2835"/>
        <w:jc w:val="both"/>
        <w:rPr>
          <w:rFonts w:eastAsia="Times New Roman"/>
          <w:color w:val="000000" w:themeColor="text1"/>
          <w:sz w:val="20"/>
          <w:szCs w:val="20"/>
        </w:rPr>
      </w:pPr>
    </w:p>
    <w:p w14:paraId="702C34AB" w14:textId="3468E353" w:rsidR="00030AE2" w:rsidRDefault="00024510" w:rsidP="00024510">
      <w:pPr>
        <w:spacing w:line="240" w:lineRule="auto"/>
        <w:ind w:left="2835"/>
        <w:jc w:val="both"/>
        <w:rPr>
          <w:rFonts w:eastAsia="Times New Roman"/>
          <w:color w:val="000000" w:themeColor="text1"/>
          <w:sz w:val="20"/>
          <w:szCs w:val="20"/>
        </w:rPr>
      </w:pPr>
      <w:r w:rsidRPr="009D4007">
        <w:rPr>
          <w:rFonts w:eastAsia="Times New Roman"/>
          <w:b/>
          <w:bCs/>
          <w:color w:val="000000" w:themeColor="text1"/>
          <w:sz w:val="20"/>
          <w:szCs w:val="20"/>
          <w:lang w:val="en-US"/>
        </w:rPr>
        <w:t>Abstract:</w:t>
      </w:r>
      <w:r w:rsidRPr="009D4007">
        <w:rPr>
          <w:rFonts w:eastAsia="Times New Roman"/>
          <w:color w:val="000000" w:themeColor="text1"/>
          <w:sz w:val="20"/>
          <w:szCs w:val="20"/>
          <w:lang w:val="en-US"/>
        </w:rPr>
        <w:t xml:space="preserve"> This article analyzes the social inequalities present along the Icoaraci waterfront, in Belém, Pará. The study was based on historical-dialectical materialism, aiming to apprehend the object from a historical-critical and totality perspective. As for the methodological procedures, bibliographic studies were carried out using classical and contemporary authors on socio-spatial segregation, in addition to field observations conducted as part of the assessment for the “Cultural Anthropology” course in the Social Work program at the Federal University of Pará. The main findings highlight the selectivity of spaces along the waterfront, distinct police approaches depending on the public, and racism as a structuring element of social relations in this leisure/power space. The analysis reveals how biopolitics and urban planning reinforce the logic of segregation, turning a public space into an environment of restricted access.</w:t>
      </w:r>
      <w:r w:rsidRPr="009D4007">
        <w:rPr>
          <w:rFonts w:eastAsia="Times New Roman"/>
          <w:color w:val="000000" w:themeColor="text1"/>
          <w:sz w:val="20"/>
          <w:szCs w:val="20"/>
          <w:lang w:val="en-US"/>
        </w:rPr>
        <w:br/>
      </w:r>
      <w:r w:rsidRPr="00024510">
        <w:rPr>
          <w:rFonts w:eastAsia="Times New Roman"/>
          <w:b/>
          <w:bCs/>
          <w:color w:val="000000" w:themeColor="text1"/>
          <w:sz w:val="20"/>
          <w:szCs w:val="20"/>
        </w:rPr>
        <w:t>Keywords:</w:t>
      </w:r>
      <w:r w:rsidRPr="00024510">
        <w:rPr>
          <w:rFonts w:eastAsia="Times New Roman"/>
          <w:color w:val="000000" w:themeColor="text1"/>
          <w:sz w:val="20"/>
          <w:szCs w:val="20"/>
        </w:rPr>
        <w:t xml:space="preserve"> </w:t>
      </w:r>
      <w:proofErr w:type="spellStart"/>
      <w:r w:rsidRPr="00024510">
        <w:rPr>
          <w:rFonts w:eastAsia="Times New Roman"/>
          <w:color w:val="000000" w:themeColor="text1"/>
          <w:sz w:val="20"/>
          <w:szCs w:val="20"/>
        </w:rPr>
        <w:t>Segregation</w:t>
      </w:r>
      <w:proofErr w:type="spellEnd"/>
      <w:r w:rsidRPr="00024510">
        <w:rPr>
          <w:rFonts w:eastAsia="Times New Roman"/>
          <w:color w:val="000000" w:themeColor="text1"/>
          <w:sz w:val="20"/>
          <w:szCs w:val="20"/>
        </w:rPr>
        <w:t>. Socio-</w:t>
      </w:r>
      <w:proofErr w:type="spellStart"/>
      <w:r w:rsidRPr="00024510">
        <w:rPr>
          <w:rFonts w:eastAsia="Times New Roman"/>
          <w:color w:val="000000" w:themeColor="text1"/>
          <w:sz w:val="20"/>
          <w:szCs w:val="20"/>
        </w:rPr>
        <w:t>spatial</w:t>
      </w:r>
      <w:proofErr w:type="spellEnd"/>
      <w:r w:rsidRPr="00024510">
        <w:rPr>
          <w:rFonts w:eastAsia="Times New Roman"/>
          <w:color w:val="000000" w:themeColor="text1"/>
          <w:sz w:val="20"/>
          <w:szCs w:val="20"/>
        </w:rPr>
        <w:t xml:space="preserve">. Icoaraci </w:t>
      </w:r>
      <w:proofErr w:type="spellStart"/>
      <w:r w:rsidRPr="00024510">
        <w:rPr>
          <w:rFonts w:eastAsia="Times New Roman"/>
          <w:color w:val="000000" w:themeColor="text1"/>
          <w:sz w:val="20"/>
          <w:szCs w:val="20"/>
        </w:rPr>
        <w:t>Waterfront</w:t>
      </w:r>
      <w:proofErr w:type="spellEnd"/>
      <w:r w:rsidRPr="00024510">
        <w:rPr>
          <w:rFonts w:eastAsia="Times New Roman"/>
          <w:color w:val="000000" w:themeColor="text1"/>
          <w:sz w:val="20"/>
          <w:szCs w:val="20"/>
        </w:rPr>
        <w:t>.</w:t>
      </w:r>
    </w:p>
    <w:p w14:paraId="277FDE11" w14:textId="77777777" w:rsidR="00024510" w:rsidRPr="00024510" w:rsidRDefault="00024510" w:rsidP="00024510">
      <w:pPr>
        <w:spacing w:line="240" w:lineRule="auto"/>
        <w:ind w:left="2835"/>
        <w:jc w:val="both"/>
        <w:rPr>
          <w:rFonts w:ascii="Times New Roman" w:eastAsia="Times New Roman" w:hAnsi="Times New Roman" w:cs="Times New Roman"/>
          <w:color w:val="000000" w:themeColor="text1"/>
          <w:sz w:val="24"/>
          <w:szCs w:val="24"/>
        </w:rPr>
      </w:pPr>
    </w:p>
    <w:p w14:paraId="6AED7C14" w14:textId="77777777" w:rsidR="00030AE2" w:rsidRPr="00406393" w:rsidRDefault="00030AE2" w:rsidP="00406393">
      <w:pPr>
        <w:pStyle w:val="PargrafodaLista"/>
        <w:numPr>
          <w:ilvl w:val="0"/>
          <w:numId w:val="2"/>
        </w:numPr>
        <w:spacing w:line="360" w:lineRule="auto"/>
        <w:jc w:val="both"/>
        <w:rPr>
          <w:rFonts w:ascii="Times New Roman" w:eastAsia="Times New Roman" w:hAnsi="Times New Roman" w:cs="Times New Roman"/>
          <w:color w:val="000000" w:themeColor="text1"/>
          <w:sz w:val="24"/>
          <w:szCs w:val="24"/>
        </w:rPr>
      </w:pPr>
      <w:r w:rsidRPr="00406393">
        <w:rPr>
          <w:rFonts w:eastAsia="Times New Roman"/>
          <w:b/>
          <w:bCs/>
          <w:color w:val="000000" w:themeColor="text1"/>
          <w:sz w:val="24"/>
          <w:szCs w:val="24"/>
        </w:rPr>
        <w:t xml:space="preserve">INTRODUÇÃO </w:t>
      </w:r>
    </w:p>
    <w:p w14:paraId="33BE0420" w14:textId="3831CF8F" w:rsidR="00030AE2" w:rsidRPr="00024510" w:rsidRDefault="00030AE2" w:rsidP="00406393">
      <w:pPr>
        <w:spacing w:line="360" w:lineRule="auto"/>
        <w:ind w:left="-5" w:firstLine="740"/>
        <w:jc w:val="both"/>
        <w:rPr>
          <w:rFonts w:eastAsia="Times New Roman"/>
          <w:color w:val="000000" w:themeColor="text1"/>
          <w:sz w:val="24"/>
          <w:szCs w:val="24"/>
        </w:rPr>
      </w:pPr>
    </w:p>
    <w:p w14:paraId="1BB11904" w14:textId="31264471" w:rsidR="00030AE2" w:rsidRPr="00024510" w:rsidRDefault="00717479" w:rsidP="00717479">
      <w:pPr>
        <w:spacing w:line="360" w:lineRule="auto"/>
        <w:ind w:left="-5"/>
        <w:jc w:val="both"/>
        <w:rPr>
          <w:rFonts w:eastAsia="Times New Roman"/>
          <w:color w:val="000000" w:themeColor="text1"/>
          <w:sz w:val="24"/>
          <w:szCs w:val="24"/>
        </w:rPr>
      </w:pPr>
      <w:r w:rsidRPr="00024510">
        <w:rPr>
          <w:rFonts w:eastAsia="Times New Roman"/>
          <w:color w:val="000000" w:themeColor="text1"/>
          <w:sz w:val="24"/>
          <w:szCs w:val="24"/>
        </w:rPr>
        <w:t xml:space="preserve">        </w:t>
      </w:r>
      <w:r w:rsidR="00030AE2" w:rsidRPr="00024510">
        <w:rPr>
          <w:rFonts w:eastAsia="Times New Roman"/>
          <w:color w:val="000000" w:themeColor="text1"/>
          <w:sz w:val="24"/>
          <w:szCs w:val="24"/>
        </w:rPr>
        <w:t xml:space="preserve">O referido artigo intitulado: “Segregação Socioespacial e Desigualdade na Orla </w:t>
      </w:r>
      <w:r w:rsidR="009D4007">
        <w:rPr>
          <w:rStyle w:val="Refdenotaderodap"/>
          <w:rFonts w:eastAsia="Times New Roman"/>
          <w:color w:val="000000" w:themeColor="text1"/>
          <w:sz w:val="24"/>
          <w:szCs w:val="24"/>
        </w:rPr>
        <w:footnoteReference w:id="2"/>
      </w:r>
      <w:r w:rsidR="00531207">
        <w:rPr>
          <w:rFonts w:eastAsia="Times New Roman"/>
          <w:color w:val="000000" w:themeColor="text1"/>
          <w:sz w:val="24"/>
          <w:szCs w:val="24"/>
        </w:rPr>
        <w:t xml:space="preserve"> </w:t>
      </w:r>
      <w:r w:rsidR="00030AE2" w:rsidRPr="00024510">
        <w:rPr>
          <w:rFonts w:eastAsia="Times New Roman"/>
          <w:color w:val="000000" w:themeColor="text1"/>
          <w:sz w:val="24"/>
          <w:szCs w:val="24"/>
        </w:rPr>
        <w:t xml:space="preserve">de Icoaraci: Uma Análise das Dinâmicas de Consumo e Circulação”, tem como objetivo analisar as desigualdades sociais presentes na Orla de Icoaraci, em Belém do Pará, com vistas a problematizar as desigualdades sociais observadas em forma de artigo de um trabalho de campo desenvolvido na disciplina antropologia cultural, do Curso de Serviço Social, da Faculdade de Serviço Social da Universidade Federal do Pará, no período 2024.2. </w:t>
      </w:r>
    </w:p>
    <w:p w14:paraId="74197CAD" w14:textId="106FBF17" w:rsidR="00030AE2" w:rsidRPr="00024510" w:rsidRDefault="00030AE2" w:rsidP="00030AE2">
      <w:pPr>
        <w:spacing w:line="360" w:lineRule="auto"/>
        <w:ind w:left="-5" w:firstLine="713"/>
        <w:jc w:val="both"/>
        <w:rPr>
          <w:rFonts w:eastAsia="Times New Roman"/>
          <w:color w:val="000000" w:themeColor="text1"/>
          <w:sz w:val="24"/>
          <w:szCs w:val="24"/>
        </w:rPr>
      </w:pPr>
      <w:r w:rsidRPr="00024510">
        <w:rPr>
          <w:rFonts w:eastAsia="Times New Roman"/>
          <w:color w:val="000000" w:themeColor="text1"/>
          <w:sz w:val="24"/>
          <w:szCs w:val="24"/>
        </w:rPr>
        <w:t xml:space="preserve">O </w:t>
      </w:r>
      <w:r w:rsidR="000F2D7B" w:rsidRPr="00024510">
        <w:rPr>
          <w:rFonts w:eastAsia="Times New Roman"/>
          <w:color w:val="000000" w:themeColor="text1"/>
          <w:sz w:val="24"/>
          <w:szCs w:val="24"/>
        </w:rPr>
        <w:t xml:space="preserve">Trabalho tem sua fundamentação em pesquisa de caráter crítico qualitativo, utilizando como principais procedimentos metodológicas a observação direta sistemática no território analisado </w:t>
      </w:r>
      <w:r w:rsidR="00F16E90" w:rsidRPr="00024510">
        <w:rPr>
          <w:rFonts w:eastAsia="Times New Roman"/>
          <w:color w:val="000000" w:themeColor="text1"/>
          <w:sz w:val="24"/>
          <w:szCs w:val="24"/>
        </w:rPr>
        <w:t xml:space="preserve">e a pesquisa </w:t>
      </w:r>
      <w:r w:rsidR="00024510" w:rsidRPr="00024510">
        <w:rPr>
          <w:rFonts w:eastAsia="Times New Roman"/>
          <w:color w:val="000000" w:themeColor="text1"/>
          <w:sz w:val="24"/>
          <w:szCs w:val="24"/>
        </w:rPr>
        <w:t>bibliográfica,</w:t>
      </w:r>
      <w:r w:rsidR="00F16E90" w:rsidRPr="00024510">
        <w:rPr>
          <w:rFonts w:eastAsia="Times New Roman"/>
          <w:color w:val="000000" w:themeColor="text1"/>
          <w:sz w:val="24"/>
          <w:szCs w:val="24"/>
        </w:rPr>
        <w:t xml:space="preserve"> com base em autores como Frantz Fanon, Roberto Cardoso de Oliveira, Michel </w:t>
      </w:r>
      <w:r w:rsidR="001E7A52" w:rsidRPr="00024510">
        <w:rPr>
          <w:rFonts w:eastAsia="Times New Roman"/>
          <w:color w:val="000000" w:themeColor="text1"/>
          <w:sz w:val="24"/>
          <w:szCs w:val="24"/>
        </w:rPr>
        <w:t xml:space="preserve">Foucault e </w:t>
      </w:r>
      <w:r w:rsidR="00F16E90" w:rsidRPr="00024510">
        <w:rPr>
          <w:rFonts w:eastAsia="Times New Roman"/>
          <w:color w:val="000000" w:themeColor="text1"/>
          <w:sz w:val="24"/>
          <w:szCs w:val="24"/>
        </w:rPr>
        <w:t xml:space="preserve">Joana Valente Santana. As observações de campo ocorreram entre os dias 27 de dezembro de </w:t>
      </w:r>
      <w:r w:rsidR="00024510" w:rsidRPr="00024510">
        <w:rPr>
          <w:rFonts w:eastAsia="Times New Roman"/>
          <w:color w:val="000000" w:themeColor="text1"/>
          <w:sz w:val="24"/>
          <w:szCs w:val="24"/>
        </w:rPr>
        <w:t>dezembro</w:t>
      </w:r>
      <w:r w:rsidR="00F16E90" w:rsidRPr="00024510">
        <w:rPr>
          <w:rFonts w:eastAsia="Times New Roman"/>
          <w:color w:val="000000" w:themeColor="text1"/>
          <w:sz w:val="24"/>
          <w:szCs w:val="24"/>
        </w:rPr>
        <w:t xml:space="preserve"> de 2024 e </w:t>
      </w:r>
      <w:r w:rsidR="001E7A52" w:rsidRPr="00024510">
        <w:rPr>
          <w:rFonts w:eastAsia="Times New Roman"/>
          <w:color w:val="000000" w:themeColor="text1"/>
          <w:sz w:val="24"/>
          <w:szCs w:val="24"/>
        </w:rPr>
        <w:t xml:space="preserve">finalizado em </w:t>
      </w:r>
      <w:r w:rsidR="00F16E90" w:rsidRPr="00024510">
        <w:rPr>
          <w:rFonts w:eastAsia="Times New Roman"/>
          <w:color w:val="000000" w:themeColor="text1"/>
          <w:sz w:val="24"/>
          <w:szCs w:val="24"/>
        </w:rPr>
        <w:t>16 de fevereiro de 2025, tendo como corte central a Orla de Icoaraci, banhada pelos rios Guajará e Maguari</w:t>
      </w:r>
    </w:p>
    <w:p w14:paraId="10D0EAF7" w14:textId="652C1904" w:rsidR="00F16E90" w:rsidRPr="00024510" w:rsidRDefault="00F16E90" w:rsidP="00030AE2">
      <w:pPr>
        <w:spacing w:line="360" w:lineRule="auto"/>
        <w:ind w:left="-5" w:firstLine="713"/>
        <w:jc w:val="both"/>
        <w:rPr>
          <w:rFonts w:eastAsia="Times New Roman"/>
          <w:color w:val="000000" w:themeColor="text1"/>
          <w:sz w:val="24"/>
          <w:szCs w:val="24"/>
        </w:rPr>
      </w:pPr>
      <w:r w:rsidRPr="00024510">
        <w:rPr>
          <w:rFonts w:eastAsia="Times New Roman"/>
          <w:color w:val="000000" w:themeColor="text1"/>
          <w:sz w:val="24"/>
          <w:szCs w:val="24"/>
        </w:rPr>
        <w:t xml:space="preserve">Os registros obtidos, aliados </w:t>
      </w:r>
      <w:r w:rsidR="00DB07BF" w:rsidRPr="00024510">
        <w:rPr>
          <w:rFonts w:eastAsia="Times New Roman"/>
          <w:color w:val="000000" w:themeColor="text1"/>
          <w:sz w:val="24"/>
          <w:szCs w:val="24"/>
        </w:rPr>
        <w:t>às</w:t>
      </w:r>
      <w:r w:rsidRPr="00024510">
        <w:rPr>
          <w:rFonts w:eastAsia="Times New Roman"/>
          <w:color w:val="000000" w:themeColor="text1"/>
          <w:sz w:val="24"/>
          <w:szCs w:val="24"/>
        </w:rPr>
        <w:t xml:space="preserve"> discussões teóricas </w:t>
      </w:r>
      <w:r w:rsidR="00DB07BF" w:rsidRPr="00024510">
        <w:rPr>
          <w:rFonts w:eastAsia="Times New Roman"/>
          <w:color w:val="000000" w:themeColor="text1"/>
          <w:sz w:val="24"/>
          <w:szCs w:val="24"/>
        </w:rPr>
        <w:t xml:space="preserve">em sala de aula, especialmente a partir das obras </w:t>
      </w:r>
      <w:r w:rsidR="00024510">
        <w:rPr>
          <w:rFonts w:eastAsia="Times New Roman"/>
          <w:color w:val="000000" w:themeColor="text1"/>
          <w:sz w:val="24"/>
          <w:szCs w:val="24"/>
        </w:rPr>
        <w:t>“</w:t>
      </w:r>
      <w:r w:rsidR="00DB07BF" w:rsidRPr="00024510">
        <w:rPr>
          <w:rFonts w:eastAsia="Times New Roman"/>
          <w:color w:val="000000" w:themeColor="text1"/>
          <w:sz w:val="24"/>
          <w:szCs w:val="24"/>
        </w:rPr>
        <w:t>Olhar, ouvir e escrever</w:t>
      </w:r>
      <w:r w:rsidR="00024510">
        <w:rPr>
          <w:rFonts w:eastAsia="Times New Roman"/>
          <w:color w:val="000000" w:themeColor="text1"/>
          <w:sz w:val="24"/>
          <w:szCs w:val="24"/>
        </w:rPr>
        <w:t>”</w:t>
      </w:r>
      <w:r w:rsidR="00DB07BF" w:rsidRPr="00024510">
        <w:rPr>
          <w:rFonts w:eastAsia="Times New Roman"/>
          <w:color w:val="000000" w:themeColor="text1"/>
          <w:sz w:val="24"/>
          <w:szCs w:val="24"/>
        </w:rPr>
        <w:t xml:space="preserve"> </w:t>
      </w:r>
      <w:r w:rsidR="001E7A52" w:rsidRPr="00024510">
        <w:rPr>
          <w:rFonts w:eastAsia="Times New Roman"/>
          <w:color w:val="000000" w:themeColor="text1"/>
          <w:sz w:val="24"/>
          <w:szCs w:val="24"/>
        </w:rPr>
        <w:t xml:space="preserve">e </w:t>
      </w:r>
      <w:r w:rsidR="00024510">
        <w:rPr>
          <w:rFonts w:eastAsia="Times New Roman"/>
          <w:color w:val="000000" w:themeColor="text1"/>
          <w:sz w:val="24"/>
          <w:szCs w:val="24"/>
        </w:rPr>
        <w:t>“</w:t>
      </w:r>
      <w:r w:rsidR="001E7A52" w:rsidRPr="00024510">
        <w:rPr>
          <w:rFonts w:eastAsia="Times New Roman"/>
          <w:color w:val="000000" w:themeColor="text1"/>
          <w:sz w:val="24"/>
          <w:szCs w:val="24"/>
        </w:rPr>
        <w:t>Os</w:t>
      </w:r>
      <w:r w:rsidR="00DB07BF" w:rsidRPr="00024510">
        <w:rPr>
          <w:rFonts w:eastAsia="Times New Roman"/>
          <w:color w:val="000000" w:themeColor="text1"/>
          <w:sz w:val="24"/>
          <w:szCs w:val="24"/>
        </w:rPr>
        <w:t xml:space="preserve"> condenados da terra</w:t>
      </w:r>
      <w:r w:rsidR="00024510">
        <w:rPr>
          <w:rFonts w:eastAsia="Times New Roman"/>
          <w:color w:val="000000" w:themeColor="text1"/>
          <w:sz w:val="24"/>
          <w:szCs w:val="24"/>
        </w:rPr>
        <w:t>”,</w:t>
      </w:r>
      <w:r w:rsidR="00DB07BF" w:rsidRPr="00024510">
        <w:rPr>
          <w:rFonts w:eastAsia="Times New Roman"/>
          <w:color w:val="000000" w:themeColor="text1"/>
          <w:sz w:val="24"/>
          <w:szCs w:val="24"/>
        </w:rPr>
        <w:t xml:space="preserve"> </w:t>
      </w:r>
      <w:r w:rsidR="00024510">
        <w:rPr>
          <w:rFonts w:eastAsia="Times New Roman"/>
          <w:color w:val="000000" w:themeColor="text1"/>
          <w:sz w:val="24"/>
          <w:szCs w:val="24"/>
        </w:rPr>
        <w:t>permitiram</w:t>
      </w:r>
      <w:r w:rsidR="00DB07BF" w:rsidRPr="00024510">
        <w:rPr>
          <w:rFonts w:eastAsia="Times New Roman"/>
          <w:color w:val="000000" w:themeColor="text1"/>
          <w:sz w:val="24"/>
          <w:szCs w:val="24"/>
        </w:rPr>
        <w:t xml:space="preserve"> desenvolver um olhar mais atento às dinâmicas de exclusão que operam nesse espaço urbano, desmascarando desigualdades que muitas vezes são neutralizadas no cotidiano</w:t>
      </w:r>
    </w:p>
    <w:p w14:paraId="39D2D1C9" w14:textId="07BEF306" w:rsidR="001C2172" w:rsidRPr="00024510" w:rsidRDefault="00DB07BF" w:rsidP="00030AE2">
      <w:pPr>
        <w:spacing w:line="360" w:lineRule="auto"/>
        <w:ind w:left="-5" w:firstLine="713"/>
        <w:jc w:val="both"/>
        <w:rPr>
          <w:rFonts w:eastAsia="Times New Roman"/>
          <w:color w:val="000000" w:themeColor="text1"/>
          <w:sz w:val="24"/>
          <w:szCs w:val="24"/>
        </w:rPr>
      </w:pPr>
      <w:r w:rsidRPr="00024510">
        <w:rPr>
          <w:rFonts w:eastAsia="Times New Roman"/>
          <w:color w:val="000000" w:themeColor="text1"/>
          <w:sz w:val="24"/>
          <w:szCs w:val="24"/>
        </w:rPr>
        <w:t xml:space="preserve">O Trabalho é dividido em </w:t>
      </w:r>
      <w:r w:rsidR="001C2172" w:rsidRPr="00024510">
        <w:rPr>
          <w:rFonts w:eastAsia="Times New Roman"/>
          <w:color w:val="000000" w:themeColor="text1"/>
          <w:sz w:val="24"/>
          <w:szCs w:val="24"/>
        </w:rPr>
        <w:t>4 partes. A primeira aborda introdução contextualizando as ideias do trabalho. A segunda parte aborda a distinção entre os frequentadores do porto e do trapiche</w:t>
      </w:r>
      <w:r w:rsidR="00DE2561" w:rsidRPr="00024510">
        <w:rPr>
          <w:rStyle w:val="Refdenotaderodap"/>
          <w:rFonts w:eastAsia="Times New Roman"/>
          <w:color w:val="000000" w:themeColor="text1"/>
          <w:sz w:val="24"/>
          <w:szCs w:val="24"/>
        </w:rPr>
        <w:footnoteReference w:id="3"/>
      </w:r>
      <w:r w:rsidR="001C2172" w:rsidRPr="00024510">
        <w:rPr>
          <w:rFonts w:eastAsia="Times New Roman"/>
          <w:color w:val="000000" w:themeColor="text1"/>
          <w:sz w:val="24"/>
          <w:szCs w:val="24"/>
        </w:rPr>
        <w:t xml:space="preserve">, evidenciando como o acesso ao </w:t>
      </w:r>
      <w:r w:rsidR="00024510" w:rsidRPr="00024510">
        <w:rPr>
          <w:rFonts w:eastAsia="Times New Roman"/>
          <w:color w:val="000000" w:themeColor="text1"/>
          <w:sz w:val="24"/>
          <w:szCs w:val="24"/>
        </w:rPr>
        <w:t>transporte,</w:t>
      </w:r>
      <w:r w:rsidR="001C2172" w:rsidRPr="00024510">
        <w:rPr>
          <w:rFonts w:eastAsia="Times New Roman"/>
          <w:color w:val="000000" w:themeColor="text1"/>
          <w:sz w:val="24"/>
          <w:szCs w:val="24"/>
        </w:rPr>
        <w:t xml:space="preserve"> à infraestrutura e à segurança está condicionado</w:t>
      </w:r>
      <w:r w:rsidR="00024510">
        <w:rPr>
          <w:rFonts w:eastAsia="Times New Roman"/>
          <w:color w:val="000000" w:themeColor="text1"/>
          <w:sz w:val="24"/>
          <w:szCs w:val="24"/>
        </w:rPr>
        <w:t xml:space="preserve"> </w:t>
      </w:r>
      <w:r w:rsidR="001C2172" w:rsidRPr="00024510">
        <w:rPr>
          <w:rFonts w:eastAsia="Times New Roman"/>
          <w:color w:val="000000" w:themeColor="text1"/>
          <w:sz w:val="24"/>
          <w:szCs w:val="24"/>
        </w:rPr>
        <w:t>por marcadores sociais como raça, gênero e classe.</w:t>
      </w:r>
    </w:p>
    <w:p w14:paraId="67C6CD81" w14:textId="789CD5BE" w:rsidR="00DE2561" w:rsidRPr="00024510" w:rsidRDefault="001C2172" w:rsidP="00DE2561">
      <w:pPr>
        <w:spacing w:line="360" w:lineRule="auto"/>
        <w:ind w:left="-5" w:firstLine="713"/>
        <w:jc w:val="both"/>
        <w:rPr>
          <w:rFonts w:eastAsia="Times New Roman"/>
          <w:color w:val="000000" w:themeColor="text1"/>
          <w:sz w:val="24"/>
          <w:szCs w:val="24"/>
        </w:rPr>
      </w:pPr>
      <w:r w:rsidRPr="00024510">
        <w:rPr>
          <w:rFonts w:eastAsia="Times New Roman"/>
          <w:color w:val="000000" w:themeColor="text1"/>
          <w:sz w:val="24"/>
          <w:szCs w:val="24"/>
        </w:rPr>
        <w:t xml:space="preserve">Além disso, na terceira parte discute a segregação entre quem consome nos restaurantes e quem é excluído desse espaço, </w:t>
      </w:r>
      <w:r w:rsidR="00024510" w:rsidRPr="00024510">
        <w:rPr>
          <w:rFonts w:eastAsia="Times New Roman"/>
          <w:color w:val="000000" w:themeColor="text1"/>
          <w:sz w:val="24"/>
          <w:szCs w:val="24"/>
        </w:rPr>
        <w:t>refletindo sobre as</w:t>
      </w:r>
      <w:r w:rsidRPr="00024510">
        <w:rPr>
          <w:rFonts w:eastAsia="Times New Roman"/>
          <w:color w:val="000000" w:themeColor="text1"/>
          <w:sz w:val="24"/>
          <w:szCs w:val="24"/>
        </w:rPr>
        <w:t xml:space="preserve"> dimensões econômicas, raciais e de gênero da desigualdade</w:t>
      </w:r>
      <w:r w:rsidR="00DE2561" w:rsidRPr="00024510">
        <w:rPr>
          <w:rFonts w:eastAsia="Times New Roman"/>
          <w:color w:val="000000" w:themeColor="text1"/>
          <w:sz w:val="24"/>
          <w:szCs w:val="24"/>
        </w:rPr>
        <w:t xml:space="preserve">. Também, o trabalho analisa a atuação seletiva da polícia na orla, em especial na remoção </w:t>
      </w:r>
      <w:r w:rsidR="00024510" w:rsidRPr="00024510">
        <w:rPr>
          <w:rFonts w:eastAsia="Times New Roman"/>
          <w:color w:val="000000" w:themeColor="text1"/>
          <w:sz w:val="24"/>
          <w:szCs w:val="24"/>
        </w:rPr>
        <w:t>de</w:t>
      </w:r>
      <w:r w:rsidR="00DE2561" w:rsidRPr="00024510">
        <w:rPr>
          <w:rFonts w:eastAsia="Times New Roman"/>
          <w:color w:val="000000" w:themeColor="text1"/>
          <w:sz w:val="24"/>
          <w:szCs w:val="24"/>
        </w:rPr>
        <w:t xml:space="preserve"> pessoas em situação de rua. Por fim, na quarta parte o artigo traz a síntese de toda essa abordagem.</w:t>
      </w:r>
    </w:p>
    <w:p w14:paraId="50C6C4A0" w14:textId="77777777" w:rsidR="00030AE2" w:rsidRPr="009D4007" w:rsidRDefault="001C2172" w:rsidP="00DE2561">
      <w:pPr>
        <w:spacing w:line="360" w:lineRule="auto"/>
        <w:ind w:left="-5" w:firstLine="713"/>
        <w:jc w:val="both"/>
        <w:rPr>
          <w:rFonts w:eastAsia="Times New Roman"/>
          <w:color w:val="000000" w:themeColor="text1"/>
          <w:sz w:val="24"/>
          <w:szCs w:val="24"/>
        </w:rPr>
      </w:pPr>
      <w:r w:rsidRPr="00024510">
        <w:rPr>
          <w:rFonts w:eastAsia="Times New Roman"/>
          <w:color w:val="000000" w:themeColor="text1"/>
          <w:sz w:val="24"/>
          <w:szCs w:val="24"/>
        </w:rPr>
        <w:t xml:space="preserve">   </w:t>
      </w:r>
    </w:p>
    <w:p w14:paraId="74720424" w14:textId="77777777" w:rsidR="00030AE2" w:rsidRPr="00406393" w:rsidRDefault="00030AE2" w:rsidP="00406393">
      <w:pPr>
        <w:pStyle w:val="PargrafodaLista"/>
        <w:numPr>
          <w:ilvl w:val="0"/>
          <w:numId w:val="2"/>
        </w:numPr>
        <w:spacing w:line="360" w:lineRule="auto"/>
        <w:jc w:val="both"/>
        <w:rPr>
          <w:rFonts w:eastAsia="Times New Roman"/>
          <w:color w:val="000000" w:themeColor="text1"/>
          <w:sz w:val="24"/>
          <w:szCs w:val="24"/>
        </w:rPr>
      </w:pPr>
      <w:r w:rsidRPr="00406393">
        <w:rPr>
          <w:rFonts w:eastAsia="Times New Roman"/>
          <w:b/>
          <w:bCs/>
          <w:color w:val="000000" w:themeColor="text1"/>
          <w:sz w:val="24"/>
          <w:szCs w:val="24"/>
        </w:rPr>
        <w:t xml:space="preserve">A SEGREGAÇÃO SOCIOESPACIAL NO ESPAÇO DA ORLA DE ICOARACI: </w:t>
      </w:r>
      <w:r w:rsidRPr="00406393">
        <w:rPr>
          <w:rFonts w:eastAsia="Times New Roman"/>
          <w:color w:val="000000" w:themeColor="text1"/>
          <w:sz w:val="24"/>
          <w:szCs w:val="24"/>
        </w:rPr>
        <w:t>reflexões acerca das dinâmicas de consumo e circulação</w:t>
      </w:r>
    </w:p>
    <w:p w14:paraId="5515C6FF" w14:textId="77777777" w:rsidR="00030AE2" w:rsidRPr="00024510" w:rsidRDefault="00030AE2" w:rsidP="00030AE2">
      <w:pPr>
        <w:spacing w:line="360" w:lineRule="auto"/>
        <w:jc w:val="both"/>
        <w:rPr>
          <w:rFonts w:eastAsia="Times New Roman"/>
          <w:color w:val="000000" w:themeColor="text1"/>
          <w:sz w:val="24"/>
          <w:szCs w:val="24"/>
        </w:rPr>
      </w:pPr>
    </w:p>
    <w:p w14:paraId="3F801075" w14:textId="77777777" w:rsidR="00030AE2" w:rsidRPr="00024510" w:rsidRDefault="00030AE2" w:rsidP="00030AE2">
      <w:pPr>
        <w:spacing w:line="360" w:lineRule="auto"/>
        <w:ind w:firstLine="720"/>
        <w:jc w:val="both"/>
        <w:rPr>
          <w:rFonts w:eastAsia="Times New Roman"/>
          <w:color w:val="000000" w:themeColor="text1"/>
          <w:sz w:val="24"/>
          <w:szCs w:val="24"/>
        </w:rPr>
      </w:pPr>
      <w:r w:rsidRPr="00024510">
        <w:rPr>
          <w:rFonts w:eastAsia="Times New Roman"/>
          <w:color w:val="000000" w:themeColor="text1"/>
          <w:sz w:val="24"/>
          <w:szCs w:val="24"/>
        </w:rPr>
        <w:t>Inicia-se as reflexões desse trabalho em observação as dinâmicas estabelecidas no transporte público fluvia</w:t>
      </w:r>
      <w:r w:rsidR="00322632" w:rsidRPr="00024510">
        <w:rPr>
          <w:rFonts w:eastAsia="Times New Roman"/>
          <w:color w:val="000000" w:themeColor="text1"/>
          <w:sz w:val="24"/>
          <w:szCs w:val="24"/>
        </w:rPr>
        <w:t>l</w:t>
      </w:r>
      <w:r w:rsidRPr="00024510">
        <w:rPr>
          <w:rFonts w:eastAsia="Times New Roman"/>
          <w:color w:val="000000" w:themeColor="text1"/>
          <w:sz w:val="24"/>
          <w:szCs w:val="24"/>
        </w:rPr>
        <w:t xml:space="preserve"> na Orla</w:t>
      </w:r>
      <w:r w:rsidR="00322632" w:rsidRPr="00024510">
        <w:rPr>
          <w:rFonts w:eastAsia="Times New Roman"/>
          <w:color w:val="000000" w:themeColor="text1"/>
          <w:sz w:val="24"/>
          <w:szCs w:val="24"/>
        </w:rPr>
        <w:t xml:space="preserve"> </w:t>
      </w:r>
      <w:r w:rsidRPr="00024510">
        <w:rPr>
          <w:rFonts w:eastAsia="Times New Roman"/>
          <w:color w:val="000000" w:themeColor="text1"/>
          <w:sz w:val="24"/>
          <w:szCs w:val="24"/>
        </w:rPr>
        <w:t xml:space="preserve">de Icoaraci onde se observou uma separação entre o Porto e o Trapiche, pois, enquanto o Porto tem melhores condições estruturais para as pessoas usuárias desse serviço, tais como estruturas físicas mais adequadas,  estacionamento privativo, atendimento diferenciado e segurança, o Trapiche funciona de modo improvisado, com estrutura de madeira visivelmente sem manutenção, o que agrega insegurança à dinâmica do espaço. Essa observação pode ser relacionada ao que nos alerta </w:t>
      </w:r>
      <w:r w:rsidRPr="00024510">
        <w:rPr>
          <w:rFonts w:eastAsia="Times New Roman"/>
          <w:b/>
          <w:bCs/>
          <w:color w:val="000000" w:themeColor="text1"/>
          <w:sz w:val="24"/>
          <w:szCs w:val="24"/>
        </w:rPr>
        <w:t>Fanon</w:t>
      </w:r>
      <w:r w:rsidRPr="00024510">
        <w:rPr>
          <w:rFonts w:eastAsia="Times New Roman"/>
          <w:color w:val="000000" w:themeColor="text1"/>
          <w:sz w:val="24"/>
          <w:szCs w:val="24"/>
        </w:rPr>
        <w:t xml:space="preserve"> (1961, p 29): </w:t>
      </w:r>
    </w:p>
    <w:p w14:paraId="2F0440F5" w14:textId="77777777" w:rsidR="00030AE2" w:rsidRPr="00024510" w:rsidRDefault="00030AE2" w:rsidP="00030AE2">
      <w:pPr>
        <w:spacing w:line="360" w:lineRule="auto"/>
        <w:ind w:left="-5" w:firstLine="5"/>
        <w:jc w:val="both"/>
        <w:rPr>
          <w:rFonts w:ascii="Times New Roman" w:eastAsia="Times New Roman" w:hAnsi="Times New Roman" w:cs="Times New Roman"/>
          <w:color w:val="000000" w:themeColor="text1"/>
          <w:sz w:val="24"/>
          <w:szCs w:val="24"/>
        </w:rPr>
      </w:pPr>
    </w:p>
    <w:p w14:paraId="513CB26C" w14:textId="77777777" w:rsidR="00030AE2" w:rsidRPr="00024510" w:rsidRDefault="00030AE2" w:rsidP="00030AE2">
      <w:pPr>
        <w:spacing w:line="240" w:lineRule="auto"/>
        <w:ind w:left="2835" w:firstLine="6"/>
        <w:jc w:val="both"/>
        <w:rPr>
          <w:rFonts w:ascii="Times New Roman" w:eastAsia="Times New Roman" w:hAnsi="Times New Roman" w:cs="Times New Roman"/>
          <w:color w:val="000000" w:themeColor="text1"/>
          <w:sz w:val="24"/>
          <w:szCs w:val="24"/>
        </w:rPr>
      </w:pPr>
      <w:proofErr w:type="spellStart"/>
      <w:r w:rsidRPr="00024510">
        <w:rPr>
          <w:rFonts w:eastAsia="Times New Roman"/>
          <w:color w:val="000000" w:themeColor="text1"/>
          <w:sz w:val="20"/>
          <w:szCs w:val="20"/>
        </w:rPr>
        <w:t>Êste</w:t>
      </w:r>
      <w:proofErr w:type="spellEnd"/>
      <w:r w:rsidRPr="00024510">
        <w:rPr>
          <w:rFonts w:eastAsia="Times New Roman"/>
          <w:color w:val="000000" w:themeColor="text1"/>
          <w:sz w:val="20"/>
          <w:szCs w:val="20"/>
        </w:rPr>
        <w:t xml:space="preserve"> mundo dividido em compartimentos, </w:t>
      </w:r>
      <w:proofErr w:type="spellStart"/>
      <w:r w:rsidRPr="00024510">
        <w:rPr>
          <w:rFonts w:eastAsia="Times New Roman"/>
          <w:color w:val="000000" w:themeColor="text1"/>
          <w:sz w:val="20"/>
          <w:szCs w:val="20"/>
        </w:rPr>
        <w:t>êste</w:t>
      </w:r>
      <w:proofErr w:type="spellEnd"/>
      <w:r w:rsidRPr="00024510">
        <w:rPr>
          <w:rFonts w:eastAsia="Times New Roman"/>
          <w:color w:val="000000" w:themeColor="text1"/>
          <w:sz w:val="20"/>
          <w:szCs w:val="20"/>
        </w:rPr>
        <w:t xml:space="preserve"> mundo cindido em dois, é habitado por espécies diferentes. A originalidade do contexto colonial reside em que as realidades econômicas, as desigualdades, a enorme diferença dos modos de vida não logram nunca mascarar as realidades econômicas, as desigualdades, a enorme diferença dos modos de vida não logram nunca mascarar as realidades humanas. </w:t>
      </w:r>
      <w:r w:rsidR="00E712FD" w:rsidRPr="00024510">
        <w:rPr>
          <w:rFonts w:eastAsia="Times New Roman"/>
          <w:color w:val="000000" w:themeColor="text1"/>
          <w:sz w:val="20"/>
          <w:szCs w:val="20"/>
        </w:rPr>
        <w:t>Fanon, 1961, p 29)</w:t>
      </w:r>
    </w:p>
    <w:p w14:paraId="2095B4A6" w14:textId="77777777" w:rsidR="00030AE2" w:rsidRPr="00024510" w:rsidRDefault="00030AE2" w:rsidP="00030AE2">
      <w:pPr>
        <w:spacing w:line="360" w:lineRule="auto"/>
        <w:rPr>
          <w:rFonts w:ascii="Times New Roman" w:eastAsia="Times New Roman" w:hAnsi="Times New Roman" w:cs="Times New Roman"/>
          <w:color w:val="000000" w:themeColor="text1"/>
          <w:sz w:val="24"/>
          <w:szCs w:val="24"/>
        </w:rPr>
      </w:pPr>
    </w:p>
    <w:p w14:paraId="2A400EDC" w14:textId="77777777" w:rsidR="00030AE2" w:rsidRPr="00024510" w:rsidRDefault="00030AE2" w:rsidP="00030AE2">
      <w:pPr>
        <w:spacing w:line="360" w:lineRule="auto"/>
        <w:ind w:left="-5" w:firstLine="725"/>
        <w:jc w:val="both"/>
        <w:rPr>
          <w:rFonts w:eastAsia="Times New Roman"/>
          <w:color w:val="000000" w:themeColor="text1"/>
          <w:sz w:val="24"/>
          <w:szCs w:val="24"/>
        </w:rPr>
      </w:pPr>
      <w:r w:rsidRPr="00024510">
        <w:rPr>
          <w:rFonts w:eastAsia="Times New Roman"/>
          <w:color w:val="000000" w:themeColor="text1"/>
          <w:sz w:val="24"/>
          <w:szCs w:val="24"/>
        </w:rPr>
        <w:t xml:space="preserve">Em consonância com o autor, uma organização urbana onde uma parte da população tem acesso aos melhores espaços, enquanto a outra é jogada para as beiras, ficando com os piores e mais precarizados. No caso da orla, isso fica perceptível no sentido de que aqueles que têm melhores condições vão frequentar o porto, sendo ele um local mais seguro e com melhor infraestrutura. Já aqueles que vão frequentar o trapiche encontram um lugar mais precarizado e acessível, que atende às camadas populares. </w:t>
      </w:r>
    </w:p>
    <w:p w14:paraId="7686DD7E" w14:textId="77777777" w:rsidR="00030AE2" w:rsidRPr="00024510" w:rsidRDefault="00030AE2" w:rsidP="00030AE2">
      <w:pPr>
        <w:spacing w:line="360" w:lineRule="auto"/>
        <w:ind w:left="-5" w:firstLine="725"/>
        <w:jc w:val="both"/>
        <w:rPr>
          <w:rFonts w:ascii="Times New Roman" w:eastAsia="Times New Roman" w:hAnsi="Times New Roman" w:cs="Times New Roman"/>
          <w:color w:val="000000" w:themeColor="text1"/>
          <w:sz w:val="24"/>
          <w:szCs w:val="24"/>
        </w:rPr>
      </w:pPr>
      <w:r w:rsidRPr="00024510">
        <w:rPr>
          <w:rFonts w:eastAsia="Times New Roman"/>
          <w:color w:val="000000" w:themeColor="text1"/>
          <w:sz w:val="24"/>
          <w:szCs w:val="24"/>
        </w:rPr>
        <w:t>Deste modo, se no passado os espaços sociais eram separados entre colonizador e colonizado, hoje isso ainda acontece, só que de uma forma mais oculta e sofisticada. Porém, só pelo fato de que grupos diferentes usam transportes distintos para fazer o mesmo trajeto, isso demonstra como o acesso à cidadania ainda é muito hierarquizado, sendo condicionado pelo poder econômico, pela cor da pele e até pelo gênero. </w:t>
      </w:r>
    </w:p>
    <w:p w14:paraId="2EEC273B" w14:textId="77777777" w:rsidR="00030AE2" w:rsidRPr="00024510" w:rsidRDefault="00030AE2" w:rsidP="00CE351B">
      <w:pPr>
        <w:spacing w:line="360" w:lineRule="auto"/>
        <w:ind w:left="-5" w:firstLine="725"/>
        <w:jc w:val="both"/>
        <w:rPr>
          <w:rFonts w:eastAsia="Times New Roman"/>
          <w:color w:val="000000" w:themeColor="text1"/>
          <w:sz w:val="24"/>
          <w:szCs w:val="24"/>
        </w:rPr>
      </w:pPr>
      <w:r w:rsidRPr="00024510">
        <w:rPr>
          <w:rFonts w:eastAsia="Times New Roman"/>
          <w:color w:val="000000" w:themeColor="text1"/>
          <w:sz w:val="24"/>
          <w:szCs w:val="24"/>
        </w:rPr>
        <w:t>Essa segregação racial se manteve presente nas minhas observações sobre toda a orla. Logo depois de analisar o porto e o trapiche, comecei a andar pelos restaurantes e a perceber quem frequenta e quem trabalha neles. Passei até pelo restaurante onde o Bolsonaro pisou. No início das observações, no dia 31/12 (terça-feira), o cenário da orla era de muita agitação, típico do período de ano novo. É nesse contexto que se pode aplicar o olhar proposto por Roberto Cardoso</w:t>
      </w:r>
      <w:r w:rsidR="00CE351B" w:rsidRPr="00024510">
        <w:rPr>
          <w:rFonts w:eastAsia="Times New Roman"/>
          <w:color w:val="000000" w:themeColor="text1"/>
          <w:sz w:val="24"/>
          <w:szCs w:val="24"/>
        </w:rPr>
        <w:t xml:space="preserve">. </w:t>
      </w:r>
      <w:r w:rsidRPr="00024510">
        <w:rPr>
          <w:rFonts w:eastAsia="Times New Roman"/>
          <w:color w:val="000000" w:themeColor="text1"/>
          <w:sz w:val="24"/>
          <w:szCs w:val="24"/>
        </w:rPr>
        <w:t>De Cardoso de Oliveira</w:t>
      </w:r>
      <w:r w:rsidR="00CE351B" w:rsidRPr="00024510">
        <w:rPr>
          <w:rFonts w:eastAsia="Times New Roman"/>
          <w:color w:val="000000" w:themeColor="text1"/>
          <w:sz w:val="24"/>
          <w:szCs w:val="24"/>
        </w:rPr>
        <w:t xml:space="preserve"> (1996, p 15) </w:t>
      </w:r>
      <w:r w:rsidRPr="00024510">
        <w:rPr>
          <w:rFonts w:eastAsia="Times New Roman"/>
          <w:color w:val="000000" w:themeColor="text1"/>
          <w:sz w:val="24"/>
          <w:szCs w:val="24"/>
        </w:rPr>
        <w:t xml:space="preserve">na sua obra olhar, ouvir escrever, </w:t>
      </w:r>
      <w:r w:rsidR="00CE351B" w:rsidRPr="00024510">
        <w:rPr>
          <w:rFonts w:eastAsia="Times New Roman"/>
          <w:color w:val="000000" w:themeColor="text1"/>
          <w:sz w:val="24"/>
          <w:szCs w:val="24"/>
        </w:rPr>
        <w:t xml:space="preserve">este nos alerta que a observação: </w:t>
      </w:r>
    </w:p>
    <w:p w14:paraId="34A9D109" w14:textId="77777777" w:rsidR="00030AE2" w:rsidRPr="00024510" w:rsidRDefault="00030AE2" w:rsidP="00030AE2">
      <w:pPr>
        <w:spacing w:line="360" w:lineRule="auto"/>
        <w:ind w:left="-5"/>
        <w:jc w:val="both"/>
        <w:rPr>
          <w:rFonts w:ascii="Times New Roman" w:eastAsia="Times New Roman" w:hAnsi="Times New Roman" w:cs="Times New Roman"/>
          <w:color w:val="000000" w:themeColor="text1"/>
          <w:sz w:val="24"/>
          <w:szCs w:val="24"/>
        </w:rPr>
      </w:pPr>
    </w:p>
    <w:p w14:paraId="71C50E7F" w14:textId="77777777" w:rsidR="00030AE2" w:rsidRPr="00024510" w:rsidRDefault="00030AE2" w:rsidP="00030AE2">
      <w:pPr>
        <w:spacing w:line="240" w:lineRule="auto"/>
        <w:ind w:left="2835"/>
        <w:jc w:val="both"/>
        <w:rPr>
          <w:rFonts w:eastAsia="Times New Roman"/>
          <w:color w:val="000000" w:themeColor="text1"/>
          <w:sz w:val="20"/>
          <w:szCs w:val="20"/>
        </w:rPr>
      </w:pPr>
      <w:r w:rsidRPr="00024510">
        <w:rPr>
          <w:rFonts w:eastAsia="Times New Roman"/>
          <w:color w:val="000000" w:themeColor="text1"/>
          <w:sz w:val="20"/>
          <w:szCs w:val="20"/>
        </w:rPr>
        <w:t xml:space="preserve">Funciona como uma espécie de prisma por meio do qual a realidade observada sofre um processo de </w:t>
      </w:r>
      <w:proofErr w:type="spellStart"/>
      <w:r w:rsidRPr="00024510">
        <w:rPr>
          <w:rFonts w:eastAsia="Times New Roman"/>
          <w:color w:val="000000" w:themeColor="text1"/>
          <w:sz w:val="20"/>
          <w:szCs w:val="20"/>
        </w:rPr>
        <w:t>refração-se</w:t>
      </w:r>
      <w:proofErr w:type="spellEnd"/>
      <w:r w:rsidRPr="00024510">
        <w:rPr>
          <w:rFonts w:eastAsia="Times New Roman"/>
          <w:color w:val="000000" w:themeColor="text1"/>
          <w:sz w:val="20"/>
          <w:szCs w:val="20"/>
        </w:rPr>
        <w:t xml:space="preserve"> me é permitida a imagem. É certo que isso não é exclusivo do Olhar, uma vez que está presente em todo processo de conhecimento, envolvendo, portanto, todos aqueles atos cognitivos, que mencionei, em seu conjunto.</w:t>
      </w:r>
      <w:r w:rsidR="00CE351B" w:rsidRPr="00024510">
        <w:rPr>
          <w:rFonts w:eastAsia="Times New Roman"/>
          <w:color w:val="000000" w:themeColor="text1"/>
          <w:sz w:val="20"/>
          <w:szCs w:val="20"/>
        </w:rPr>
        <w:t xml:space="preserve"> (Cardoso de Oliveira, 1996, p 15)</w:t>
      </w:r>
    </w:p>
    <w:p w14:paraId="2FCA223D" w14:textId="77777777" w:rsidR="00030AE2" w:rsidRPr="00024510" w:rsidRDefault="00030AE2" w:rsidP="00030AE2">
      <w:pPr>
        <w:spacing w:line="360" w:lineRule="auto"/>
        <w:ind w:left="1435"/>
        <w:jc w:val="both"/>
        <w:rPr>
          <w:rFonts w:ascii="Times New Roman" w:eastAsia="Times New Roman" w:hAnsi="Times New Roman" w:cs="Times New Roman"/>
          <w:color w:val="000000" w:themeColor="text1"/>
          <w:sz w:val="24"/>
          <w:szCs w:val="24"/>
        </w:rPr>
      </w:pPr>
    </w:p>
    <w:p w14:paraId="78903AA0" w14:textId="15874EA1" w:rsidR="00030AE2" w:rsidRPr="00024510" w:rsidRDefault="00030AE2" w:rsidP="00CE351B">
      <w:pPr>
        <w:spacing w:line="360" w:lineRule="auto"/>
        <w:ind w:firstLine="720"/>
        <w:jc w:val="both"/>
        <w:rPr>
          <w:rFonts w:eastAsia="Times New Roman"/>
          <w:color w:val="000000" w:themeColor="text1"/>
          <w:sz w:val="24"/>
          <w:szCs w:val="24"/>
        </w:rPr>
      </w:pPr>
      <w:r w:rsidRPr="00024510">
        <w:rPr>
          <w:rFonts w:eastAsia="Times New Roman"/>
          <w:color w:val="000000" w:themeColor="text1"/>
          <w:sz w:val="24"/>
          <w:szCs w:val="24"/>
        </w:rPr>
        <w:t> </w:t>
      </w:r>
      <w:r w:rsidR="00E712FD" w:rsidRPr="00024510">
        <w:rPr>
          <w:rFonts w:eastAsia="Times New Roman"/>
          <w:color w:val="000000" w:themeColor="text1"/>
          <w:sz w:val="24"/>
          <w:szCs w:val="24"/>
        </w:rPr>
        <w:t>Com isso, a</w:t>
      </w:r>
      <w:r w:rsidRPr="00024510">
        <w:rPr>
          <w:rFonts w:eastAsia="Times New Roman"/>
          <w:color w:val="000000" w:themeColor="text1"/>
          <w:sz w:val="24"/>
          <w:szCs w:val="24"/>
        </w:rPr>
        <w:t xml:space="preserve">o aplicar esse olhar </w:t>
      </w:r>
      <w:r w:rsidR="00E712FD" w:rsidRPr="00024510">
        <w:rPr>
          <w:rFonts w:eastAsia="Times New Roman"/>
          <w:color w:val="000000" w:themeColor="text1"/>
          <w:sz w:val="24"/>
          <w:szCs w:val="24"/>
        </w:rPr>
        <w:t>crítico</w:t>
      </w:r>
      <w:r w:rsidRPr="00024510">
        <w:rPr>
          <w:rFonts w:eastAsia="Times New Roman"/>
          <w:color w:val="000000" w:themeColor="text1"/>
          <w:sz w:val="24"/>
          <w:szCs w:val="24"/>
        </w:rPr>
        <w:t xml:space="preserve">, pode-se observar essas situações de segregação racial e de gênero, vendo quem frequentava os restaurantes como cliente e quem servia. Em alguns restaurantes, até mesmo quem servia eram, em sua maioria, brancos. Esse olhar antropológico não está no sentido só de ver. Vai além disso, pois também é interpretador. </w:t>
      </w:r>
      <w:r w:rsidR="00CE351B" w:rsidRPr="00024510">
        <w:rPr>
          <w:rFonts w:eastAsia="Times New Roman"/>
          <w:color w:val="000000" w:themeColor="text1"/>
          <w:sz w:val="24"/>
          <w:szCs w:val="24"/>
        </w:rPr>
        <w:t xml:space="preserve">Em caso de </w:t>
      </w:r>
      <w:r w:rsidRPr="00024510">
        <w:rPr>
          <w:rFonts w:eastAsia="Times New Roman"/>
          <w:color w:val="000000" w:themeColor="text1"/>
          <w:sz w:val="24"/>
          <w:szCs w:val="24"/>
        </w:rPr>
        <w:t xml:space="preserve">apenas ter um olhar comum passasse pelos restaurantes e pelo porto sem essa observação crítica, o meu diário de campo estaria zerado. Se eu apenas olhasse para esses restaurantes sem </w:t>
      </w:r>
      <w:r w:rsidR="00024510">
        <w:rPr>
          <w:rFonts w:eastAsia="Times New Roman"/>
          <w:color w:val="000000" w:themeColor="text1"/>
          <w:sz w:val="24"/>
          <w:szCs w:val="24"/>
        </w:rPr>
        <w:t>essa visão crítica</w:t>
      </w:r>
      <w:r w:rsidRPr="00024510">
        <w:rPr>
          <w:rFonts w:eastAsia="Times New Roman"/>
          <w:color w:val="000000" w:themeColor="text1"/>
          <w:sz w:val="24"/>
          <w:szCs w:val="24"/>
        </w:rPr>
        <w:t xml:space="preserve">, poderia acreditar que o motivo de a população negra, em sua grande maioria, não frequentar aquele lugar fosse apenas uma questão de escolha. Porém, ao observar de forma mais atenta, é notório que vai além de um direito de escolha, tal como nos elucida </w:t>
      </w:r>
      <w:r w:rsidR="000F2D7B" w:rsidRPr="00024510">
        <w:rPr>
          <w:rFonts w:eastAsia="Times New Roman"/>
          <w:b/>
          <w:bCs/>
          <w:color w:val="000000" w:themeColor="text1"/>
          <w:sz w:val="24"/>
          <w:szCs w:val="24"/>
        </w:rPr>
        <w:t>Fanon</w:t>
      </w:r>
      <w:r w:rsidRPr="00024510">
        <w:rPr>
          <w:rFonts w:eastAsia="Times New Roman"/>
          <w:color w:val="000000" w:themeColor="text1"/>
          <w:sz w:val="24"/>
          <w:szCs w:val="24"/>
        </w:rPr>
        <w:t xml:space="preserve">, a saber: </w:t>
      </w:r>
    </w:p>
    <w:p w14:paraId="5025FC5E" w14:textId="77777777" w:rsidR="00030AE2" w:rsidRPr="00024510" w:rsidRDefault="00030AE2" w:rsidP="00030AE2">
      <w:pPr>
        <w:spacing w:line="360" w:lineRule="auto"/>
        <w:jc w:val="both"/>
        <w:rPr>
          <w:rFonts w:ascii="Times New Roman" w:eastAsia="Times New Roman" w:hAnsi="Times New Roman" w:cs="Times New Roman"/>
          <w:color w:val="000000" w:themeColor="text1"/>
          <w:sz w:val="24"/>
          <w:szCs w:val="24"/>
        </w:rPr>
      </w:pPr>
    </w:p>
    <w:p w14:paraId="5C4F7FBC" w14:textId="77777777" w:rsidR="00030AE2" w:rsidRPr="00024510" w:rsidRDefault="00030AE2" w:rsidP="00030AE2">
      <w:pPr>
        <w:spacing w:line="240" w:lineRule="auto"/>
        <w:ind w:left="2835"/>
        <w:jc w:val="both"/>
        <w:rPr>
          <w:rFonts w:eastAsia="Times New Roman"/>
          <w:color w:val="000000" w:themeColor="text1"/>
          <w:sz w:val="20"/>
          <w:szCs w:val="20"/>
        </w:rPr>
      </w:pPr>
      <w:r w:rsidRPr="00024510">
        <w:rPr>
          <w:rFonts w:eastAsia="Times New Roman"/>
          <w:color w:val="000000" w:themeColor="text1"/>
          <w:sz w:val="20"/>
          <w:szCs w:val="20"/>
        </w:rPr>
        <w:t xml:space="preserve">O mundo colonizado é um mundo cindido em dois. A linha divisória, a fronteira, é indicada pelos quartéis e delegacias de polícia. Nas colônias o interlocutor legal e institucional do colonizado, o porta-voz do colono e do regime de opressão é o gendarme ou o soldado. [...].Vê-se que o intermediário do poder utiliza uma linguagem de pura violência. O intermediário não torna mais leve a opressão, não dissimula a dominação. Exibe-as, manifesta-as com a boa consciência das </w:t>
      </w:r>
      <w:proofErr w:type="spellStart"/>
      <w:r w:rsidRPr="00024510">
        <w:rPr>
          <w:rFonts w:eastAsia="Times New Roman"/>
          <w:color w:val="000000" w:themeColor="text1"/>
          <w:sz w:val="20"/>
          <w:szCs w:val="20"/>
        </w:rPr>
        <w:t>fôrças</w:t>
      </w:r>
      <w:proofErr w:type="spellEnd"/>
      <w:r w:rsidRPr="00024510">
        <w:rPr>
          <w:rFonts w:eastAsia="Times New Roman"/>
          <w:color w:val="000000" w:themeColor="text1"/>
          <w:sz w:val="20"/>
          <w:szCs w:val="20"/>
        </w:rPr>
        <w:t xml:space="preserve"> da ordem. O intermediário leva a violência à casa e ao cérebro do colonizado (</w:t>
      </w:r>
      <w:proofErr w:type="spellStart"/>
      <w:r w:rsidRPr="00024510">
        <w:rPr>
          <w:rFonts w:eastAsia="Times New Roman"/>
          <w:color w:val="000000" w:themeColor="text1"/>
          <w:sz w:val="20"/>
          <w:szCs w:val="20"/>
        </w:rPr>
        <w:t>Fanonn</w:t>
      </w:r>
      <w:proofErr w:type="spellEnd"/>
      <w:r w:rsidRPr="00024510">
        <w:rPr>
          <w:rFonts w:eastAsia="Times New Roman"/>
          <w:color w:val="000000" w:themeColor="text1"/>
          <w:sz w:val="20"/>
          <w:szCs w:val="20"/>
        </w:rPr>
        <w:t xml:space="preserve">, 1961, p 28). </w:t>
      </w:r>
    </w:p>
    <w:p w14:paraId="70E4241D" w14:textId="77777777" w:rsidR="00030AE2" w:rsidRPr="00024510" w:rsidRDefault="00030AE2" w:rsidP="00030AE2">
      <w:pPr>
        <w:spacing w:line="360" w:lineRule="auto"/>
        <w:ind w:left="1435"/>
        <w:jc w:val="both"/>
        <w:rPr>
          <w:rFonts w:ascii="Times New Roman" w:eastAsia="Times New Roman" w:hAnsi="Times New Roman" w:cs="Times New Roman"/>
          <w:color w:val="000000" w:themeColor="text1"/>
          <w:sz w:val="24"/>
          <w:szCs w:val="24"/>
        </w:rPr>
      </w:pPr>
    </w:p>
    <w:p w14:paraId="158A0582" w14:textId="77777777" w:rsidR="00024510" w:rsidRDefault="00024510" w:rsidP="00AA6887">
      <w:pPr>
        <w:spacing w:line="360" w:lineRule="auto"/>
        <w:ind w:left="-5" w:firstLine="725"/>
        <w:jc w:val="both"/>
        <w:rPr>
          <w:rFonts w:eastAsia="Times New Roman"/>
          <w:color w:val="000000" w:themeColor="text1"/>
          <w:sz w:val="24"/>
          <w:szCs w:val="24"/>
        </w:rPr>
      </w:pPr>
      <w:r w:rsidRPr="00024510">
        <w:rPr>
          <w:rFonts w:eastAsia="Times New Roman"/>
          <w:color w:val="000000" w:themeColor="text1"/>
          <w:sz w:val="24"/>
          <w:szCs w:val="24"/>
        </w:rPr>
        <w:t>Desse modo, os espaços da orla demonstram ser destinados a determinados grupos sociais, evidenciando profundas desigualdades raciais. Observações empíricas indicam que experiências de discriminação racial são recorrentes nesse contexto, configurando práticas que extrapolam casos isolados e se inserem em uma lógica estrutural marcada por heranças coloniais. A partir da perspectiva de Frantz Fanon, compreende-se que a segregação não depende, necessariamente, de normas legais explícitas ou sinalizações visíveis; ela se manifesta nas interações cotidianas, nos olhares, nos gestos e nas formas de tratamento, que indicam, simbolicamente, quem é socialmente aceito e quem é marginalizado nesses espaços.</w:t>
      </w:r>
    </w:p>
    <w:p w14:paraId="6F06F9C1" w14:textId="36BADA06" w:rsidR="00CE351B" w:rsidRPr="00024510" w:rsidRDefault="00030AE2" w:rsidP="00AA6887">
      <w:pPr>
        <w:spacing w:line="360" w:lineRule="auto"/>
        <w:ind w:left="-5" w:firstLine="725"/>
        <w:jc w:val="both"/>
        <w:rPr>
          <w:rFonts w:eastAsia="Times New Roman"/>
          <w:color w:val="000000" w:themeColor="text1"/>
          <w:sz w:val="24"/>
          <w:szCs w:val="24"/>
        </w:rPr>
      </w:pPr>
      <w:r w:rsidRPr="00024510">
        <w:rPr>
          <w:rFonts w:eastAsia="Times New Roman"/>
          <w:color w:val="000000" w:themeColor="text1"/>
          <w:sz w:val="24"/>
          <w:szCs w:val="24"/>
        </w:rPr>
        <w:t xml:space="preserve"> Esse</w:t>
      </w:r>
      <w:r w:rsidR="00024510">
        <w:rPr>
          <w:rFonts w:eastAsia="Times New Roman"/>
          <w:color w:val="000000" w:themeColor="text1"/>
          <w:sz w:val="24"/>
          <w:szCs w:val="24"/>
        </w:rPr>
        <w:t xml:space="preserve">s processos </w:t>
      </w:r>
      <w:r w:rsidRPr="00024510">
        <w:rPr>
          <w:rFonts w:eastAsia="Times New Roman"/>
          <w:color w:val="000000" w:themeColor="text1"/>
          <w:sz w:val="24"/>
          <w:szCs w:val="24"/>
        </w:rPr>
        <w:t>reflete</w:t>
      </w:r>
      <w:r w:rsidR="00024510">
        <w:rPr>
          <w:rFonts w:eastAsia="Times New Roman"/>
          <w:color w:val="000000" w:themeColor="text1"/>
          <w:sz w:val="24"/>
          <w:szCs w:val="24"/>
        </w:rPr>
        <w:t>m</w:t>
      </w:r>
      <w:r w:rsidRPr="00024510">
        <w:rPr>
          <w:rFonts w:eastAsia="Times New Roman"/>
          <w:color w:val="000000" w:themeColor="text1"/>
          <w:sz w:val="24"/>
          <w:szCs w:val="24"/>
        </w:rPr>
        <w:t xml:space="preserve"> o que Fanon traz no seu livro. A cidade não é um espaço neutro. Ela reflete essas desigualdades herdadas do sistema colonial, sendo um lugar dividido entre aqueles que pertencem e aqueles que serão </w:t>
      </w:r>
      <w:r w:rsidR="00AA6887" w:rsidRPr="00024510">
        <w:rPr>
          <w:rFonts w:eastAsia="Times New Roman"/>
          <w:color w:val="000000" w:themeColor="text1"/>
          <w:sz w:val="24"/>
          <w:szCs w:val="24"/>
        </w:rPr>
        <w:t>marginalizados.</w:t>
      </w:r>
      <w:r w:rsidRPr="00024510">
        <w:rPr>
          <w:rFonts w:eastAsia="Times New Roman"/>
          <w:color w:val="000000" w:themeColor="text1"/>
          <w:sz w:val="20"/>
          <w:szCs w:val="20"/>
        </w:rPr>
        <w:t>”</w:t>
      </w:r>
      <w:r w:rsidR="00AA6887" w:rsidRPr="00024510">
        <w:rPr>
          <w:rFonts w:eastAsia="Times New Roman"/>
          <w:b/>
          <w:bCs/>
          <w:color w:val="000000" w:themeColor="text1"/>
          <w:sz w:val="20"/>
          <w:szCs w:val="20"/>
        </w:rPr>
        <w:t xml:space="preserve"> </w:t>
      </w:r>
      <w:r w:rsidR="00AA6887" w:rsidRPr="00024510">
        <w:rPr>
          <w:rFonts w:eastAsia="Times New Roman"/>
          <w:b/>
          <w:bCs/>
          <w:color w:val="000000" w:themeColor="text1"/>
          <w:sz w:val="24"/>
          <w:szCs w:val="24"/>
        </w:rPr>
        <w:t>Gleciane Tavares de Oliveira e Raquel Amorim dos Santos (2024, p 401) afirmam: [...] </w:t>
      </w:r>
      <w:r w:rsidR="00AA6887" w:rsidRPr="00024510">
        <w:rPr>
          <w:rFonts w:eastAsia="Times New Roman"/>
          <w:color w:val="000000" w:themeColor="text1"/>
          <w:sz w:val="24"/>
          <w:szCs w:val="24"/>
        </w:rPr>
        <w:t>“As populações negras foram e ainda são impedidas de viver sua cidadania em função desse racismo estrutural, da discriminação e dos preconceitos, que atinge a população negra nos aspectos sociais, culturais, econômicos e políticos.</w:t>
      </w:r>
    </w:p>
    <w:p w14:paraId="79A843A4" w14:textId="1E5DA450" w:rsidR="00030AE2" w:rsidRPr="00024510" w:rsidRDefault="00030AE2" w:rsidP="00CE351B">
      <w:pPr>
        <w:spacing w:line="360" w:lineRule="auto"/>
        <w:ind w:left="-5" w:firstLine="725"/>
        <w:jc w:val="both"/>
        <w:rPr>
          <w:rFonts w:eastAsia="Times New Roman"/>
          <w:color w:val="000000" w:themeColor="text1"/>
          <w:sz w:val="24"/>
          <w:szCs w:val="24"/>
        </w:rPr>
      </w:pPr>
      <w:r w:rsidRPr="00024510">
        <w:rPr>
          <w:rFonts w:eastAsia="Times New Roman"/>
          <w:color w:val="000000" w:themeColor="text1"/>
          <w:sz w:val="24"/>
          <w:szCs w:val="24"/>
        </w:rPr>
        <w:t xml:space="preserve">Enquanto os turistas e a </w:t>
      </w:r>
      <w:r w:rsidR="00845C33">
        <w:rPr>
          <w:rFonts w:eastAsia="Times New Roman"/>
          <w:color w:val="000000" w:themeColor="text1"/>
          <w:sz w:val="24"/>
          <w:szCs w:val="24"/>
        </w:rPr>
        <w:t>pessoas com melhores condições de vida</w:t>
      </w:r>
      <w:r w:rsidRPr="00024510">
        <w:rPr>
          <w:rFonts w:eastAsia="Times New Roman"/>
          <w:color w:val="000000" w:themeColor="text1"/>
          <w:sz w:val="24"/>
          <w:szCs w:val="24"/>
        </w:rPr>
        <w:t xml:space="preserve"> são </w:t>
      </w:r>
      <w:r w:rsidR="00845C33">
        <w:rPr>
          <w:rFonts w:eastAsia="Times New Roman"/>
          <w:color w:val="000000" w:themeColor="text1"/>
          <w:sz w:val="24"/>
          <w:szCs w:val="24"/>
        </w:rPr>
        <w:t xml:space="preserve">melhor </w:t>
      </w:r>
      <w:r w:rsidRPr="00024510">
        <w:rPr>
          <w:rFonts w:eastAsia="Times New Roman"/>
          <w:color w:val="000000" w:themeColor="text1"/>
          <w:sz w:val="24"/>
          <w:szCs w:val="24"/>
        </w:rPr>
        <w:t xml:space="preserve">tratados em todos os sentidos, os negros são invisibilizados e marginalizados, tornando-se corpos invisíveis. Nessa direção, </w:t>
      </w:r>
      <w:r w:rsidRPr="00024510">
        <w:rPr>
          <w:rFonts w:eastAsia="Times New Roman"/>
          <w:b/>
          <w:bCs/>
          <w:color w:val="000000" w:themeColor="text1"/>
          <w:sz w:val="24"/>
          <w:szCs w:val="24"/>
        </w:rPr>
        <w:t>Santana (2018, p 222) afirma que</w:t>
      </w:r>
      <w:r w:rsidRPr="00024510">
        <w:rPr>
          <w:rFonts w:eastAsia="Times New Roman"/>
          <w:color w:val="000000" w:themeColor="text1"/>
          <w:sz w:val="24"/>
          <w:szCs w:val="24"/>
        </w:rPr>
        <w:t xml:space="preserve"> “é preciso vender a imagem da cidade limpa, bela, eficiente para atrair os turistas [...] os governos nacionais e locais têm a necessidade de mascarar a violência e a pobreza nas cidades.”</w:t>
      </w:r>
    </w:p>
    <w:p w14:paraId="4737E563" w14:textId="36D70FBD" w:rsidR="00030AE2" w:rsidRPr="00024510" w:rsidRDefault="00030AE2" w:rsidP="00030AE2">
      <w:pPr>
        <w:spacing w:line="360" w:lineRule="auto"/>
        <w:ind w:left="-5" w:firstLine="725"/>
        <w:jc w:val="both"/>
        <w:rPr>
          <w:rFonts w:eastAsia="Times New Roman"/>
          <w:color w:val="000000" w:themeColor="text1"/>
          <w:sz w:val="24"/>
          <w:szCs w:val="24"/>
        </w:rPr>
      </w:pPr>
      <w:r w:rsidRPr="00024510">
        <w:rPr>
          <w:rFonts w:eastAsia="Times New Roman"/>
          <w:color w:val="000000" w:themeColor="text1"/>
          <w:sz w:val="24"/>
          <w:szCs w:val="24"/>
        </w:rPr>
        <w:t>Ademais, o que Santana (2018) nos traz em seu artigo é exatamente o que acontece na orla de Icoaraci, uma tentativa de “embelezamento” apagando os negros e os mais pobres. O lugar onde os negros frequentam na orla, em específico a juventude, é numa pista de skate que existe. Pela manhã, é um local onde algumas pessoas praticam capoeira. Outro espaço frequentado por esse grupo são os quiosques, onde a comid</w:t>
      </w:r>
      <w:r w:rsidR="00845C33">
        <w:rPr>
          <w:rFonts w:eastAsia="Times New Roman"/>
          <w:color w:val="000000" w:themeColor="text1"/>
          <w:sz w:val="24"/>
          <w:szCs w:val="24"/>
        </w:rPr>
        <w:t xml:space="preserve">a </w:t>
      </w:r>
      <w:r w:rsidRPr="00024510">
        <w:rPr>
          <w:rFonts w:eastAsia="Times New Roman"/>
          <w:color w:val="000000" w:themeColor="text1"/>
          <w:sz w:val="24"/>
          <w:szCs w:val="24"/>
        </w:rPr>
        <w:t xml:space="preserve">é muito mais acessível. Além disso, trata-se de um ambiente mais cultural, com esportes e músicas. </w:t>
      </w:r>
    </w:p>
    <w:p w14:paraId="4667D5B7" w14:textId="440CB354" w:rsidR="00030AE2" w:rsidRPr="00024510" w:rsidRDefault="00AA6887" w:rsidP="00030AE2">
      <w:pPr>
        <w:spacing w:line="360" w:lineRule="auto"/>
        <w:ind w:left="-5" w:firstLine="725"/>
        <w:jc w:val="both"/>
        <w:rPr>
          <w:rFonts w:eastAsia="Times New Roman"/>
          <w:color w:val="000000" w:themeColor="text1"/>
          <w:sz w:val="24"/>
          <w:szCs w:val="24"/>
        </w:rPr>
      </w:pPr>
      <w:r w:rsidRPr="00024510">
        <w:rPr>
          <w:rFonts w:eastAsia="Times New Roman"/>
          <w:color w:val="000000" w:themeColor="text1"/>
          <w:sz w:val="24"/>
          <w:szCs w:val="24"/>
        </w:rPr>
        <w:t xml:space="preserve">Com isso, </w:t>
      </w:r>
      <w:r w:rsidR="0040612A" w:rsidRPr="00024510">
        <w:rPr>
          <w:rFonts w:eastAsia="Times New Roman"/>
          <w:color w:val="000000" w:themeColor="text1"/>
          <w:sz w:val="24"/>
          <w:szCs w:val="24"/>
        </w:rPr>
        <w:t>ao analisar</w:t>
      </w:r>
      <w:r w:rsidR="00030AE2" w:rsidRPr="00024510">
        <w:rPr>
          <w:rFonts w:eastAsia="Times New Roman"/>
          <w:color w:val="000000" w:themeColor="text1"/>
          <w:sz w:val="24"/>
          <w:szCs w:val="24"/>
        </w:rPr>
        <w:t xml:space="preserve"> a Orla, nos seus três turnos manhã, tarde e noite, </w:t>
      </w:r>
      <w:r w:rsidR="00845C33">
        <w:rPr>
          <w:rFonts w:eastAsia="Times New Roman"/>
          <w:color w:val="000000" w:themeColor="text1"/>
          <w:sz w:val="24"/>
          <w:szCs w:val="24"/>
        </w:rPr>
        <w:t>percebe-se</w:t>
      </w:r>
      <w:r w:rsidR="00030AE2" w:rsidRPr="00024510">
        <w:rPr>
          <w:rFonts w:eastAsia="Times New Roman"/>
          <w:color w:val="000000" w:themeColor="text1"/>
          <w:sz w:val="24"/>
          <w:szCs w:val="24"/>
        </w:rPr>
        <w:t xml:space="preserve"> que, além dessa segregação racial, também existem diferentes pessoas que a frequentam em cada turno. Pela manhã, quem predomina mais são os idosos que caminham pela orla, além das pessoas em situação de rua, com poucos ou nenhum policial nas ruas. Já pela tarde, o público muda são jovens caminhando e alguns estudantes. Os restaurantes já estão abertos, e já existe um certo movimento de policiais</w:t>
      </w:r>
      <w:r w:rsidR="00845C33">
        <w:rPr>
          <w:rFonts w:eastAsia="Times New Roman"/>
          <w:color w:val="000000" w:themeColor="text1"/>
          <w:sz w:val="24"/>
          <w:szCs w:val="24"/>
        </w:rPr>
        <w:t xml:space="preserve">, os quais precisam garantir a segurança patrimonial dos equipamentos privados que funcionam nesse espaço. </w:t>
      </w:r>
      <w:r w:rsidR="00030AE2" w:rsidRPr="00024510">
        <w:rPr>
          <w:rFonts w:eastAsia="Times New Roman"/>
          <w:color w:val="000000" w:themeColor="text1"/>
          <w:sz w:val="24"/>
          <w:szCs w:val="24"/>
        </w:rPr>
        <w:t xml:space="preserve"> </w:t>
      </w:r>
    </w:p>
    <w:p w14:paraId="187EA3A7" w14:textId="77777777" w:rsidR="00030AE2" w:rsidRPr="00024510" w:rsidRDefault="00030AE2" w:rsidP="00030AE2">
      <w:pPr>
        <w:spacing w:line="360" w:lineRule="auto"/>
        <w:ind w:left="-5"/>
        <w:jc w:val="both"/>
        <w:rPr>
          <w:rFonts w:eastAsia="Times New Roman"/>
          <w:color w:val="000000" w:themeColor="text1"/>
          <w:sz w:val="24"/>
          <w:szCs w:val="24"/>
        </w:rPr>
      </w:pPr>
    </w:p>
    <w:p w14:paraId="4D58ECCC" w14:textId="77777777" w:rsidR="00030AE2" w:rsidRPr="00406393" w:rsidRDefault="00030AE2" w:rsidP="00406393">
      <w:pPr>
        <w:pStyle w:val="PargrafodaLista"/>
        <w:numPr>
          <w:ilvl w:val="0"/>
          <w:numId w:val="2"/>
        </w:numPr>
        <w:spacing w:line="360" w:lineRule="auto"/>
        <w:jc w:val="both"/>
        <w:rPr>
          <w:rFonts w:eastAsia="Times New Roman"/>
          <w:color w:val="000000" w:themeColor="text1"/>
          <w:sz w:val="24"/>
          <w:szCs w:val="24"/>
        </w:rPr>
      </w:pPr>
      <w:r w:rsidRPr="00406393">
        <w:rPr>
          <w:rFonts w:eastAsia="Times New Roman"/>
          <w:b/>
          <w:bCs/>
          <w:color w:val="000000" w:themeColor="text1"/>
          <w:sz w:val="24"/>
          <w:szCs w:val="24"/>
        </w:rPr>
        <w:t xml:space="preserve">A SEGREGAÇÃO SOCIOESPACIAL NO ESPAÇO DA ORLA DE ICOARACI: </w:t>
      </w:r>
      <w:r w:rsidRPr="00406393">
        <w:rPr>
          <w:rFonts w:eastAsia="Times New Roman"/>
          <w:color w:val="000000" w:themeColor="text1"/>
          <w:sz w:val="24"/>
          <w:szCs w:val="24"/>
        </w:rPr>
        <w:t xml:space="preserve">reflexões acerca da segurança pública. </w:t>
      </w:r>
    </w:p>
    <w:p w14:paraId="6781319D" w14:textId="77777777" w:rsidR="00030AE2" w:rsidRPr="00024510" w:rsidRDefault="00030AE2" w:rsidP="00030AE2">
      <w:pPr>
        <w:spacing w:line="360" w:lineRule="auto"/>
        <w:ind w:left="-5" w:firstLine="5"/>
        <w:jc w:val="both"/>
        <w:rPr>
          <w:rFonts w:eastAsia="Times New Roman"/>
          <w:color w:val="000000" w:themeColor="text1"/>
          <w:sz w:val="24"/>
          <w:szCs w:val="24"/>
        </w:rPr>
      </w:pPr>
    </w:p>
    <w:p w14:paraId="62593644" w14:textId="5541A3C1" w:rsidR="00030AE2" w:rsidRPr="00024510" w:rsidRDefault="00030AE2" w:rsidP="00030AE2">
      <w:pPr>
        <w:spacing w:line="360" w:lineRule="auto"/>
        <w:ind w:left="-5" w:firstLine="713"/>
        <w:jc w:val="both"/>
        <w:rPr>
          <w:rFonts w:eastAsia="Times New Roman"/>
          <w:color w:val="000000" w:themeColor="text1"/>
          <w:sz w:val="24"/>
          <w:szCs w:val="24"/>
        </w:rPr>
      </w:pPr>
      <w:r w:rsidRPr="00024510">
        <w:rPr>
          <w:rFonts w:eastAsia="Times New Roman"/>
          <w:color w:val="000000" w:themeColor="text1"/>
          <w:sz w:val="24"/>
          <w:szCs w:val="24"/>
        </w:rPr>
        <w:t>No meu diário de campo</w:t>
      </w:r>
      <w:r w:rsidR="00845C33">
        <w:rPr>
          <w:rFonts w:eastAsia="Times New Roman"/>
          <w:color w:val="000000" w:themeColor="text1"/>
          <w:sz w:val="24"/>
          <w:szCs w:val="24"/>
        </w:rPr>
        <w:t xml:space="preserve"> </w:t>
      </w:r>
      <w:r w:rsidRPr="00024510">
        <w:rPr>
          <w:rFonts w:eastAsia="Times New Roman"/>
          <w:color w:val="000000" w:themeColor="text1"/>
          <w:sz w:val="24"/>
          <w:szCs w:val="24"/>
        </w:rPr>
        <w:t xml:space="preserve">trago </w:t>
      </w:r>
      <w:r w:rsidR="00845C33">
        <w:rPr>
          <w:rFonts w:eastAsia="Times New Roman"/>
          <w:color w:val="000000" w:themeColor="text1"/>
          <w:sz w:val="24"/>
          <w:szCs w:val="24"/>
        </w:rPr>
        <w:t>ainda os processos de</w:t>
      </w:r>
      <w:r w:rsidRPr="00024510">
        <w:rPr>
          <w:rFonts w:eastAsia="Times New Roman"/>
          <w:color w:val="000000" w:themeColor="text1"/>
          <w:sz w:val="24"/>
          <w:szCs w:val="24"/>
        </w:rPr>
        <w:t xml:space="preserve"> remoção das pessoas em situação de rua feita pelos policiais, o que mostra que essa segurança que a polícia traz não é para os moradores de Icoaraci, mas sim para os turistas.</w:t>
      </w:r>
    </w:p>
    <w:p w14:paraId="1383AD91" w14:textId="77777777" w:rsidR="00030AE2" w:rsidRPr="00024510" w:rsidRDefault="00030AE2" w:rsidP="00030AE2">
      <w:pPr>
        <w:spacing w:line="360" w:lineRule="auto"/>
        <w:ind w:left="-5" w:firstLine="713"/>
        <w:jc w:val="both"/>
        <w:rPr>
          <w:rFonts w:ascii="Times New Roman" w:eastAsia="Times New Roman" w:hAnsi="Times New Roman" w:cs="Times New Roman"/>
          <w:color w:val="000000" w:themeColor="text1"/>
          <w:sz w:val="24"/>
          <w:szCs w:val="24"/>
        </w:rPr>
      </w:pPr>
    </w:p>
    <w:p w14:paraId="3DA64581" w14:textId="77777777" w:rsidR="00030AE2" w:rsidRPr="00024510" w:rsidRDefault="00030AE2" w:rsidP="00CE351B">
      <w:pPr>
        <w:spacing w:line="240" w:lineRule="auto"/>
        <w:ind w:left="2835"/>
        <w:jc w:val="both"/>
        <w:rPr>
          <w:rFonts w:ascii="Times New Roman" w:eastAsia="Times New Roman" w:hAnsi="Times New Roman" w:cs="Times New Roman"/>
          <w:color w:val="000000" w:themeColor="text1"/>
          <w:sz w:val="24"/>
          <w:szCs w:val="24"/>
        </w:rPr>
      </w:pPr>
      <w:r w:rsidRPr="00024510">
        <w:rPr>
          <w:rFonts w:eastAsia="Times New Roman"/>
          <w:b/>
          <w:bCs/>
          <w:color w:val="000000" w:themeColor="text1"/>
          <w:sz w:val="20"/>
          <w:szCs w:val="20"/>
        </w:rPr>
        <w:t xml:space="preserve">Antonio Matheus Sardinha Santos e Sandra Suely Moreira </w:t>
      </w:r>
      <w:proofErr w:type="spellStart"/>
      <w:r w:rsidRPr="00024510">
        <w:rPr>
          <w:rFonts w:eastAsia="Times New Roman"/>
          <w:b/>
          <w:bCs/>
          <w:color w:val="000000" w:themeColor="text1"/>
          <w:sz w:val="20"/>
          <w:szCs w:val="20"/>
        </w:rPr>
        <w:t>Lurine</w:t>
      </w:r>
      <w:proofErr w:type="spellEnd"/>
      <w:r w:rsidRPr="00024510">
        <w:rPr>
          <w:rFonts w:eastAsia="Times New Roman"/>
          <w:b/>
          <w:bCs/>
          <w:color w:val="000000" w:themeColor="text1"/>
          <w:sz w:val="20"/>
          <w:szCs w:val="20"/>
        </w:rPr>
        <w:t xml:space="preserve"> Guimarães </w:t>
      </w:r>
      <w:r w:rsidRPr="00024510">
        <w:rPr>
          <w:rFonts w:eastAsia="Times New Roman"/>
          <w:color w:val="000000" w:themeColor="text1"/>
          <w:sz w:val="20"/>
          <w:szCs w:val="20"/>
        </w:rPr>
        <w:t xml:space="preserve">(2020, o 132): Considerar a vida a ser eliminada como parte integrante do sistema </w:t>
      </w:r>
      <w:proofErr w:type="spellStart"/>
      <w:r w:rsidRPr="00024510">
        <w:rPr>
          <w:rFonts w:eastAsia="Times New Roman"/>
          <w:color w:val="000000" w:themeColor="text1"/>
          <w:sz w:val="20"/>
          <w:szCs w:val="20"/>
        </w:rPr>
        <w:t>Biopolitico</w:t>
      </w:r>
      <w:proofErr w:type="spellEnd"/>
      <w:r w:rsidRPr="00024510">
        <w:rPr>
          <w:rFonts w:eastAsia="Times New Roman"/>
          <w:color w:val="000000" w:themeColor="text1"/>
          <w:sz w:val="20"/>
          <w:szCs w:val="20"/>
        </w:rPr>
        <w:t xml:space="preserve"> é a peça principal da governabilidade do soberano. O domínio sobre a vida é o pilar de uma exceção estatal, dentro dela se diminui a relevância política da vida para </w:t>
      </w:r>
      <w:r w:rsidR="0040612A" w:rsidRPr="00024510">
        <w:rPr>
          <w:rFonts w:eastAsia="Times New Roman"/>
          <w:color w:val="000000" w:themeColor="text1"/>
          <w:sz w:val="20"/>
          <w:szCs w:val="20"/>
        </w:rPr>
        <w:t>que se</w:t>
      </w:r>
      <w:r w:rsidRPr="00024510">
        <w:rPr>
          <w:rFonts w:eastAsia="Times New Roman"/>
          <w:color w:val="000000" w:themeColor="text1"/>
          <w:sz w:val="20"/>
          <w:szCs w:val="20"/>
        </w:rPr>
        <w:t xml:space="preserve"> torne “vida </w:t>
      </w:r>
      <w:proofErr w:type="spellStart"/>
      <w:r w:rsidRPr="00024510">
        <w:rPr>
          <w:rFonts w:eastAsia="Times New Roman"/>
          <w:color w:val="000000" w:themeColor="text1"/>
          <w:sz w:val="20"/>
          <w:szCs w:val="20"/>
        </w:rPr>
        <w:t>sacrificáveľ</w:t>
      </w:r>
      <w:proofErr w:type="spellEnd"/>
      <w:r w:rsidRPr="00024510">
        <w:rPr>
          <w:rFonts w:eastAsia="Times New Roman"/>
          <w:color w:val="000000" w:themeColor="text1"/>
          <w:sz w:val="20"/>
          <w:szCs w:val="20"/>
        </w:rPr>
        <w:t>” e seja impunemente dizimada. E o Estado (soberano) fazendo viver e deixando morrer. E isto torna-se possível por conta da grande inserção da vida do homem na política que permeia os Estados atualmente, a biopolítica.</w:t>
      </w:r>
    </w:p>
    <w:p w14:paraId="2EC537B0" w14:textId="77777777" w:rsidR="00030AE2" w:rsidRPr="00024510" w:rsidRDefault="00030AE2" w:rsidP="00030AE2">
      <w:pPr>
        <w:spacing w:line="360" w:lineRule="auto"/>
        <w:ind w:left="-5" w:firstLine="713"/>
        <w:jc w:val="both"/>
        <w:rPr>
          <w:rFonts w:eastAsia="Times New Roman"/>
          <w:color w:val="000000" w:themeColor="text1"/>
          <w:sz w:val="24"/>
          <w:szCs w:val="24"/>
        </w:rPr>
      </w:pPr>
    </w:p>
    <w:p w14:paraId="13C43B7E" w14:textId="77777777" w:rsidR="00845C33" w:rsidRDefault="00845C33" w:rsidP="00030AE2">
      <w:pPr>
        <w:spacing w:line="360" w:lineRule="auto"/>
        <w:ind w:left="-5" w:firstLine="713"/>
        <w:jc w:val="both"/>
        <w:rPr>
          <w:rFonts w:eastAsia="Times New Roman"/>
          <w:color w:val="000000" w:themeColor="text1"/>
          <w:sz w:val="24"/>
          <w:szCs w:val="24"/>
        </w:rPr>
      </w:pPr>
      <w:r w:rsidRPr="00845C33">
        <w:rPr>
          <w:rFonts w:eastAsia="Times New Roman"/>
          <w:color w:val="000000" w:themeColor="text1"/>
          <w:sz w:val="24"/>
          <w:szCs w:val="24"/>
        </w:rPr>
        <w:t xml:space="preserve">Dessa maneira, observa-se que a presença policial se intensifica apenas durante o período noturno, quando os restaurantes apresentam maior fluxo de frequentadores. Tal dinâmica insere-se no que Michel Foucault conceitua como biopolítica, isto é, o controle dos corpos e das populações por meio das ações do Estado. No contexto da orla, a atuação do Estado é materializada pela presença policial, que, nesse espaço específico, não se volta à proteção da população em geral, mas à regulação do acesso, operando como agente seletivo quanto à permanência dos sujeitos no local. </w:t>
      </w:r>
    </w:p>
    <w:p w14:paraId="229932E7" w14:textId="52756FED" w:rsidR="00030AE2" w:rsidRDefault="00845C33" w:rsidP="00030AE2">
      <w:pPr>
        <w:spacing w:line="360" w:lineRule="auto"/>
        <w:ind w:left="-5" w:firstLine="713"/>
        <w:jc w:val="both"/>
        <w:rPr>
          <w:rFonts w:eastAsia="Times New Roman"/>
          <w:color w:val="000000" w:themeColor="text1"/>
          <w:sz w:val="24"/>
          <w:szCs w:val="24"/>
        </w:rPr>
      </w:pPr>
      <w:r w:rsidRPr="00845C33">
        <w:rPr>
          <w:rFonts w:eastAsia="Times New Roman"/>
          <w:color w:val="000000" w:themeColor="text1"/>
          <w:sz w:val="24"/>
          <w:szCs w:val="24"/>
        </w:rPr>
        <w:t>A retirada de pessoas em situação de rua não decorre de uma preocupação com sua segurança ou bem-estar, mas visa à manutenção de um ambiente considerado “adequado” ao consumo e ao perfil da elite que frequenta os estabelecimentos comerciais da região</w:t>
      </w:r>
      <w:r>
        <w:rPr>
          <w:rFonts w:eastAsia="Times New Roman"/>
          <w:color w:val="000000" w:themeColor="text1"/>
          <w:sz w:val="24"/>
          <w:szCs w:val="24"/>
        </w:rPr>
        <w:t xml:space="preserve">, o que corrobora com o que nos refere Santana (2018, p. 222): </w:t>
      </w:r>
    </w:p>
    <w:p w14:paraId="34D004D2" w14:textId="77777777" w:rsidR="00845C33" w:rsidRPr="00024510" w:rsidRDefault="00845C33" w:rsidP="00030AE2">
      <w:pPr>
        <w:spacing w:line="360" w:lineRule="auto"/>
        <w:ind w:left="-5" w:firstLine="713"/>
        <w:jc w:val="both"/>
        <w:rPr>
          <w:rFonts w:ascii="Times New Roman" w:eastAsia="Times New Roman" w:hAnsi="Times New Roman" w:cs="Times New Roman"/>
          <w:color w:val="000000" w:themeColor="text1"/>
          <w:sz w:val="24"/>
          <w:szCs w:val="24"/>
        </w:rPr>
      </w:pPr>
    </w:p>
    <w:p w14:paraId="6A42946B" w14:textId="58465F87" w:rsidR="00030AE2" w:rsidRPr="00024510" w:rsidRDefault="00030AE2" w:rsidP="00CE351B">
      <w:pPr>
        <w:spacing w:line="240" w:lineRule="auto"/>
        <w:ind w:left="2835"/>
        <w:jc w:val="both"/>
        <w:rPr>
          <w:rFonts w:ascii="Times New Roman" w:eastAsia="Times New Roman" w:hAnsi="Times New Roman" w:cs="Times New Roman"/>
          <w:color w:val="000000" w:themeColor="text1"/>
          <w:sz w:val="24"/>
          <w:szCs w:val="24"/>
        </w:rPr>
      </w:pPr>
      <w:r w:rsidRPr="00024510">
        <w:rPr>
          <w:rFonts w:eastAsia="Times New Roman"/>
          <w:color w:val="000000" w:themeColor="text1"/>
          <w:sz w:val="20"/>
          <w:szCs w:val="20"/>
        </w:rPr>
        <w:t xml:space="preserve">Assim, há uma tendência mundial de intensificação do uso do espaço para fins do lucro capitalista, com a premissa do embelezamento de cidades, seja pela via dos megaeventos ou pela criação de grandes projetos de infraestrutura </w:t>
      </w:r>
      <w:r w:rsidR="0040612A" w:rsidRPr="00024510">
        <w:rPr>
          <w:rFonts w:eastAsia="Times New Roman"/>
          <w:color w:val="000000" w:themeColor="text1"/>
          <w:sz w:val="20"/>
          <w:szCs w:val="20"/>
        </w:rPr>
        <w:t>física</w:t>
      </w:r>
      <w:r w:rsidRPr="00024510">
        <w:rPr>
          <w:rFonts w:eastAsia="Times New Roman"/>
          <w:color w:val="000000" w:themeColor="text1"/>
          <w:sz w:val="20"/>
          <w:szCs w:val="20"/>
        </w:rPr>
        <w:t>, como exemplo, tem-se a reutilização das docas em Dublin/Irlanda, Puerto Madero/Argentina, Estação das Docas de Belém, Porto Maravilha /Rio de Janeiro etc</w:t>
      </w:r>
      <w:r w:rsidR="00845C33">
        <w:rPr>
          <w:rFonts w:eastAsia="Times New Roman"/>
          <w:color w:val="000000" w:themeColor="text1"/>
          <w:sz w:val="20"/>
          <w:szCs w:val="20"/>
        </w:rPr>
        <w:t>.</w:t>
      </w:r>
    </w:p>
    <w:p w14:paraId="1744B82C" w14:textId="77777777" w:rsidR="00030AE2" w:rsidRPr="00024510" w:rsidRDefault="00030AE2" w:rsidP="00030AE2">
      <w:pPr>
        <w:spacing w:line="360" w:lineRule="auto"/>
        <w:ind w:left="-5" w:firstLine="713"/>
        <w:jc w:val="both"/>
        <w:rPr>
          <w:rFonts w:eastAsia="Times New Roman"/>
          <w:color w:val="000000" w:themeColor="text1"/>
          <w:sz w:val="24"/>
          <w:szCs w:val="24"/>
        </w:rPr>
      </w:pPr>
    </w:p>
    <w:p w14:paraId="2CD9FE01" w14:textId="65687260" w:rsidR="00845C33" w:rsidRPr="00845C33" w:rsidRDefault="00845C33" w:rsidP="00845C33">
      <w:pPr>
        <w:spacing w:line="360" w:lineRule="auto"/>
        <w:ind w:left="-5" w:firstLine="713"/>
        <w:jc w:val="both"/>
        <w:rPr>
          <w:rFonts w:eastAsia="Times New Roman"/>
          <w:color w:val="000000" w:themeColor="text1"/>
          <w:sz w:val="24"/>
          <w:szCs w:val="24"/>
        </w:rPr>
      </w:pPr>
      <w:r w:rsidRPr="00845C33">
        <w:rPr>
          <w:rFonts w:eastAsia="Times New Roman"/>
          <w:color w:val="000000" w:themeColor="text1"/>
          <w:sz w:val="24"/>
          <w:szCs w:val="24"/>
        </w:rPr>
        <w:t>Essa lógica articula-se com a constatação de que a orla de Icoaraci não foi concebida prioritariamente para seus moradores, mas sim para visitantes externos. Tal percepção decorre da observação da organização urbana do território. Embora oficialmente situada na chamada "primeira rua", essa localização assume sentidos distintos conforme o ponto de chegada. Para quem se desloca de Belém por via terrestre, a "primeira rua" corresponde, na prática, à última via de acesso. Já para aqueles que chegam de barco</w:t>
      </w:r>
      <w:r>
        <w:rPr>
          <w:rFonts w:eastAsia="Times New Roman"/>
          <w:color w:val="000000" w:themeColor="text1"/>
          <w:sz w:val="24"/>
          <w:szCs w:val="24"/>
        </w:rPr>
        <w:t xml:space="preserve">, </w:t>
      </w:r>
      <w:r w:rsidRPr="00845C33">
        <w:rPr>
          <w:rFonts w:eastAsia="Times New Roman"/>
          <w:color w:val="000000" w:themeColor="text1"/>
          <w:sz w:val="24"/>
          <w:szCs w:val="24"/>
        </w:rPr>
        <w:t>como turistas ou autoridades</w:t>
      </w:r>
      <w:r>
        <w:rPr>
          <w:rFonts w:eastAsia="Times New Roman"/>
          <w:color w:val="000000" w:themeColor="text1"/>
          <w:sz w:val="24"/>
          <w:szCs w:val="24"/>
        </w:rPr>
        <w:t>,</w:t>
      </w:r>
      <w:r w:rsidRPr="00845C33">
        <w:rPr>
          <w:rFonts w:eastAsia="Times New Roman"/>
          <w:color w:val="000000" w:themeColor="text1"/>
          <w:sz w:val="24"/>
          <w:szCs w:val="24"/>
        </w:rPr>
        <w:t xml:space="preserve"> a orla se apresenta, simbolicamente, como a via inicial da cidade. Essa simbologia evidencia um planejamento urbano orientado à recepção do visitante, em detrimento da vivência cotidiana dos moradores locais.</w:t>
      </w:r>
    </w:p>
    <w:p w14:paraId="5D39AC66" w14:textId="1C796FFF" w:rsidR="00CE351B" w:rsidRDefault="00845C33" w:rsidP="00CE351B">
      <w:pPr>
        <w:spacing w:line="360" w:lineRule="auto"/>
        <w:ind w:left="-5" w:firstLine="713"/>
        <w:jc w:val="both"/>
        <w:rPr>
          <w:rFonts w:eastAsia="Times New Roman"/>
          <w:color w:val="000000" w:themeColor="text1"/>
          <w:sz w:val="24"/>
          <w:szCs w:val="24"/>
        </w:rPr>
      </w:pPr>
      <w:r w:rsidRPr="00845C33">
        <w:rPr>
          <w:rFonts w:eastAsia="Times New Roman"/>
          <w:color w:val="000000" w:themeColor="text1"/>
          <w:sz w:val="24"/>
          <w:szCs w:val="24"/>
        </w:rPr>
        <w:t>Ademais, os elevados preços praticados pelos restaurantes da região contribuem para aprofundar processos de exclusão social. A ausência de moradores nesses espaços não decorre, necessariamente, de uma escolha individual, mas sim de um projeto urbano que opera a partir de mecanismos de segregação socioespacial. Dessa forma, parcela significativa da população local não se identifica com o público-alvo desses estabelecimentos e tampouco é acolhida nesses ambientes</w:t>
      </w:r>
      <w:r>
        <w:rPr>
          <w:rFonts w:eastAsia="Times New Roman"/>
          <w:color w:val="000000" w:themeColor="text1"/>
          <w:sz w:val="24"/>
          <w:szCs w:val="24"/>
        </w:rPr>
        <w:t>, ao encontro disso nos alerta Santana (2018, p. 223):</w:t>
      </w:r>
    </w:p>
    <w:p w14:paraId="62CA62D6" w14:textId="77777777" w:rsidR="00845C33" w:rsidRPr="00024510" w:rsidRDefault="00845C33" w:rsidP="00CE351B">
      <w:pPr>
        <w:spacing w:line="360" w:lineRule="auto"/>
        <w:ind w:left="-5" w:firstLine="713"/>
        <w:jc w:val="both"/>
        <w:rPr>
          <w:rFonts w:ascii="Times New Roman" w:eastAsia="Times New Roman" w:hAnsi="Times New Roman" w:cs="Times New Roman"/>
          <w:color w:val="000000" w:themeColor="text1"/>
          <w:sz w:val="24"/>
          <w:szCs w:val="24"/>
        </w:rPr>
      </w:pPr>
    </w:p>
    <w:p w14:paraId="0897A843" w14:textId="43434100" w:rsidR="00030AE2" w:rsidRPr="00024510" w:rsidRDefault="00030AE2" w:rsidP="00CE351B">
      <w:pPr>
        <w:spacing w:line="240" w:lineRule="auto"/>
        <w:ind w:left="2835"/>
        <w:jc w:val="both"/>
        <w:rPr>
          <w:rFonts w:ascii="Times New Roman" w:eastAsia="Times New Roman" w:hAnsi="Times New Roman" w:cs="Times New Roman"/>
          <w:color w:val="000000" w:themeColor="text1"/>
          <w:sz w:val="24"/>
          <w:szCs w:val="24"/>
        </w:rPr>
      </w:pPr>
      <w:r w:rsidRPr="00024510">
        <w:rPr>
          <w:rFonts w:eastAsia="Times New Roman"/>
          <w:color w:val="000000" w:themeColor="text1"/>
          <w:sz w:val="20"/>
          <w:szCs w:val="20"/>
        </w:rPr>
        <w:t>Com a intensificação da lógica mercadológica do uso do espaço urbano que inviabiliza radicalmente aquisição da moradia por parte da classe trabalhadora, em espaços equipados, expressando uma cidade altamente desigual no acesso aos serviços urbanos.</w:t>
      </w:r>
    </w:p>
    <w:p w14:paraId="3D1ED8B3" w14:textId="77777777" w:rsidR="00CE351B" w:rsidRPr="00024510" w:rsidRDefault="00CE351B" w:rsidP="00030AE2">
      <w:pPr>
        <w:spacing w:line="360" w:lineRule="auto"/>
        <w:ind w:left="-5"/>
        <w:jc w:val="both"/>
        <w:rPr>
          <w:rFonts w:eastAsia="Times New Roman"/>
          <w:color w:val="000000" w:themeColor="text1"/>
          <w:sz w:val="24"/>
          <w:szCs w:val="24"/>
        </w:rPr>
      </w:pPr>
    </w:p>
    <w:p w14:paraId="636C1401" w14:textId="77777777" w:rsidR="00030AE2" w:rsidRPr="00024510" w:rsidRDefault="00030AE2" w:rsidP="00CE351B">
      <w:pPr>
        <w:spacing w:line="360" w:lineRule="auto"/>
        <w:ind w:left="-5" w:firstLine="725"/>
        <w:jc w:val="both"/>
        <w:rPr>
          <w:rFonts w:ascii="Times New Roman" w:eastAsia="Times New Roman" w:hAnsi="Times New Roman" w:cs="Times New Roman"/>
          <w:color w:val="000000" w:themeColor="text1"/>
          <w:sz w:val="24"/>
          <w:szCs w:val="24"/>
        </w:rPr>
      </w:pPr>
      <w:r w:rsidRPr="00024510">
        <w:rPr>
          <w:rFonts w:eastAsia="Times New Roman"/>
          <w:color w:val="000000" w:themeColor="text1"/>
          <w:sz w:val="24"/>
          <w:szCs w:val="24"/>
        </w:rPr>
        <w:t>Isso que a Joana traz no seu artigo combina com o Frantz Fanon, em sua tese sobre as cidades coloniais, onde o espaço urbano não é neutro, mas estruturado para garantir privilégios a certos grupos enquanto exclui outros. A biopolítica opera como um mecanismo de reforço dessa lógica, decidindo quem tem direito de estar ali e quem deve ser invisibilizado. </w:t>
      </w:r>
    </w:p>
    <w:p w14:paraId="4448676B" w14:textId="77777777" w:rsidR="00030AE2" w:rsidRPr="00024510" w:rsidRDefault="00030AE2" w:rsidP="00030AE2">
      <w:pPr>
        <w:spacing w:line="360" w:lineRule="auto"/>
        <w:ind w:left="-5"/>
        <w:jc w:val="both"/>
        <w:rPr>
          <w:rFonts w:eastAsia="Times New Roman"/>
          <w:b/>
          <w:bCs/>
          <w:color w:val="000000" w:themeColor="text1"/>
          <w:sz w:val="24"/>
          <w:szCs w:val="24"/>
        </w:rPr>
      </w:pPr>
    </w:p>
    <w:p w14:paraId="28B453C8" w14:textId="77777777" w:rsidR="00030AE2" w:rsidRPr="00406393" w:rsidRDefault="00A53C18" w:rsidP="00406393">
      <w:pPr>
        <w:pStyle w:val="PargrafodaLista"/>
        <w:numPr>
          <w:ilvl w:val="0"/>
          <w:numId w:val="2"/>
        </w:numPr>
        <w:spacing w:line="360" w:lineRule="auto"/>
        <w:jc w:val="both"/>
        <w:rPr>
          <w:rFonts w:eastAsia="Times New Roman"/>
          <w:b/>
          <w:bCs/>
          <w:color w:val="000000" w:themeColor="text1"/>
          <w:sz w:val="24"/>
          <w:szCs w:val="24"/>
        </w:rPr>
      </w:pPr>
      <w:r w:rsidRPr="00406393">
        <w:rPr>
          <w:rFonts w:eastAsia="Times New Roman"/>
          <w:b/>
          <w:bCs/>
          <w:color w:val="000000" w:themeColor="text1"/>
          <w:sz w:val="24"/>
          <w:szCs w:val="24"/>
        </w:rPr>
        <w:t>CONCLUSÃO</w:t>
      </w:r>
    </w:p>
    <w:p w14:paraId="08431DA5" w14:textId="77777777" w:rsidR="00845C33" w:rsidRPr="00024510" w:rsidRDefault="00845C33" w:rsidP="00845C33">
      <w:pPr>
        <w:spacing w:line="360" w:lineRule="auto"/>
        <w:jc w:val="both"/>
        <w:rPr>
          <w:rFonts w:ascii="Times New Roman" w:eastAsia="Times New Roman" w:hAnsi="Times New Roman" w:cs="Times New Roman"/>
          <w:color w:val="000000" w:themeColor="text1"/>
          <w:sz w:val="24"/>
          <w:szCs w:val="24"/>
        </w:rPr>
      </w:pPr>
    </w:p>
    <w:p w14:paraId="187CFE33" w14:textId="77777777" w:rsidR="00845C33" w:rsidRDefault="00845C33" w:rsidP="00845C33">
      <w:pPr>
        <w:spacing w:line="360" w:lineRule="auto"/>
        <w:ind w:firstLine="720"/>
        <w:jc w:val="both"/>
        <w:rPr>
          <w:rFonts w:eastAsia="Times New Roman"/>
          <w:color w:val="000000" w:themeColor="text1"/>
          <w:sz w:val="24"/>
          <w:szCs w:val="24"/>
        </w:rPr>
      </w:pPr>
      <w:r>
        <w:rPr>
          <w:rFonts w:eastAsia="Times New Roman"/>
          <w:color w:val="000000" w:themeColor="text1"/>
          <w:sz w:val="24"/>
          <w:szCs w:val="24"/>
        </w:rPr>
        <w:t>A construção do</w:t>
      </w:r>
      <w:r w:rsidRPr="00845C33">
        <w:rPr>
          <w:rFonts w:eastAsia="Times New Roman"/>
          <w:color w:val="000000" w:themeColor="text1"/>
          <w:sz w:val="24"/>
          <w:szCs w:val="24"/>
        </w:rPr>
        <w:t xml:space="preserve"> diário de campo </w:t>
      </w:r>
      <w:r>
        <w:rPr>
          <w:rFonts w:eastAsia="Times New Roman"/>
          <w:color w:val="000000" w:themeColor="text1"/>
          <w:sz w:val="24"/>
          <w:szCs w:val="24"/>
        </w:rPr>
        <w:t>“</w:t>
      </w:r>
      <w:r w:rsidRPr="00845C33">
        <w:rPr>
          <w:rFonts w:eastAsia="Times New Roman"/>
          <w:i/>
          <w:iCs/>
          <w:color w:val="000000" w:themeColor="text1"/>
          <w:sz w:val="24"/>
          <w:szCs w:val="24"/>
        </w:rPr>
        <w:t>A Segregação Socioespacial na Orla de Icoaraci: reflexões acerca das dinâmicas de consumo, circulação e segurança pública</w:t>
      </w:r>
      <w:r>
        <w:rPr>
          <w:rFonts w:eastAsia="Times New Roman"/>
          <w:i/>
          <w:iCs/>
          <w:color w:val="000000" w:themeColor="text1"/>
          <w:sz w:val="24"/>
          <w:szCs w:val="24"/>
        </w:rPr>
        <w:t>”</w:t>
      </w:r>
      <w:r w:rsidRPr="00845C33">
        <w:rPr>
          <w:rFonts w:eastAsia="Times New Roman"/>
          <w:color w:val="000000" w:themeColor="text1"/>
          <w:sz w:val="24"/>
          <w:szCs w:val="24"/>
        </w:rPr>
        <w:t xml:space="preserve"> revela importantes aspectos da configuração socioespacial da orla de Icoaraci, a qual, embora formalmente caracterizada como espaço público, demonstra um elevado grau de exclusividade, restringindo-se, na prática, ao usufruto de uma parcela específica da população</w:t>
      </w:r>
      <w:r>
        <w:rPr>
          <w:rFonts w:eastAsia="Times New Roman"/>
          <w:color w:val="000000" w:themeColor="text1"/>
          <w:sz w:val="24"/>
          <w:szCs w:val="24"/>
        </w:rPr>
        <w:t xml:space="preserve"> de Belém do Pará.</w:t>
      </w:r>
    </w:p>
    <w:p w14:paraId="3A6415C0" w14:textId="66B71EF0" w:rsidR="00845C33" w:rsidRPr="00845C33" w:rsidRDefault="00845C33" w:rsidP="00845C33">
      <w:pPr>
        <w:spacing w:line="360" w:lineRule="auto"/>
        <w:ind w:firstLine="720"/>
        <w:jc w:val="both"/>
        <w:rPr>
          <w:rFonts w:eastAsia="Times New Roman"/>
          <w:color w:val="000000" w:themeColor="text1"/>
          <w:sz w:val="24"/>
          <w:szCs w:val="24"/>
        </w:rPr>
      </w:pPr>
      <w:r w:rsidRPr="00845C33">
        <w:rPr>
          <w:rFonts w:eastAsia="Times New Roman"/>
          <w:color w:val="000000" w:themeColor="text1"/>
          <w:sz w:val="24"/>
          <w:szCs w:val="24"/>
        </w:rPr>
        <w:t>A análise evidencia que a dinâmica de inclusão e exclusão nesse território não se limita aos fatores econômicos, mas abrange, de maneira expressiva, aspectos raciais e de gênero. O planejamento urbano da região reforça esse processo de marginalização, uma vez que privilegia o perfil do visitante</w:t>
      </w:r>
      <w:r>
        <w:rPr>
          <w:rFonts w:eastAsia="Times New Roman"/>
          <w:color w:val="000000" w:themeColor="text1"/>
          <w:sz w:val="24"/>
          <w:szCs w:val="24"/>
        </w:rPr>
        <w:t>,</w:t>
      </w:r>
      <w:r w:rsidRPr="00845C33">
        <w:rPr>
          <w:rFonts w:eastAsia="Times New Roman"/>
          <w:color w:val="000000" w:themeColor="text1"/>
          <w:sz w:val="24"/>
          <w:szCs w:val="24"/>
        </w:rPr>
        <w:t xml:space="preserve"> </w:t>
      </w:r>
      <w:r>
        <w:rPr>
          <w:rFonts w:eastAsia="Times New Roman"/>
          <w:color w:val="000000" w:themeColor="text1"/>
          <w:sz w:val="24"/>
          <w:szCs w:val="24"/>
        </w:rPr>
        <w:t>sobretudo</w:t>
      </w:r>
      <w:r w:rsidRPr="00845C33">
        <w:rPr>
          <w:rFonts w:eastAsia="Times New Roman"/>
          <w:color w:val="000000" w:themeColor="text1"/>
          <w:sz w:val="24"/>
          <w:szCs w:val="24"/>
        </w:rPr>
        <w:t xml:space="preserve"> o turista</w:t>
      </w:r>
      <w:r>
        <w:rPr>
          <w:rFonts w:eastAsia="Times New Roman"/>
          <w:color w:val="000000" w:themeColor="text1"/>
          <w:sz w:val="24"/>
          <w:szCs w:val="24"/>
        </w:rPr>
        <w:t xml:space="preserve">, </w:t>
      </w:r>
      <w:r w:rsidRPr="00845C33">
        <w:rPr>
          <w:rFonts w:eastAsia="Times New Roman"/>
          <w:color w:val="000000" w:themeColor="text1"/>
          <w:sz w:val="24"/>
          <w:szCs w:val="24"/>
        </w:rPr>
        <w:t>em detrimento das necessidades e da presença cotidiana dos moradores locais</w:t>
      </w:r>
      <w:r>
        <w:rPr>
          <w:rFonts w:eastAsia="Times New Roman"/>
          <w:color w:val="000000" w:themeColor="text1"/>
          <w:sz w:val="24"/>
          <w:szCs w:val="24"/>
        </w:rPr>
        <w:t>, os quais não tem acesso a dinâmica de mercado estabelecida na Orla</w:t>
      </w:r>
      <w:r w:rsidRPr="00845C33">
        <w:rPr>
          <w:rFonts w:eastAsia="Times New Roman"/>
          <w:color w:val="000000" w:themeColor="text1"/>
          <w:sz w:val="24"/>
          <w:szCs w:val="24"/>
        </w:rPr>
        <w:t>.</w:t>
      </w:r>
    </w:p>
    <w:p w14:paraId="4E58AA32" w14:textId="77777777" w:rsidR="00333CA3" w:rsidRDefault="00845C33" w:rsidP="00845C33">
      <w:pPr>
        <w:spacing w:line="360" w:lineRule="auto"/>
        <w:ind w:firstLine="720"/>
        <w:jc w:val="both"/>
        <w:rPr>
          <w:rFonts w:eastAsia="Times New Roman"/>
          <w:color w:val="000000" w:themeColor="text1"/>
          <w:sz w:val="24"/>
          <w:szCs w:val="24"/>
        </w:rPr>
      </w:pPr>
      <w:r>
        <w:rPr>
          <w:rFonts w:eastAsia="Times New Roman"/>
          <w:color w:val="000000" w:themeColor="text1"/>
          <w:sz w:val="24"/>
          <w:szCs w:val="24"/>
        </w:rPr>
        <w:t>Essa</w:t>
      </w:r>
      <w:r w:rsidRPr="00845C33">
        <w:rPr>
          <w:rFonts w:eastAsia="Times New Roman"/>
          <w:color w:val="000000" w:themeColor="text1"/>
          <w:sz w:val="24"/>
          <w:szCs w:val="24"/>
        </w:rPr>
        <w:t xml:space="preserve"> realidade manifesta-se tanto nas diferenças estruturais entre o </w:t>
      </w:r>
      <w:r>
        <w:rPr>
          <w:rFonts w:eastAsia="Times New Roman"/>
          <w:color w:val="000000" w:themeColor="text1"/>
          <w:sz w:val="24"/>
          <w:szCs w:val="24"/>
        </w:rPr>
        <w:t>P</w:t>
      </w:r>
      <w:r w:rsidRPr="00845C33">
        <w:rPr>
          <w:rFonts w:eastAsia="Times New Roman"/>
          <w:color w:val="000000" w:themeColor="text1"/>
          <w:sz w:val="24"/>
          <w:szCs w:val="24"/>
        </w:rPr>
        <w:t xml:space="preserve">orto e o </w:t>
      </w:r>
      <w:r>
        <w:rPr>
          <w:rFonts w:eastAsia="Times New Roman"/>
          <w:color w:val="000000" w:themeColor="text1"/>
          <w:sz w:val="24"/>
          <w:szCs w:val="24"/>
        </w:rPr>
        <w:t>T</w:t>
      </w:r>
      <w:r w:rsidRPr="00845C33">
        <w:rPr>
          <w:rFonts w:eastAsia="Times New Roman"/>
          <w:color w:val="000000" w:themeColor="text1"/>
          <w:sz w:val="24"/>
          <w:szCs w:val="24"/>
        </w:rPr>
        <w:t>rapiche quanto na atuação seletiva das forças de segurança pública, cuja presença não se destina à garantia do direito coletivo à segurança, mas ao controle e à regulação dos corpos considerados indesejáveis ao projeto estético e econômico do local</w:t>
      </w:r>
      <w:r w:rsidR="00333CA3">
        <w:rPr>
          <w:rFonts w:eastAsia="Times New Roman"/>
          <w:color w:val="000000" w:themeColor="text1"/>
          <w:sz w:val="24"/>
          <w:szCs w:val="24"/>
        </w:rPr>
        <w:t>, em uma perspectiva de segurança ao equipamento privado em detrimento da segurança das pessoas</w:t>
      </w:r>
      <w:r w:rsidRPr="00845C33">
        <w:rPr>
          <w:rFonts w:eastAsia="Times New Roman"/>
          <w:color w:val="000000" w:themeColor="text1"/>
          <w:sz w:val="24"/>
          <w:szCs w:val="24"/>
        </w:rPr>
        <w:t xml:space="preserve">. </w:t>
      </w:r>
    </w:p>
    <w:p w14:paraId="0A11ED2E" w14:textId="77777777" w:rsidR="00333CA3" w:rsidRDefault="00845C33" w:rsidP="00333CA3">
      <w:pPr>
        <w:spacing w:line="360" w:lineRule="auto"/>
        <w:ind w:firstLine="720"/>
        <w:jc w:val="both"/>
        <w:rPr>
          <w:rFonts w:eastAsia="Times New Roman"/>
          <w:color w:val="000000" w:themeColor="text1"/>
          <w:sz w:val="24"/>
          <w:szCs w:val="24"/>
        </w:rPr>
      </w:pPr>
      <w:r w:rsidRPr="00845C33">
        <w:rPr>
          <w:rFonts w:eastAsia="Times New Roman"/>
          <w:color w:val="000000" w:themeColor="text1"/>
          <w:sz w:val="24"/>
          <w:szCs w:val="24"/>
        </w:rPr>
        <w:t xml:space="preserve">A orla, portanto, deixa de ser um espaço democrático de lazer e expressão cultural para se converter em instrumento de aprofundamento das desigualdades sociais, operando como território de reprodução de um modelo de cidade </w:t>
      </w:r>
      <w:r w:rsidR="00333CA3">
        <w:rPr>
          <w:rFonts w:eastAsia="Times New Roman"/>
          <w:color w:val="000000" w:themeColor="text1"/>
          <w:sz w:val="24"/>
          <w:szCs w:val="24"/>
        </w:rPr>
        <w:t>capitalista/</w:t>
      </w:r>
      <w:r w:rsidRPr="00845C33">
        <w:rPr>
          <w:rFonts w:eastAsia="Times New Roman"/>
          <w:color w:val="000000" w:themeColor="text1"/>
          <w:sz w:val="24"/>
          <w:szCs w:val="24"/>
        </w:rPr>
        <w:t>excludente.</w:t>
      </w:r>
      <w:r w:rsidR="00333CA3">
        <w:rPr>
          <w:rFonts w:eastAsia="Times New Roman"/>
          <w:color w:val="000000" w:themeColor="text1"/>
          <w:sz w:val="24"/>
          <w:szCs w:val="24"/>
        </w:rPr>
        <w:t xml:space="preserve"> </w:t>
      </w:r>
      <w:r w:rsidRPr="00845C33">
        <w:rPr>
          <w:rFonts w:eastAsia="Times New Roman"/>
          <w:color w:val="000000" w:themeColor="text1"/>
          <w:sz w:val="24"/>
          <w:szCs w:val="24"/>
        </w:rPr>
        <w:t xml:space="preserve">A partir da observação da atuação </w:t>
      </w:r>
      <w:r w:rsidR="00333CA3">
        <w:rPr>
          <w:rFonts w:eastAsia="Times New Roman"/>
          <w:color w:val="000000" w:themeColor="text1"/>
          <w:sz w:val="24"/>
          <w:szCs w:val="24"/>
        </w:rPr>
        <w:t>do Estado</w:t>
      </w:r>
      <w:r w:rsidRPr="00845C33">
        <w:rPr>
          <w:rFonts w:eastAsia="Times New Roman"/>
          <w:color w:val="000000" w:themeColor="text1"/>
          <w:sz w:val="24"/>
          <w:szCs w:val="24"/>
        </w:rPr>
        <w:t xml:space="preserve"> nesse contexto, constata-se um padrão de "limpeza social", em que políticas públicas e ações institucionais colaboram para a remoção simbólica e física das populações </w:t>
      </w:r>
      <w:r w:rsidR="00333CA3">
        <w:rPr>
          <w:rFonts w:eastAsia="Times New Roman"/>
          <w:color w:val="000000" w:themeColor="text1"/>
          <w:sz w:val="24"/>
          <w:szCs w:val="24"/>
        </w:rPr>
        <w:t>trabalhadoras, especialmente negros</w:t>
      </w:r>
      <w:r w:rsidRPr="00845C33">
        <w:rPr>
          <w:rFonts w:eastAsia="Times New Roman"/>
          <w:color w:val="000000" w:themeColor="text1"/>
          <w:sz w:val="24"/>
          <w:szCs w:val="24"/>
        </w:rPr>
        <w:t xml:space="preserve">. </w:t>
      </w:r>
    </w:p>
    <w:p w14:paraId="051F8D09" w14:textId="77777777" w:rsidR="00333CA3" w:rsidRDefault="00333CA3" w:rsidP="00333CA3">
      <w:pPr>
        <w:spacing w:line="360" w:lineRule="auto"/>
        <w:ind w:firstLine="720"/>
        <w:jc w:val="both"/>
        <w:rPr>
          <w:rFonts w:eastAsia="Times New Roman"/>
          <w:color w:val="000000" w:themeColor="text1"/>
          <w:sz w:val="24"/>
          <w:szCs w:val="24"/>
        </w:rPr>
      </w:pPr>
      <w:r>
        <w:rPr>
          <w:rFonts w:eastAsia="Times New Roman"/>
          <w:color w:val="000000" w:themeColor="text1"/>
          <w:sz w:val="24"/>
          <w:szCs w:val="24"/>
        </w:rPr>
        <w:t>Deste modo, a</w:t>
      </w:r>
      <w:r w:rsidR="00845C33" w:rsidRPr="00845C33">
        <w:rPr>
          <w:rFonts w:eastAsia="Times New Roman"/>
          <w:color w:val="000000" w:themeColor="text1"/>
          <w:sz w:val="24"/>
          <w:szCs w:val="24"/>
        </w:rPr>
        <w:t xml:space="preserve"> </w:t>
      </w:r>
      <w:r>
        <w:rPr>
          <w:rFonts w:eastAsia="Times New Roman"/>
          <w:color w:val="000000" w:themeColor="text1"/>
          <w:sz w:val="24"/>
          <w:szCs w:val="24"/>
        </w:rPr>
        <w:t>O</w:t>
      </w:r>
      <w:r w:rsidR="00845C33" w:rsidRPr="00845C33">
        <w:rPr>
          <w:rFonts w:eastAsia="Times New Roman"/>
          <w:color w:val="000000" w:themeColor="text1"/>
          <w:sz w:val="24"/>
          <w:szCs w:val="24"/>
        </w:rPr>
        <w:t>rla de Icoaraci não se configura como pertencente à sua população residente, mas como parte de um projeto urbano orientado pela lógica do capital, cujo principal objetivo é a valorização mercadológica do território em detrimento da</w:t>
      </w:r>
      <w:r>
        <w:rPr>
          <w:rFonts w:eastAsia="Times New Roman"/>
          <w:color w:val="000000" w:themeColor="text1"/>
          <w:sz w:val="24"/>
          <w:szCs w:val="24"/>
        </w:rPr>
        <w:t xml:space="preserve">s necessidades humanas. </w:t>
      </w:r>
      <w:r w:rsidR="00845C33" w:rsidRPr="00845C33">
        <w:rPr>
          <w:rFonts w:eastAsia="Times New Roman"/>
          <w:color w:val="000000" w:themeColor="text1"/>
          <w:sz w:val="24"/>
          <w:szCs w:val="24"/>
        </w:rPr>
        <w:t>Essa dinâmica evidencia a permanência d</w:t>
      </w:r>
      <w:r>
        <w:rPr>
          <w:rFonts w:eastAsia="Times New Roman"/>
          <w:color w:val="000000" w:themeColor="text1"/>
          <w:sz w:val="24"/>
          <w:szCs w:val="24"/>
        </w:rPr>
        <w:t>e uma lógica</w:t>
      </w:r>
      <w:r w:rsidR="00845C33" w:rsidRPr="00845C33">
        <w:rPr>
          <w:rFonts w:eastAsia="Times New Roman"/>
          <w:color w:val="000000" w:themeColor="text1"/>
          <w:sz w:val="24"/>
          <w:szCs w:val="24"/>
        </w:rPr>
        <w:t xml:space="preserve"> </w:t>
      </w:r>
      <w:r>
        <w:rPr>
          <w:rFonts w:eastAsia="Times New Roman"/>
          <w:color w:val="000000" w:themeColor="text1"/>
          <w:sz w:val="24"/>
          <w:szCs w:val="24"/>
        </w:rPr>
        <w:t>capital-</w:t>
      </w:r>
      <w:r w:rsidR="00845C33" w:rsidRPr="00845C33">
        <w:rPr>
          <w:rFonts w:eastAsia="Times New Roman"/>
          <w:color w:val="000000" w:themeColor="text1"/>
          <w:sz w:val="24"/>
          <w:szCs w:val="24"/>
        </w:rPr>
        <w:t>coloniali</w:t>
      </w:r>
      <w:r>
        <w:rPr>
          <w:rFonts w:eastAsia="Times New Roman"/>
          <w:color w:val="000000" w:themeColor="text1"/>
          <w:sz w:val="24"/>
          <w:szCs w:val="24"/>
        </w:rPr>
        <w:t>sta</w:t>
      </w:r>
      <w:r w:rsidR="00845C33" w:rsidRPr="00845C33">
        <w:rPr>
          <w:rFonts w:eastAsia="Times New Roman"/>
          <w:color w:val="000000" w:themeColor="text1"/>
          <w:sz w:val="24"/>
          <w:szCs w:val="24"/>
        </w:rPr>
        <w:t xml:space="preserve"> na configuração dos espaços urbanos no Brasil, revelando uma segregação planejada que favorece determinados </w:t>
      </w:r>
      <w:r>
        <w:rPr>
          <w:rFonts w:eastAsia="Times New Roman"/>
          <w:color w:val="000000" w:themeColor="text1"/>
          <w:sz w:val="24"/>
          <w:szCs w:val="24"/>
        </w:rPr>
        <w:t>grupos sociais</w:t>
      </w:r>
      <w:r w:rsidR="00845C33" w:rsidRPr="00845C33">
        <w:rPr>
          <w:rFonts w:eastAsia="Times New Roman"/>
          <w:color w:val="000000" w:themeColor="text1"/>
          <w:sz w:val="24"/>
          <w:szCs w:val="24"/>
        </w:rPr>
        <w:t xml:space="preserve">. </w:t>
      </w:r>
    </w:p>
    <w:p w14:paraId="6CF56A57" w14:textId="77777777" w:rsidR="00333CA3" w:rsidRDefault="00333CA3" w:rsidP="00333CA3">
      <w:pPr>
        <w:spacing w:line="360" w:lineRule="auto"/>
        <w:ind w:firstLine="720"/>
        <w:jc w:val="both"/>
        <w:rPr>
          <w:rFonts w:eastAsia="Times New Roman"/>
          <w:color w:val="000000" w:themeColor="text1"/>
          <w:sz w:val="24"/>
          <w:szCs w:val="24"/>
        </w:rPr>
      </w:pPr>
      <w:r w:rsidRPr="00333CA3">
        <w:rPr>
          <w:rFonts w:eastAsia="Times New Roman"/>
          <w:color w:val="000000" w:themeColor="text1"/>
          <w:sz w:val="24"/>
          <w:szCs w:val="24"/>
        </w:rPr>
        <w:t>Dessa forma, torna-se fundamental a construção de processos de resistência que promovam o resgate do espaço urbano como um território verdadeiramente democrático, coletivo e acessível, com a garantia de serviços públicos e gratuitos voltados à população trabalhadora em sua diversidade</w:t>
      </w:r>
      <w:r>
        <w:rPr>
          <w:rFonts w:eastAsia="Times New Roman"/>
          <w:color w:val="000000" w:themeColor="text1"/>
          <w:sz w:val="24"/>
          <w:szCs w:val="24"/>
        </w:rPr>
        <w:t xml:space="preserve">, </w:t>
      </w:r>
      <w:r w:rsidRPr="00333CA3">
        <w:rPr>
          <w:rFonts w:eastAsia="Times New Roman"/>
          <w:color w:val="000000" w:themeColor="text1"/>
          <w:sz w:val="24"/>
          <w:szCs w:val="24"/>
        </w:rPr>
        <w:t xml:space="preserve">incluindo mulheres, pessoas negras, populações tradicionais, pessoas com deficiência, entre outros grupos historicamente marginalizados. </w:t>
      </w:r>
    </w:p>
    <w:p w14:paraId="21701F2D" w14:textId="584512F7" w:rsidR="00741DB1" w:rsidRPr="00024510" w:rsidRDefault="00333CA3" w:rsidP="00333CA3">
      <w:pPr>
        <w:spacing w:line="360" w:lineRule="auto"/>
        <w:ind w:firstLine="720"/>
        <w:jc w:val="both"/>
        <w:rPr>
          <w:rFonts w:eastAsia="Times New Roman"/>
          <w:color w:val="000000" w:themeColor="text1"/>
          <w:sz w:val="24"/>
          <w:szCs w:val="24"/>
        </w:rPr>
      </w:pPr>
      <w:r w:rsidRPr="00333CA3">
        <w:rPr>
          <w:rFonts w:eastAsia="Times New Roman"/>
          <w:color w:val="000000" w:themeColor="text1"/>
          <w:sz w:val="24"/>
          <w:szCs w:val="24"/>
        </w:rPr>
        <w:t>No entanto, reconhece-se que tal processo só é possível por meio da articulação de uma luta coletiva ampla da classe trabalhadora, orientada à construção de uma nova forma de sociabilidade. Nessa perspectiva, é necessário que a lógica de mercado e a valorização do capital sejam superadas, dando lugar à centralidade das necessidades humanas como princípio estruturante das relações sociais.</w:t>
      </w:r>
    </w:p>
    <w:p w14:paraId="6568B9EB" w14:textId="77777777" w:rsidR="00741DB1" w:rsidRPr="00024510" w:rsidRDefault="00741DB1" w:rsidP="001D144E">
      <w:pPr>
        <w:spacing w:line="360" w:lineRule="auto"/>
        <w:jc w:val="both"/>
        <w:rPr>
          <w:rFonts w:eastAsia="Times New Roman"/>
          <w:color w:val="000000" w:themeColor="text1"/>
          <w:sz w:val="24"/>
          <w:szCs w:val="24"/>
        </w:rPr>
      </w:pPr>
    </w:p>
    <w:p w14:paraId="7DB14B87" w14:textId="77777777" w:rsidR="00030AE2" w:rsidRPr="00024510" w:rsidRDefault="00030AE2" w:rsidP="001D144E">
      <w:pPr>
        <w:spacing w:line="360" w:lineRule="auto"/>
        <w:jc w:val="both"/>
        <w:rPr>
          <w:rFonts w:eastAsia="Times New Roman"/>
          <w:color w:val="000000" w:themeColor="text1"/>
          <w:sz w:val="24"/>
          <w:szCs w:val="24"/>
        </w:rPr>
      </w:pPr>
      <w:r w:rsidRPr="00024510">
        <w:rPr>
          <w:rFonts w:eastAsia="Times New Roman"/>
          <w:color w:val="000000" w:themeColor="text1"/>
          <w:sz w:val="24"/>
          <w:szCs w:val="24"/>
        </w:rPr>
        <w:t> </w:t>
      </w:r>
    </w:p>
    <w:p w14:paraId="15AB6E1C" w14:textId="77777777" w:rsidR="00030AE2" w:rsidRPr="00024510" w:rsidRDefault="00030AE2" w:rsidP="00030AE2">
      <w:pPr>
        <w:spacing w:line="360" w:lineRule="auto"/>
        <w:rPr>
          <w:rFonts w:eastAsia="Times New Roman"/>
          <w:color w:val="000000" w:themeColor="text1"/>
          <w:sz w:val="24"/>
          <w:szCs w:val="24"/>
        </w:rPr>
      </w:pPr>
      <w:r w:rsidRPr="00024510">
        <w:rPr>
          <w:rFonts w:eastAsia="Times New Roman"/>
          <w:color w:val="000000" w:themeColor="text1"/>
          <w:sz w:val="24"/>
          <w:szCs w:val="24"/>
        </w:rPr>
        <w:t> </w:t>
      </w:r>
    </w:p>
    <w:p w14:paraId="6CABE995" w14:textId="5287FC45" w:rsidR="00030AE2" w:rsidRPr="00440958" w:rsidRDefault="00030AE2" w:rsidP="00440958">
      <w:pPr>
        <w:spacing w:line="360" w:lineRule="auto"/>
        <w:ind w:left="-5"/>
        <w:jc w:val="center"/>
        <w:rPr>
          <w:rFonts w:eastAsia="Times New Roman"/>
          <w:b/>
          <w:bCs/>
          <w:color w:val="000000" w:themeColor="text1"/>
          <w:sz w:val="24"/>
          <w:szCs w:val="24"/>
        </w:rPr>
      </w:pPr>
      <w:r w:rsidRPr="00440958">
        <w:rPr>
          <w:rFonts w:eastAsia="Times New Roman"/>
          <w:b/>
          <w:bCs/>
          <w:color w:val="000000" w:themeColor="text1"/>
          <w:sz w:val="24"/>
          <w:szCs w:val="24"/>
        </w:rPr>
        <w:t>Referências</w:t>
      </w:r>
    </w:p>
    <w:p w14:paraId="1A2CE8ED" w14:textId="49CB6C9F" w:rsidR="00030AE2" w:rsidRPr="00024510" w:rsidRDefault="00030AE2" w:rsidP="00440958">
      <w:pPr>
        <w:spacing w:line="360" w:lineRule="auto"/>
        <w:jc w:val="center"/>
        <w:rPr>
          <w:rFonts w:eastAsia="Times New Roman"/>
          <w:color w:val="000000" w:themeColor="text1"/>
          <w:sz w:val="24"/>
          <w:szCs w:val="24"/>
        </w:rPr>
      </w:pPr>
    </w:p>
    <w:p w14:paraId="47F07FDF" w14:textId="77777777" w:rsidR="00030AE2" w:rsidRPr="00024510" w:rsidRDefault="00030AE2" w:rsidP="00030AE2">
      <w:pPr>
        <w:spacing w:line="360" w:lineRule="auto"/>
        <w:ind w:left="-5"/>
        <w:jc w:val="both"/>
        <w:rPr>
          <w:rFonts w:eastAsia="Times New Roman"/>
          <w:color w:val="000000" w:themeColor="text1"/>
          <w:sz w:val="24"/>
          <w:szCs w:val="24"/>
        </w:rPr>
      </w:pPr>
      <w:r w:rsidRPr="00024510">
        <w:rPr>
          <w:rFonts w:eastAsia="Times New Roman"/>
          <w:color w:val="000000" w:themeColor="text1"/>
          <w:sz w:val="24"/>
          <w:szCs w:val="24"/>
        </w:rPr>
        <w:t xml:space="preserve">FANON, Frantz. </w:t>
      </w:r>
      <w:r w:rsidRPr="00024510">
        <w:rPr>
          <w:rFonts w:eastAsia="Times New Roman"/>
          <w:b/>
          <w:bCs/>
          <w:color w:val="000000" w:themeColor="text1"/>
          <w:sz w:val="24"/>
          <w:szCs w:val="24"/>
        </w:rPr>
        <w:t>Os condenados da terra</w:t>
      </w:r>
      <w:r w:rsidRPr="00024510">
        <w:rPr>
          <w:rFonts w:eastAsia="Times New Roman"/>
          <w:color w:val="000000" w:themeColor="text1"/>
          <w:sz w:val="24"/>
          <w:szCs w:val="24"/>
        </w:rPr>
        <w:t xml:space="preserve">. 2. Ed. Tradução de José </w:t>
      </w:r>
      <w:proofErr w:type="spellStart"/>
      <w:r w:rsidRPr="00024510">
        <w:rPr>
          <w:rFonts w:eastAsia="Times New Roman"/>
          <w:color w:val="000000" w:themeColor="text1"/>
          <w:sz w:val="24"/>
          <w:szCs w:val="24"/>
        </w:rPr>
        <w:t>Laurênio</w:t>
      </w:r>
      <w:proofErr w:type="spellEnd"/>
      <w:r w:rsidRPr="00024510">
        <w:rPr>
          <w:rFonts w:eastAsia="Times New Roman"/>
          <w:color w:val="000000" w:themeColor="text1"/>
          <w:sz w:val="24"/>
          <w:szCs w:val="24"/>
        </w:rPr>
        <w:t xml:space="preserve"> de Melo. Rio de Janeiro: Paz &amp; Terra, 1968. </w:t>
      </w:r>
    </w:p>
    <w:p w14:paraId="70667B8E" w14:textId="77777777" w:rsidR="00030AE2" w:rsidRPr="009D4007" w:rsidRDefault="00030AE2" w:rsidP="00030AE2">
      <w:pPr>
        <w:spacing w:line="360" w:lineRule="auto"/>
        <w:ind w:left="-5"/>
        <w:jc w:val="both"/>
        <w:rPr>
          <w:rFonts w:eastAsia="Times New Roman"/>
          <w:color w:val="000000" w:themeColor="text1"/>
          <w:sz w:val="24"/>
          <w:szCs w:val="24"/>
          <w:lang w:val="en-US"/>
        </w:rPr>
      </w:pPr>
      <w:r w:rsidRPr="00024510">
        <w:rPr>
          <w:rFonts w:eastAsia="Times New Roman"/>
          <w:color w:val="000000" w:themeColor="text1"/>
          <w:sz w:val="24"/>
          <w:szCs w:val="24"/>
        </w:rPr>
        <w:t xml:space="preserve">OLIVEIRA, Roberto Cardoso de. O trabalho do antropólogo: </w:t>
      </w:r>
      <w:r w:rsidRPr="00024510">
        <w:rPr>
          <w:rFonts w:eastAsia="Times New Roman"/>
          <w:b/>
          <w:bCs/>
          <w:color w:val="000000" w:themeColor="text1"/>
          <w:sz w:val="24"/>
          <w:szCs w:val="24"/>
        </w:rPr>
        <w:t>olhar, ouvir, escrever</w:t>
      </w:r>
      <w:r w:rsidRPr="00024510">
        <w:rPr>
          <w:rFonts w:eastAsia="Times New Roman"/>
          <w:color w:val="000000" w:themeColor="text1"/>
          <w:sz w:val="24"/>
          <w:szCs w:val="24"/>
        </w:rPr>
        <w:t xml:space="preserve">. </w:t>
      </w:r>
      <w:r w:rsidRPr="009D4007">
        <w:rPr>
          <w:rFonts w:eastAsia="Times New Roman"/>
          <w:color w:val="000000" w:themeColor="text1"/>
          <w:sz w:val="24"/>
          <w:szCs w:val="24"/>
          <w:lang w:val="en-US"/>
        </w:rPr>
        <w:t>2. Ed. Brasília: Editora da UnB, 2000. </w:t>
      </w:r>
    </w:p>
    <w:p w14:paraId="269EE5DB" w14:textId="77777777" w:rsidR="00030AE2" w:rsidRPr="00024510" w:rsidRDefault="00030AE2" w:rsidP="00030AE2">
      <w:pPr>
        <w:spacing w:line="360" w:lineRule="auto"/>
        <w:ind w:left="-5"/>
        <w:jc w:val="both"/>
        <w:rPr>
          <w:rFonts w:eastAsia="Times New Roman"/>
          <w:color w:val="000000" w:themeColor="text1"/>
          <w:sz w:val="24"/>
          <w:szCs w:val="24"/>
        </w:rPr>
      </w:pPr>
      <w:r w:rsidRPr="00024510">
        <w:rPr>
          <w:rFonts w:eastAsia="Times New Roman"/>
          <w:color w:val="000000" w:themeColor="text1"/>
          <w:sz w:val="24"/>
          <w:szCs w:val="24"/>
          <w:lang w:val="en-US"/>
        </w:rPr>
        <w:t xml:space="preserve">FOUCAULT, Michel. The Birth of Biopolitics: Lectures at the Collège de France, 1978-1979. </w:t>
      </w:r>
      <w:r w:rsidRPr="00024510">
        <w:rPr>
          <w:rFonts w:eastAsia="Times New Roman"/>
          <w:color w:val="000000" w:themeColor="text1"/>
          <w:sz w:val="24"/>
          <w:szCs w:val="24"/>
        </w:rPr>
        <w:t xml:space="preserve">New York: </w:t>
      </w:r>
      <w:proofErr w:type="spellStart"/>
      <w:r w:rsidRPr="00024510">
        <w:rPr>
          <w:rFonts w:eastAsia="Times New Roman"/>
          <w:color w:val="000000" w:themeColor="text1"/>
          <w:sz w:val="24"/>
          <w:szCs w:val="24"/>
        </w:rPr>
        <w:t>Palgrave</w:t>
      </w:r>
      <w:proofErr w:type="spellEnd"/>
      <w:r w:rsidRPr="00024510">
        <w:rPr>
          <w:rFonts w:eastAsia="Times New Roman"/>
          <w:color w:val="000000" w:themeColor="text1"/>
          <w:sz w:val="24"/>
          <w:szCs w:val="24"/>
        </w:rPr>
        <w:t xml:space="preserve"> </w:t>
      </w:r>
      <w:proofErr w:type="spellStart"/>
      <w:r w:rsidRPr="00024510">
        <w:rPr>
          <w:rFonts w:eastAsia="Times New Roman"/>
          <w:color w:val="000000" w:themeColor="text1"/>
          <w:sz w:val="24"/>
          <w:szCs w:val="24"/>
        </w:rPr>
        <w:t>Macmillan</w:t>
      </w:r>
      <w:proofErr w:type="spellEnd"/>
      <w:r w:rsidRPr="00024510">
        <w:rPr>
          <w:rFonts w:eastAsia="Times New Roman"/>
          <w:color w:val="000000" w:themeColor="text1"/>
          <w:sz w:val="24"/>
          <w:szCs w:val="24"/>
        </w:rPr>
        <w:t>, 2003. </w:t>
      </w:r>
    </w:p>
    <w:p w14:paraId="38E4D25C" w14:textId="77777777" w:rsidR="00030AE2" w:rsidRPr="00024510" w:rsidRDefault="00030AE2" w:rsidP="00030AE2">
      <w:pPr>
        <w:spacing w:line="360" w:lineRule="auto"/>
        <w:ind w:left="-5"/>
        <w:jc w:val="both"/>
        <w:rPr>
          <w:rFonts w:eastAsia="Times New Roman"/>
          <w:color w:val="000000" w:themeColor="text1"/>
          <w:sz w:val="24"/>
          <w:szCs w:val="24"/>
        </w:rPr>
      </w:pPr>
      <w:r w:rsidRPr="00024510">
        <w:rPr>
          <w:rFonts w:eastAsia="Times New Roman"/>
          <w:color w:val="000000" w:themeColor="text1"/>
          <w:sz w:val="24"/>
          <w:szCs w:val="24"/>
        </w:rPr>
        <w:t>G1. Doc liberal: relembre a visita da monarquia britânica ao Pará. G1, 17 mar. </w:t>
      </w:r>
    </w:p>
    <w:p w14:paraId="3D66D80F" w14:textId="77777777" w:rsidR="00030AE2" w:rsidRPr="00024510" w:rsidRDefault="00030AE2" w:rsidP="00030AE2">
      <w:pPr>
        <w:spacing w:line="360" w:lineRule="auto"/>
        <w:ind w:left="-5"/>
        <w:jc w:val="both"/>
        <w:rPr>
          <w:rFonts w:eastAsia="Times New Roman"/>
          <w:color w:val="000000" w:themeColor="text1"/>
          <w:sz w:val="24"/>
          <w:szCs w:val="24"/>
        </w:rPr>
      </w:pPr>
      <w:r w:rsidRPr="00024510">
        <w:rPr>
          <w:rFonts w:eastAsia="Times New Roman"/>
          <w:color w:val="000000" w:themeColor="text1"/>
          <w:sz w:val="24"/>
          <w:szCs w:val="24"/>
        </w:rPr>
        <w:t>2022. </w:t>
      </w:r>
    </w:p>
    <w:p w14:paraId="2D7B799D" w14:textId="77777777" w:rsidR="00030AE2" w:rsidRPr="00024510" w:rsidRDefault="00030AE2" w:rsidP="00030AE2">
      <w:pPr>
        <w:spacing w:line="360" w:lineRule="auto"/>
        <w:ind w:left="-5"/>
        <w:jc w:val="both"/>
        <w:rPr>
          <w:rFonts w:eastAsia="Times New Roman"/>
          <w:color w:val="000000" w:themeColor="text1"/>
          <w:sz w:val="24"/>
          <w:szCs w:val="24"/>
        </w:rPr>
      </w:pPr>
      <w:r w:rsidRPr="00024510">
        <w:rPr>
          <w:rFonts w:eastAsia="Times New Roman"/>
          <w:color w:val="000000" w:themeColor="text1"/>
          <w:sz w:val="24"/>
          <w:szCs w:val="24"/>
        </w:rPr>
        <w:t>SANTANA, Joana Valente</w:t>
      </w:r>
      <w:r w:rsidRPr="00024510">
        <w:rPr>
          <w:rFonts w:eastAsia="Times New Roman"/>
          <w:b/>
          <w:bCs/>
          <w:color w:val="000000" w:themeColor="text1"/>
          <w:sz w:val="24"/>
          <w:szCs w:val="24"/>
        </w:rPr>
        <w:t>. Questão urbana e habitacional</w:t>
      </w:r>
      <w:r w:rsidRPr="00024510">
        <w:rPr>
          <w:rFonts w:eastAsia="Times New Roman"/>
          <w:color w:val="000000" w:themeColor="text1"/>
          <w:sz w:val="24"/>
          <w:szCs w:val="24"/>
        </w:rPr>
        <w:t xml:space="preserve"> e Pós-Graduação em Serviço Social no Brasil. Serviço Social em Revista, v. 21, n. 1, p. 217-238, 2018.</w:t>
      </w:r>
    </w:p>
    <w:p w14:paraId="74F53E6B" w14:textId="77777777" w:rsidR="00030AE2" w:rsidRPr="00024510" w:rsidRDefault="00030AE2" w:rsidP="005F6EFC">
      <w:pPr>
        <w:spacing w:line="360" w:lineRule="auto"/>
        <w:jc w:val="both"/>
        <w:rPr>
          <w:rFonts w:eastAsia="Times New Roman"/>
          <w:color w:val="000000" w:themeColor="text1"/>
          <w:sz w:val="24"/>
          <w:szCs w:val="24"/>
        </w:rPr>
      </w:pPr>
      <w:r w:rsidRPr="00024510">
        <w:rPr>
          <w:rFonts w:eastAsia="Times New Roman"/>
          <w:color w:val="000000" w:themeColor="text1"/>
          <w:sz w:val="24"/>
          <w:szCs w:val="24"/>
        </w:rPr>
        <w:t xml:space="preserve">SANTOS, Antonio Matheus Sardinha; GUIMARÃES, Sandra Suely Moreira </w:t>
      </w:r>
      <w:proofErr w:type="spellStart"/>
      <w:r w:rsidRPr="00024510">
        <w:rPr>
          <w:rFonts w:eastAsia="Times New Roman"/>
          <w:color w:val="000000" w:themeColor="text1"/>
          <w:sz w:val="24"/>
          <w:szCs w:val="24"/>
        </w:rPr>
        <w:t>Lurine</w:t>
      </w:r>
      <w:proofErr w:type="spellEnd"/>
      <w:r w:rsidRPr="00024510">
        <w:rPr>
          <w:rFonts w:eastAsia="Times New Roman"/>
          <w:color w:val="000000" w:themeColor="text1"/>
          <w:sz w:val="24"/>
          <w:szCs w:val="24"/>
        </w:rPr>
        <w:t xml:space="preserve">. </w:t>
      </w:r>
      <w:r w:rsidRPr="00024510">
        <w:rPr>
          <w:rFonts w:eastAsia="Times New Roman"/>
          <w:b/>
          <w:bCs/>
          <w:color w:val="000000" w:themeColor="text1"/>
          <w:sz w:val="24"/>
          <w:szCs w:val="24"/>
        </w:rPr>
        <w:t>Pessoas Em Situação de Rua No Brasil: A Relação Entre o Poder Estatal e a (m) Possibilidade de Acesso a Direitos</w:t>
      </w:r>
      <w:r w:rsidRPr="00024510">
        <w:rPr>
          <w:rFonts w:eastAsia="Times New Roman"/>
          <w:color w:val="000000" w:themeColor="text1"/>
          <w:sz w:val="24"/>
          <w:szCs w:val="24"/>
        </w:rPr>
        <w:t>. REVISTA APOENA-Periódico dos Discentes de Filosofia da UFPA, v. 2, n. 4, p. 124-142, 2021.</w:t>
      </w:r>
    </w:p>
    <w:p w14:paraId="7F688C86" w14:textId="77777777" w:rsidR="00FF4348" w:rsidRPr="00024510" w:rsidRDefault="00030AE2" w:rsidP="00030AE2">
      <w:pPr>
        <w:spacing w:line="360" w:lineRule="auto"/>
        <w:jc w:val="both"/>
        <w:rPr>
          <w:rFonts w:eastAsia="Times New Roman"/>
          <w:color w:val="000000" w:themeColor="text1"/>
          <w:sz w:val="24"/>
          <w:szCs w:val="24"/>
        </w:rPr>
      </w:pPr>
      <w:r w:rsidRPr="00024510">
        <w:rPr>
          <w:rFonts w:eastAsia="Times New Roman"/>
          <w:color w:val="000000" w:themeColor="text1"/>
          <w:sz w:val="24"/>
          <w:szCs w:val="24"/>
        </w:rPr>
        <w:t xml:space="preserve">DE OLIVEIRA, Gleciane Tavares et al. Lei 10.639/2003: </w:t>
      </w:r>
      <w:r w:rsidRPr="00024510">
        <w:rPr>
          <w:rFonts w:eastAsia="Times New Roman"/>
          <w:b/>
          <w:bCs/>
          <w:color w:val="000000" w:themeColor="text1"/>
          <w:sz w:val="24"/>
          <w:szCs w:val="24"/>
        </w:rPr>
        <w:t>uma análise da releitura de imagem sobre a história e cultura afro-brasileira e africana no estágio supervisionado</w:t>
      </w:r>
      <w:r w:rsidRPr="00024510">
        <w:rPr>
          <w:rFonts w:eastAsia="Times New Roman"/>
          <w:color w:val="000000" w:themeColor="text1"/>
          <w:sz w:val="24"/>
          <w:szCs w:val="24"/>
        </w:rPr>
        <w:t xml:space="preserve"> em artes visuais no PARFOR/UFPA, campus Abaetetuba- PA. </w:t>
      </w:r>
      <w:proofErr w:type="spellStart"/>
      <w:r w:rsidRPr="00024510">
        <w:rPr>
          <w:rFonts w:eastAsia="Times New Roman"/>
          <w:color w:val="000000" w:themeColor="text1"/>
          <w:sz w:val="24"/>
          <w:szCs w:val="24"/>
        </w:rPr>
        <w:t>Educamazônia</w:t>
      </w:r>
      <w:proofErr w:type="spellEnd"/>
      <w:r w:rsidRPr="00024510">
        <w:rPr>
          <w:rFonts w:eastAsia="Times New Roman"/>
          <w:color w:val="000000" w:themeColor="text1"/>
          <w:sz w:val="24"/>
          <w:szCs w:val="24"/>
        </w:rPr>
        <w:t>-Educação, Sociedade e Meio Ambiente, v. 17, n. 01, p. 393-414, 2024.</w:t>
      </w:r>
    </w:p>
    <w:sectPr w:rsidR="00FF4348" w:rsidRPr="00024510" w:rsidSect="00A609D6">
      <w:headerReference w:type="even" r:id="rId8"/>
      <w:headerReference w:type="default" r:id="rId9"/>
      <w:footerReference w:type="even" r:id="rId10"/>
      <w:footerReference w:type="default" r:id="rId11"/>
      <w:headerReference w:type="first" r:id="rId12"/>
      <w:footerReference w:type="first" r:id="rId13"/>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E55F1" w14:textId="77777777" w:rsidR="00667519" w:rsidRDefault="00667519">
      <w:pPr>
        <w:spacing w:line="240" w:lineRule="auto"/>
      </w:pPr>
      <w:r>
        <w:separator/>
      </w:r>
    </w:p>
  </w:endnote>
  <w:endnote w:type="continuationSeparator" w:id="0">
    <w:p w14:paraId="1E697FF1" w14:textId="77777777" w:rsidR="00667519" w:rsidRDefault="006675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7254" w14:textId="77777777" w:rsidR="00CE351B" w:rsidRDefault="00CE351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2C28E" w14:textId="77777777" w:rsidR="00CE351B" w:rsidRDefault="00CE351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E6BD" w14:textId="77777777" w:rsidR="00CE351B" w:rsidRDefault="00CE351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ACCAA" w14:textId="77777777" w:rsidR="00667519" w:rsidRDefault="00667519">
      <w:pPr>
        <w:spacing w:line="240" w:lineRule="auto"/>
      </w:pPr>
      <w:r>
        <w:separator/>
      </w:r>
    </w:p>
  </w:footnote>
  <w:footnote w:type="continuationSeparator" w:id="0">
    <w:p w14:paraId="2554CCB6" w14:textId="77777777" w:rsidR="00667519" w:rsidRDefault="00667519">
      <w:pPr>
        <w:spacing w:line="240" w:lineRule="auto"/>
      </w:pPr>
      <w:r>
        <w:continuationSeparator/>
      </w:r>
    </w:p>
  </w:footnote>
  <w:footnote w:id="1">
    <w:p w14:paraId="611912D4" w14:textId="77777777" w:rsidR="009D4007" w:rsidRDefault="009D4007" w:rsidP="009D4007">
      <w:pPr>
        <w:pStyle w:val="Textodenotaderodap"/>
      </w:pPr>
      <w:r>
        <w:rPr>
          <w:rStyle w:val="Refdenotaderodap"/>
        </w:rPr>
        <w:footnoteRef/>
      </w:r>
      <w:r>
        <w:t xml:space="preserve"> Discente de Graduação em Serviço Social da Universidade Federal do Pará. Membro do Grupo de Estudo, Pesquisa e Extensão em Serviço Social e Política Social na Amazônia (GEPSS/UFPA). E-mail: pcsillva991@gmail.com</w:t>
      </w:r>
    </w:p>
    <w:p w14:paraId="79624847" w14:textId="19F44AE0" w:rsidR="009D4007" w:rsidRDefault="009D4007">
      <w:pPr>
        <w:pStyle w:val="Textodenotaderodap"/>
      </w:pPr>
    </w:p>
  </w:footnote>
  <w:footnote w:id="2">
    <w:p w14:paraId="5780D67D" w14:textId="53F4CDE9" w:rsidR="009D4007" w:rsidRPr="009D4007" w:rsidRDefault="009D4007" w:rsidP="009D4007">
      <w:pPr>
        <w:pStyle w:val="Textodenotaderodap"/>
        <w:jc w:val="both"/>
        <w:rPr>
          <w:color w:val="000000" w:themeColor="text1"/>
        </w:rPr>
      </w:pPr>
      <w:r>
        <w:rPr>
          <w:rStyle w:val="Refdenotaderodap"/>
        </w:rPr>
        <w:footnoteRef/>
      </w:r>
      <w:r>
        <w:t xml:space="preserve"> </w:t>
      </w:r>
      <w:r w:rsidRPr="009D4007">
        <w:rPr>
          <w:color w:val="000000" w:themeColor="text1"/>
        </w:rPr>
        <w:t>Orla de Icoaraci está de frente para a Baía do Guajará, localizada no distrito de Icoaraci, em Belém. Tendo atividades turísticas, com restaurantes e vista para baía</w:t>
      </w:r>
    </w:p>
  </w:footnote>
  <w:footnote w:id="3">
    <w:p w14:paraId="0FA1B48E" w14:textId="57BE29ED" w:rsidR="00DE2561" w:rsidRPr="009D4007" w:rsidRDefault="00DE2561" w:rsidP="001E7A52">
      <w:pPr>
        <w:pStyle w:val="Textodenotaderodap"/>
        <w:jc w:val="both"/>
        <w:rPr>
          <w:color w:val="000000" w:themeColor="text1"/>
        </w:rPr>
      </w:pPr>
      <w:r w:rsidRPr="009D4007">
        <w:rPr>
          <w:rStyle w:val="Refdenotaderodap"/>
          <w:color w:val="000000" w:themeColor="text1"/>
        </w:rPr>
        <w:footnoteRef/>
      </w:r>
      <w:r w:rsidRPr="009D4007">
        <w:rPr>
          <w:color w:val="000000" w:themeColor="text1"/>
        </w:rPr>
        <w:t xml:space="preserve"> Trapiche é um tipo de pequeno porto ou atracadouro. Em Icoaraci, o trapiche funciona como embarque e desembarque popular tanto de pessoas como de mercadorias</w:t>
      </w:r>
      <w:r w:rsidR="009D4007">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DC11" w14:textId="77777777" w:rsidR="00CE351B" w:rsidRDefault="00CE351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AB47F" w14:textId="77777777" w:rsidR="00FF4348" w:rsidRDefault="00384927">
    <w:r>
      <w:rPr>
        <w:noProof/>
      </w:rPr>
      <w:drawing>
        <wp:anchor distT="114300" distB="114300" distL="114300" distR="114300" simplePos="0" relativeHeight="251657728" behindDoc="1" locked="0" layoutInCell="1" allowOverlap="1" wp14:anchorId="3B1E2E97" wp14:editId="0FEE32B9">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26390" w14:textId="77777777" w:rsidR="00CE351B" w:rsidRDefault="00CE351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77EB2"/>
    <w:multiLevelType w:val="hybridMultilevel"/>
    <w:tmpl w:val="8464568E"/>
    <w:lvl w:ilvl="0" w:tplc="E998EB1E">
      <w:start w:val="1"/>
      <w:numFmt w:val="upperRoman"/>
      <w:lvlText w:val="%1."/>
      <w:lvlJc w:val="left"/>
      <w:pPr>
        <w:ind w:left="1080" w:hanging="720"/>
      </w:pPr>
      <w:rPr>
        <w:rFonts w:ascii="Arial" w:hAnsi="Arial" w:cs="Arial" w:hint="default"/>
        <w:b/>
        <w:color w:val="FFFFFF"/>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7672558B"/>
    <w:multiLevelType w:val="hybridMultilevel"/>
    <w:tmpl w:val="CE80A4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82955067">
    <w:abstractNumId w:val="0"/>
  </w:num>
  <w:num w:numId="2" w16cid:durableId="516314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revisionView w:inkAnnotation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24510"/>
    <w:rsid w:val="00030AE2"/>
    <w:rsid w:val="00076C77"/>
    <w:rsid w:val="000B2734"/>
    <w:rsid w:val="000F2D7B"/>
    <w:rsid w:val="00156A0D"/>
    <w:rsid w:val="00162529"/>
    <w:rsid w:val="00190716"/>
    <w:rsid w:val="001C2172"/>
    <w:rsid w:val="001D144E"/>
    <w:rsid w:val="001E0255"/>
    <w:rsid w:val="001E7A52"/>
    <w:rsid w:val="00201A48"/>
    <w:rsid w:val="00292980"/>
    <w:rsid w:val="002B22E3"/>
    <w:rsid w:val="00322632"/>
    <w:rsid w:val="00333CA3"/>
    <w:rsid w:val="00384927"/>
    <w:rsid w:val="0040612A"/>
    <w:rsid w:val="00406393"/>
    <w:rsid w:val="00440958"/>
    <w:rsid w:val="004F776F"/>
    <w:rsid w:val="00531207"/>
    <w:rsid w:val="0054418D"/>
    <w:rsid w:val="005B26D0"/>
    <w:rsid w:val="005C4655"/>
    <w:rsid w:val="005D6A76"/>
    <w:rsid w:val="005F6EFC"/>
    <w:rsid w:val="00667519"/>
    <w:rsid w:val="00680E4E"/>
    <w:rsid w:val="00711AAD"/>
    <w:rsid w:val="00717479"/>
    <w:rsid w:val="00721D14"/>
    <w:rsid w:val="00741DB1"/>
    <w:rsid w:val="007C7975"/>
    <w:rsid w:val="007E21BB"/>
    <w:rsid w:val="007E4402"/>
    <w:rsid w:val="007F3EA2"/>
    <w:rsid w:val="00845C33"/>
    <w:rsid w:val="009D1542"/>
    <w:rsid w:val="009D4007"/>
    <w:rsid w:val="00A53C18"/>
    <w:rsid w:val="00A609D6"/>
    <w:rsid w:val="00A669C2"/>
    <w:rsid w:val="00A80BF6"/>
    <w:rsid w:val="00AA6887"/>
    <w:rsid w:val="00B057DC"/>
    <w:rsid w:val="00BB06AC"/>
    <w:rsid w:val="00BC7C70"/>
    <w:rsid w:val="00BD51EB"/>
    <w:rsid w:val="00BE26F2"/>
    <w:rsid w:val="00C31224"/>
    <w:rsid w:val="00CB6741"/>
    <w:rsid w:val="00CB7ECC"/>
    <w:rsid w:val="00CE351B"/>
    <w:rsid w:val="00D07D69"/>
    <w:rsid w:val="00DB07BF"/>
    <w:rsid w:val="00DE2561"/>
    <w:rsid w:val="00E53A4B"/>
    <w:rsid w:val="00E64E46"/>
    <w:rsid w:val="00E6501C"/>
    <w:rsid w:val="00E712FD"/>
    <w:rsid w:val="00F040CD"/>
    <w:rsid w:val="00F16E90"/>
    <w:rsid w:val="00F2735F"/>
    <w:rsid w:val="00FE2E16"/>
    <w:rsid w:val="00FF4348"/>
    <w:rsid w:val="00FF554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BD0E8"/>
  <w15:docId w15:val="{0775886B-17CC-EF44-B46F-D2CB766BB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0CD"/>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030AE2"/>
    <w:rPr>
      <w:sz w:val="20"/>
      <w:szCs w:val="20"/>
    </w:rPr>
  </w:style>
  <w:style w:type="character" w:customStyle="1" w:styleId="TextodenotaderodapChar">
    <w:name w:val="Texto de nota de rodapé Char"/>
    <w:basedOn w:val="Fontepargpadro"/>
    <w:link w:val="Textodenotaderodap"/>
    <w:uiPriority w:val="99"/>
    <w:semiHidden/>
    <w:rsid w:val="00030AE2"/>
  </w:style>
  <w:style w:type="character" w:styleId="Refdenotaderodap">
    <w:name w:val="footnote reference"/>
    <w:uiPriority w:val="99"/>
    <w:semiHidden/>
    <w:unhideWhenUsed/>
    <w:rsid w:val="00030AE2"/>
    <w:rPr>
      <w:vertAlign w:val="superscript"/>
    </w:rPr>
  </w:style>
  <w:style w:type="paragraph" w:styleId="Textodenotadefim">
    <w:name w:val="endnote text"/>
    <w:basedOn w:val="Normal"/>
    <w:link w:val="TextodenotadefimChar"/>
    <w:uiPriority w:val="99"/>
    <w:semiHidden/>
    <w:unhideWhenUsed/>
    <w:rsid w:val="00A80BF6"/>
    <w:rPr>
      <w:sz w:val="20"/>
      <w:szCs w:val="20"/>
    </w:rPr>
  </w:style>
  <w:style w:type="character" w:customStyle="1" w:styleId="TextodenotadefimChar">
    <w:name w:val="Texto de nota de fim Char"/>
    <w:link w:val="Textodenotadefim"/>
    <w:uiPriority w:val="99"/>
    <w:semiHidden/>
    <w:rsid w:val="00A80BF6"/>
    <w:rPr>
      <w:lang w:eastAsia="pt-BR"/>
    </w:rPr>
  </w:style>
  <w:style w:type="character" w:styleId="Refdenotadefim">
    <w:name w:val="endnote reference"/>
    <w:uiPriority w:val="99"/>
    <w:semiHidden/>
    <w:unhideWhenUsed/>
    <w:rsid w:val="00A80BF6"/>
    <w:rPr>
      <w:vertAlign w:val="superscript"/>
    </w:rPr>
  </w:style>
  <w:style w:type="paragraph" w:styleId="PargrafodaLista">
    <w:name w:val="List Paragraph"/>
    <w:basedOn w:val="Normal"/>
    <w:uiPriority w:val="34"/>
    <w:qFormat/>
    <w:rsid w:val="004063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908554">
      <w:bodyDiv w:val="1"/>
      <w:marLeft w:val="0"/>
      <w:marRight w:val="0"/>
      <w:marTop w:val="0"/>
      <w:marBottom w:val="0"/>
      <w:divBdr>
        <w:top w:val="none" w:sz="0" w:space="0" w:color="auto"/>
        <w:left w:val="none" w:sz="0" w:space="0" w:color="auto"/>
        <w:bottom w:val="none" w:sz="0" w:space="0" w:color="auto"/>
        <w:right w:val="none" w:sz="0" w:space="0" w:color="auto"/>
      </w:divBdr>
    </w:div>
    <w:div w:id="1090199637">
      <w:bodyDiv w:val="1"/>
      <w:marLeft w:val="0"/>
      <w:marRight w:val="0"/>
      <w:marTop w:val="0"/>
      <w:marBottom w:val="0"/>
      <w:divBdr>
        <w:top w:val="none" w:sz="0" w:space="0" w:color="auto"/>
        <w:left w:val="none" w:sz="0" w:space="0" w:color="auto"/>
        <w:bottom w:val="none" w:sz="0" w:space="0" w:color="auto"/>
        <w:right w:val="none" w:sz="0" w:space="0" w:color="auto"/>
      </w:divBdr>
    </w:div>
    <w:div w:id="1377046553">
      <w:bodyDiv w:val="1"/>
      <w:marLeft w:val="0"/>
      <w:marRight w:val="0"/>
      <w:marTop w:val="0"/>
      <w:marBottom w:val="0"/>
      <w:divBdr>
        <w:top w:val="none" w:sz="0" w:space="0" w:color="auto"/>
        <w:left w:val="none" w:sz="0" w:space="0" w:color="auto"/>
        <w:bottom w:val="none" w:sz="0" w:space="0" w:color="auto"/>
        <w:right w:val="none" w:sz="0" w:space="0" w:color="auto"/>
      </w:divBdr>
    </w:div>
    <w:div w:id="1870407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3.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fontTable" Target="fontTable.xml"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4A63C-2539-47B9-AFE9-3F8B459F7C7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3105</Words>
  <Characters>16769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pedro costa</cp:lastModifiedBy>
  <cp:revision>2</cp:revision>
  <dcterms:created xsi:type="dcterms:W3CDTF">2025-07-06T21:42:00Z</dcterms:created>
  <dcterms:modified xsi:type="dcterms:W3CDTF">2025-07-06T21:42:00Z</dcterms:modified>
</cp:coreProperties>
</file>