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jc w:val="center"/>
        <w:rPr>
          <w:lang w:val="pt-BR" w:eastAsia="zh-CN" w:bidi="hi-IN"/>
        </w:rPr>
      </w:pPr>
      <w:r>
        <w:rPr>
          <w:b/>
          <w:position w:val="0"/>
          <w:sz w:val="24"/>
          <w:sz w:val="24"/>
          <w:szCs w:val="24"/>
          <w:vertAlign w:val="baseline"/>
          <w:lang w:val="pt-BR" w:eastAsia="zh-CN" w:bidi="hi-IN"/>
        </w:rPr>
        <w:t xml:space="preserve">DESIGUALDADES E POLÍTICAS DE PERMANÊNCIA: </w:t>
      </w:r>
      <w:r>
        <w:rPr>
          <w:position w:val="0"/>
          <w:sz w:val="24"/>
          <w:sz w:val="24"/>
          <w:szCs w:val="24"/>
          <w:vertAlign w:val="baseline"/>
          <w:lang w:val="pt-BR" w:eastAsia="zh-CN" w:bidi="hi-IN"/>
        </w:rPr>
        <w:t>a execução do Pé-de-Meia no IFBA Porto Seguro</w:t>
      </w:r>
    </w:p>
    <w:p>
      <w:pPr>
        <w:pStyle w:val="Normal1"/>
        <w:spacing w:lineRule="auto" w:line="240"/>
        <w:ind w:hanging="0" w:left="2835"/>
        <w:jc w:val="right"/>
        <w:rPr>
          <w:lang w:val="pt-BR" w:eastAsia="zh-CN" w:bidi="hi-IN"/>
        </w:rPr>
      </w:pPr>
      <w:r>
        <w:rPr>
          <w:sz w:val="20"/>
          <w:szCs w:val="20"/>
          <w:lang w:val="pt-BR" w:eastAsia="zh-CN" w:bidi="hi-IN"/>
        </w:rPr>
        <w:t>Talita Prada</w:t>
      </w:r>
      <w:r>
        <w:rPr>
          <w:rStyle w:val="FootnoteReference"/>
          <w:sz w:val="20"/>
          <w:szCs w:val="20"/>
          <w:vertAlign w:val="superscript"/>
          <w:lang w:val="pt-BR" w:eastAsia="zh-CN" w:bidi="hi-IN"/>
        </w:rPr>
        <w:footnoteReference w:id="2"/>
      </w:r>
    </w:p>
    <w:p>
      <w:pPr>
        <w:pStyle w:val="Normal1"/>
        <w:spacing w:lineRule="auto" w:line="240"/>
        <w:ind w:hanging="0" w:left="2835"/>
        <w:jc w:val="right"/>
        <w:rPr>
          <w:lang w:val="pt-BR" w:eastAsia="zh-CN" w:bidi="hi-IN"/>
        </w:rPr>
      </w:pPr>
      <w:r>
        <w:rPr>
          <w:sz w:val="20"/>
          <w:szCs w:val="20"/>
          <w:lang w:val="pt-BR" w:eastAsia="zh-CN" w:bidi="hi-IN"/>
        </w:rPr>
        <w:t>Maria Lenira Gurgel Cavalcante Silva</w:t>
      </w:r>
      <w:r>
        <w:rPr>
          <w:rStyle w:val="FootnoteReference"/>
          <w:sz w:val="20"/>
          <w:szCs w:val="20"/>
          <w:vertAlign w:val="superscript"/>
          <w:lang w:val="pt-BR" w:eastAsia="zh-CN" w:bidi="hi-IN"/>
        </w:rPr>
        <w:footnoteReference w:id="3"/>
      </w:r>
    </w:p>
    <w:p>
      <w:pPr>
        <w:pStyle w:val="Normal1"/>
        <w:spacing w:lineRule="auto" w:line="240"/>
        <w:ind w:hanging="0" w:left="2835"/>
        <w:jc w:val="right"/>
        <w:rPr>
          <w:lang w:val="pt-BR" w:eastAsia="zh-CN" w:bidi="hi-IN"/>
        </w:rPr>
      </w:pPr>
      <w:r>
        <w:rPr>
          <w:sz w:val="20"/>
          <w:szCs w:val="20"/>
          <w:lang w:val="pt-BR" w:eastAsia="zh-CN" w:bidi="hi-IN"/>
        </w:rPr>
        <w:t>Luana Santana Góis</w:t>
      </w:r>
      <w:r>
        <w:rPr>
          <w:rStyle w:val="FootnoteReference"/>
          <w:sz w:val="20"/>
          <w:szCs w:val="20"/>
          <w:vertAlign w:val="superscript"/>
          <w:lang w:val="pt-BR" w:eastAsia="zh-CN" w:bidi="hi-IN"/>
        </w:rPr>
        <w:footnoteReference w:id="4"/>
      </w:r>
    </w:p>
    <w:p>
      <w:pPr>
        <w:pStyle w:val="Normal1"/>
        <w:spacing w:lineRule="auto" w:line="240"/>
        <w:ind w:hanging="0" w:left="2835"/>
        <w:jc w:val="both"/>
        <w:rPr>
          <w:b/>
          <w:sz w:val="20"/>
          <w:szCs w:val="20"/>
          <w:lang w:val="pt-BR" w:eastAsia="zh-CN" w:bidi="hi-IN"/>
        </w:rPr>
      </w:pPr>
      <w:r>
        <w:rPr>
          <w:b/>
          <w:sz w:val="20"/>
          <w:szCs w:val="20"/>
          <w:lang w:val="pt-BR" w:eastAsia="zh-CN" w:bidi="hi-IN"/>
        </w:rPr>
      </w:r>
    </w:p>
    <w:p>
      <w:pPr>
        <w:pStyle w:val="Normal1"/>
        <w:spacing w:lineRule="auto" w:line="240"/>
        <w:ind w:hanging="0" w:left="2835"/>
        <w:jc w:val="both"/>
        <w:rPr>
          <w:lang w:val="pt-BR" w:eastAsia="zh-CN" w:bidi="hi-IN"/>
        </w:rPr>
      </w:pPr>
      <w:r>
        <w:rPr>
          <w:b/>
          <w:position w:val="0"/>
          <w:sz w:val="20"/>
          <w:sz w:val="20"/>
          <w:szCs w:val="20"/>
          <w:vertAlign w:val="baseline"/>
          <w:lang w:val="pt-BR" w:eastAsia="zh-CN" w:bidi="hi-IN"/>
        </w:rPr>
        <w:t>Resumo</w:t>
      </w:r>
    </w:p>
    <w:p>
      <w:pPr>
        <w:pStyle w:val="Normal1"/>
        <w:spacing w:lineRule="auto" w:line="240"/>
        <w:ind w:hanging="0" w:left="2835"/>
        <w:jc w:val="both"/>
        <w:rPr>
          <w:lang w:val="pt-BR" w:eastAsia="zh-CN" w:bidi="hi-IN"/>
        </w:rPr>
      </w:pPr>
      <w:r>
        <w:rPr>
          <w:sz w:val="20"/>
          <w:szCs w:val="20"/>
          <w:lang w:val="pt-BR" w:eastAsia="zh-CN" w:bidi="hi-IN"/>
        </w:rPr>
        <w:t>O artigo analisa a implementação do Programa Pé-de-Meia no IFBA Campus Porto Seguro, destacando seus limites e potencialidades como política de permanência no Ensino Médio Integrado. O programa oferece repasse financeiro a estudantes de baixa renda, visando combater a evasão escolar. Apesar de sua contribuição, enfrenta desafios como critérios de elegibilidade restritivos e dificuldades operacionais. A experiência local evidenciou que a permanência estudantil requer mais do que auxílio financeiro, sendo influenciada por fatores socioeconômicos, estruturais e emocionais. A análise reforça a importância da articulação entre políticas públicas e da valorização da escola pública como espaço de acolhimento e transformação social. Novas investigações são necessárias para aprofundar o debate sobre permanência e inclusão no contexto educacional atual.</w:t>
      </w:r>
    </w:p>
    <w:p>
      <w:pPr>
        <w:pStyle w:val="Normal1"/>
        <w:spacing w:lineRule="auto" w:line="240"/>
        <w:ind w:hanging="0" w:left="2835"/>
        <w:jc w:val="both"/>
        <w:rPr>
          <w:lang w:val="pt-BR" w:eastAsia="zh-CN" w:bidi="hi-IN"/>
        </w:rPr>
      </w:pPr>
      <w:r>
        <w:rPr>
          <w:b/>
          <w:position w:val="0"/>
          <w:sz w:val="20"/>
          <w:sz w:val="20"/>
          <w:szCs w:val="20"/>
          <w:vertAlign w:val="baseline"/>
          <w:lang w:val="pt-BR" w:eastAsia="zh-CN" w:bidi="hi-IN"/>
        </w:rPr>
        <w:t>Palavras-chave</w:t>
      </w:r>
      <w:r>
        <w:rPr>
          <w:position w:val="0"/>
          <w:sz w:val="20"/>
          <w:sz w:val="20"/>
          <w:szCs w:val="20"/>
          <w:vertAlign w:val="baseline"/>
          <w:lang w:val="pt-BR" w:eastAsia="zh-CN" w:bidi="hi-IN"/>
        </w:rPr>
        <w:t xml:space="preserve">: </w:t>
      </w:r>
      <w:r>
        <w:rPr>
          <w:sz w:val="20"/>
          <w:szCs w:val="20"/>
          <w:lang w:val="pt-BR" w:eastAsia="zh-CN" w:bidi="hi-IN"/>
        </w:rPr>
        <w:t>Permanência Estudantil; Programa Pé-de-Meia; Ensino Médio Integrado.</w:t>
      </w:r>
    </w:p>
    <w:p>
      <w:pPr>
        <w:pStyle w:val="Normal1"/>
        <w:spacing w:lineRule="auto" w:line="240"/>
        <w:ind w:hanging="0" w:left="2835"/>
        <w:jc w:val="both"/>
        <w:rPr>
          <w:position w:val="0"/>
          <w:sz w:val="20"/>
          <w:sz w:val="20"/>
          <w:szCs w:val="20"/>
          <w:vertAlign w:val="baseline"/>
          <w:lang w:val="pt-BR" w:eastAsia="zh-CN" w:bidi="hi-IN"/>
        </w:rPr>
      </w:pPr>
      <w:r>
        <w:rPr>
          <w:position w:val="0"/>
          <w:sz w:val="20"/>
          <w:sz w:val="20"/>
          <w:szCs w:val="20"/>
          <w:vertAlign w:val="baseline"/>
          <w:lang w:val="pt-BR" w:eastAsia="zh-CN" w:bidi="hi-IN"/>
        </w:rPr>
      </w:r>
    </w:p>
    <w:p>
      <w:pPr>
        <w:pStyle w:val="Normal1"/>
        <w:spacing w:lineRule="auto" w:line="240"/>
        <w:ind w:hanging="0" w:left="2835"/>
        <w:jc w:val="both"/>
        <w:rPr>
          <w:lang w:val="pt-BR" w:eastAsia="zh-CN" w:bidi="hi-IN"/>
        </w:rPr>
      </w:pPr>
      <w:r>
        <w:rPr>
          <w:b/>
          <w:position w:val="0"/>
          <w:sz w:val="20"/>
          <w:sz w:val="20"/>
          <w:szCs w:val="20"/>
          <w:vertAlign w:val="baseline"/>
          <w:lang w:val="pt-BR" w:eastAsia="zh-CN" w:bidi="hi-IN"/>
        </w:rPr>
        <w:t>Abstract</w:t>
      </w:r>
    </w:p>
    <w:p>
      <w:pPr>
        <w:pStyle w:val="Normal1"/>
        <w:spacing w:lineRule="auto" w:line="240"/>
        <w:ind w:hanging="0" w:left="2835"/>
        <w:jc w:val="both"/>
        <w:rPr>
          <w:lang w:val="pt-BR" w:eastAsia="zh-CN" w:bidi="hi-IN"/>
        </w:rPr>
      </w:pPr>
      <w:r>
        <w:rPr>
          <w:sz w:val="20"/>
          <w:szCs w:val="20"/>
          <w:lang w:val="pt-BR" w:eastAsia="zh-CN" w:bidi="hi-IN"/>
        </w:rPr>
        <w:t>This article analyzes the implementation of the Pé-de-Meia Program at IFBA Campus Porto Seguro, highlighting its limitations and potential as a student retention policy in Integrated High School. The program provides financial support to low-income students to reduce dropout rates. Despite its contributions, it faces challenges such as restrictive eligibility criteria and operational difficulties. The local experience showed that student retention requires more than financial aid, being influenced by socioeconomic, structural, and emotional factors. The analysis reinforces the importance of aligning public policies and valuing public schools as spaces for support and social transformation. Further research is needed to deepen the debate on retention and inclusion in today’s educational context.</w:t>
      </w:r>
    </w:p>
    <w:p>
      <w:pPr>
        <w:pStyle w:val="Normal1"/>
        <w:spacing w:lineRule="auto" w:line="240"/>
        <w:ind w:hanging="0" w:left="2835"/>
        <w:jc w:val="both"/>
        <w:rPr>
          <w:lang w:val="pt-BR" w:eastAsia="zh-CN" w:bidi="hi-IN"/>
        </w:rPr>
      </w:pPr>
      <w:r>
        <w:rPr>
          <w:b/>
          <w:position w:val="0"/>
          <w:sz w:val="20"/>
          <w:sz w:val="20"/>
          <w:szCs w:val="20"/>
          <w:vertAlign w:val="baseline"/>
          <w:lang w:val="pt-BR" w:eastAsia="zh-CN" w:bidi="hi-IN"/>
        </w:rPr>
        <w:t>Keywords</w:t>
      </w:r>
      <w:r>
        <w:rPr>
          <w:position w:val="0"/>
          <w:sz w:val="20"/>
          <w:sz w:val="20"/>
          <w:szCs w:val="20"/>
          <w:vertAlign w:val="baseline"/>
          <w:lang w:val="pt-BR" w:eastAsia="zh-CN" w:bidi="hi-IN"/>
        </w:rPr>
        <w:t xml:space="preserve">: </w:t>
      </w:r>
      <w:r>
        <w:rPr>
          <w:sz w:val="20"/>
          <w:szCs w:val="20"/>
          <w:lang w:val="pt-BR" w:eastAsia="zh-CN" w:bidi="hi-IN"/>
        </w:rPr>
        <w:t>Student Retention; Pé-de-Meia Program;</w:t>
      </w:r>
      <w:r>
        <w:rPr>
          <w:position w:val="0"/>
          <w:sz w:val="20"/>
          <w:sz w:val="20"/>
          <w:szCs w:val="20"/>
          <w:vertAlign w:val="baseline"/>
          <w:lang w:val="pt-BR" w:eastAsia="zh-CN" w:bidi="hi-IN"/>
        </w:rPr>
        <w:t xml:space="preserve"> </w:t>
      </w:r>
      <w:r>
        <w:rPr>
          <w:sz w:val="20"/>
          <w:szCs w:val="20"/>
          <w:lang w:val="pt-BR" w:eastAsia="zh-CN" w:bidi="hi-IN"/>
        </w:rPr>
        <w:t>Integrated Secondary Education</w:t>
      </w:r>
    </w:p>
    <w:p>
      <w:pPr>
        <w:pStyle w:val="Normal1"/>
        <w:spacing w:lineRule="auto" w:line="240"/>
        <w:ind w:hanging="0" w:left="2835"/>
        <w:jc w:val="both"/>
        <w:rPr>
          <w:position w:val="0"/>
          <w:sz w:val="24"/>
          <w:sz w:val="24"/>
          <w:szCs w:val="24"/>
          <w:vertAlign w:val="baseline"/>
          <w:lang w:val="pt-BR" w:eastAsia="zh-CN" w:bidi="hi-IN"/>
        </w:rPr>
      </w:pPr>
      <w:r>
        <w:rPr>
          <w:position w:val="0"/>
          <w:sz w:val="24"/>
          <w:sz w:val="24"/>
          <w:szCs w:val="24"/>
          <w:vertAlign w:val="baseline"/>
          <w:lang w:val="pt-BR" w:eastAsia="zh-CN" w:bidi="hi-IN"/>
        </w:rPr>
      </w:r>
    </w:p>
    <w:p>
      <w:pPr>
        <w:pStyle w:val="Normal1"/>
        <w:spacing w:lineRule="auto" w:line="360"/>
        <w:rPr>
          <w:lang w:val="pt-BR" w:eastAsia="zh-CN" w:bidi="hi-IN"/>
        </w:rPr>
      </w:pPr>
      <w:r>
        <w:rPr>
          <w:b/>
          <w:position w:val="0"/>
          <w:sz w:val="24"/>
          <w:sz w:val="24"/>
          <w:szCs w:val="24"/>
          <w:vertAlign w:val="baseline"/>
          <w:lang w:val="pt-BR" w:eastAsia="zh-CN" w:bidi="hi-IN"/>
        </w:rPr>
        <w:t>1</w:t>
        <w:tab/>
        <w:t>INTRODUÇÃO</w:t>
      </w:r>
    </w:p>
    <w:p>
      <w:pPr>
        <w:pStyle w:val="Normal1"/>
        <w:spacing w:lineRule="auto" w:line="360"/>
        <w:rPr>
          <w:lang w:val="pt-BR" w:eastAsia="zh-CN" w:bidi="hi-IN"/>
        </w:rPr>
      </w:pPr>
      <w:r>
        <w:rPr>
          <w:lang w:val="pt-BR" w:eastAsia="zh-CN" w:bidi="hi-IN"/>
        </w:rPr>
      </w:r>
    </w:p>
    <w:p>
      <w:pPr>
        <w:pStyle w:val="Normal1"/>
        <w:widowControl/>
        <w:suppressAutoHyphens w:val="true"/>
        <w:bidi w:val="0"/>
        <w:spacing w:lineRule="auto" w:line="360" w:before="0" w:after="0"/>
        <w:ind w:firstLine="737" w:left="0" w:right="0"/>
        <w:jc w:val="both"/>
        <w:rPr>
          <w:lang w:val="pt-BR" w:eastAsia="zh-CN" w:bidi="hi-IN"/>
        </w:rPr>
      </w:pPr>
      <w:r>
        <w:rPr>
          <w:position w:val="0"/>
          <w:sz w:val="24"/>
          <w:sz w:val="24"/>
          <w:szCs w:val="24"/>
          <w:vertAlign w:val="baseline"/>
          <w:lang w:val="pt-BR" w:eastAsia="zh-CN" w:bidi="hi-IN"/>
        </w:rPr>
        <w:t xml:space="preserve">Análises e problematizações sobre a permanência estudantil constitui tema recorrente nas instituições de ensino </w:t>
      </w:r>
      <w:r>
        <w:rPr>
          <w:sz w:val="24"/>
          <w:szCs w:val="24"/>
          <w:lang w:val="pt-BR" w:eastAsia="zh-CN" w:bidi="hi-IN"/>
        </w:rPr>
        <w:t xml:space="preserve">da rede </w:t>
      </w:r>
      <w:r>
        <w:rPr>
          <w:position w:val="0"/>
          <w:sz w:val="24"/>
          <w:sz w:val="24"/>
          <w:szCs w:val="24"/>
          <w:vertAlign w:val="baseline"/>
          <w:lang w:val="pt-BR" w:eastAsia="zh-CN" w:bidi="hi-IN"/>
        </w:rPr>
        <w:t>federa</w:t>
      </w:r>
      <w:r>
        <w:rPr>
          <w:sz w:val="24"/>
          <w:szCs w:val="24"/>
          <w:lang w:val="pt-BR" w:eastAsia="zh-CN" w:bidi="hi-IN"/>
        </w:rPr>
        <w:t>l</w:t>
      </w:r>
      <w:r>
        <w:rPr>
          <w:position w:val="0"/>
          <w:sz w:val="24"/>
          <w:sz w:val="24"/>
          <w:szCs w:val="24"/>
          <w:vertAlign w:val="baseline"/>
          <w:lang w:val="pt-BR" w:eastAsia="zh-CN" w:bidi="hi-IN"/>
        </w:rPr>
        <w:t>, tanto na educação básica como no ensin</w:t>
      </w:r>
      <w:r>
        <w:rPr>
          <w:sz w:val="24"/>
          <w:szCs w:val="24"/>
          <w:lang w:val="pt-BR" w:eastAsia="zh-CN" w:bidi="hi-IN"/>
        </w:rPr>
        <w:t>o</w:t>
      </w:r>
      <w:r>
        <w:rPr>
          <w:position w:val="0"/>
          <w:sz w:val="24"/>
          <w:sz w:val="24"/>
          <w:szCs w:val="24"/>
          <w:vertAlign w:val="baseline"/>
          <w:lang w:val="pt-BR" w:eastAsia="zh-CN" w:bidi="hi-IN"/>
        </w:rPr>
        <w:t xml:space="preserve"> superior (Prada, 2022</w:t>
      </w:r>
      <w:r>
        <w:rPr>
          <w:sz w:val="24"/>
          <w:szCs w:val="24"/>
          <w:lang w:val="pt-BR" w:eastAsia="zh-CN" w:bidi="hi-IN"/>
        </w:rPr>
        <w:t>;</w:t>
      </w:r>
      <w:r>
        <w:rPr>
          <w:position w:val="0"/>
          <w:sz w:val="24"/>
          <w:sz w:val="24"/>
          <w:szCs w:val="24"/>
          <w:vertAlign w:val="baseline"/>
          <w:lang w:val="pt-BR" w:eastAsia="zh-CN" w:bidi="hi-IN"/>
        </w:rPr>
        <w:t xml:space="preserve"> G</w:t>
      </w:r>
      <w:r>
        <w:rPr>
          <w:sz w:val="24"/>
          <w:szCs w:val="24"/>
          <w:lang w:val="pt-BR" w:eastAsia="zh-CN" w:bidi="hi-IN"/>
        </w:rPr>
        <w:t>ó</w:t>
      </w:r>
      <w:r>
        <w:rPr>
          <w:position w:val="0"/>
          <w:sz w:val="24"/>
          <w:sz w:val="24"/>
          <w:szCs w:val="24"/>
          <w:vertAlign w:val="baseline"/>
          <w:lang w:val="pt-BR" w:eastAsia="zh-CN" w:bidi="hi-IN"/>
        </w:rPr>
        <w:t>is, 20</w:t>
      </w:r>
      <w:r>
        <w:rPr>
          <w:sz w:val="24"/>
          <w:szCs w:val="24"/>
          <w:lang w:val="pt-BR" w:eastAsia="zh-CN" w:bidi="hi-IN"/>
        </w:rPr>
        <w:t>20</w:t>
      </w:r>
      <w:r>
        <w:rPr>
          <w:position w:val="0"/>
          <w:sz w:val="24"/>
          <w:sz w:val="24"/>
          <w:szCs w:val="24"/>
          <w:vertAlign w:val="baseline"/>
          <w:lang w:val="pt-BR" w:eastAsia="zh-CN" w:bidi="hi-IN"/>
        </w:rPr>
        <w:t>; Daros, 2014; Duarte, 2019; Machado, 2016).</w:t>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Como parte dessa rede, os Institutos Federais (IFs), pertencentes à Rede Federal de Educação, Ciência e Tecnologia, ofertam cursos de diferentes formas e modalidades, da educação básica à pós-graduação. Na educação básica, </w:t>
      </w:r>
      <w:r>
        <w:rPr>
          <w:sz w:val="24"/>
          <w:szCs w:val="24"/>
          <w:lang w:val="pt-BR" w:eastAsia="zh-CN" w:bidi="hi-IN"/>
        </w:rPr>
        <w:t>o</w:t>
      </w:r>
      <w:r>
        <w:rPr>
          <w:position w:val="0"/>
          <w:sz w:val="24"/>
          <w:sz w:val="24"/>
          <w:szCs w:val="24"/>
          <w:vertAlign w:val="baseline"/>
          <w:lang w:val="pt-BR" w:eastAsia="zh-CN" w:bidi="hi-IN"/>
        </w:rPr>
        <w:t>s I</w:t>
      </w:r>
      <w:r>
        <w:rPr>
          <w:sz w:val="24"/>
          <w:szCs w:val="24"/>
          <w:lang w:val="pt-BR" w:eastAsia="zh-CN" w:bidi="hi-IN"/>
        </w:rPr>
        <w:t>Fs</w:t>
      </w:r>
      <w:r>
        <w:rPr>
          <w:position w:val="0"/>
          <w:sz w:val="24"/>
          <w:sz w:val="24"/>
          <w:szCs w:val="24"/>
          <w:vertAlign w:val="baseline"/>
          <w:lang w:val="pt-BR" w:eastAsia="zh-CN" w:bidi="hi-IN"/>
        </w:rPr>
        <w:t xml:space="preserve"> foram selecionados para dar início à implementação do projeto piloto do </w:t>
      </w:r>
      <w:r>
        <w:rPr>
          <w:sz w:val="24"/>
          <w:szCs w:val="24"/>
          <w:lang w:val="pt-BR" w:eastAsia="zh-CN" w:bidi="hi-IN"/>
        </w:rPr>
        <w:t>P</w:t>
      </w:r>
      <w:r>
        <w:rPr>
          <w:position w:val="0"/>
          <w:sz w:val="24"/>
          <w:sz w:val="24"/>
          <w:szCs w:val="24"/>
          <w:vertAlign w:val="baseline"/>
          <w:lang w:val="pt-BR" w:eastAsia="zh-CN" w:bidi="hi-IN"/>
        </w:rPr>
        <w:t xml:space="preserve">rograma Pé-de-Meia, com a finalidade principal de minimizar a retenção e evasão no Ensino Médio, </w:t>
      </w:r>
      <w:r>
        <w:rPr>
          <w:sz w:val="24"/>
          <w:szCs w:val="24"/>
          <w:lang w:val="pt-BR" w:eastAsia="zh-CN" w:bidi="hi-IN"/>
        </w:rPr>
        <w:t>tendo como o público-alvo</w:t>
      </w:r>
      <w:r>
        <w:rPr>
          <w:position w:val="0"/>
          <w:sz w:val="24"/>
          <w:sz w:val="24"/>
          <w:szCs w:val="24"/>
          <w:vertAlign w:val="baseline"/>
          <w:lang w:val="pt-BR" w:eastAsia="zh-CN" w:bidi="hi-IN"/>
        </w:rPr>
        <w:t xml:space="preserve"> os estudantes da Educação Profissional Integrada ao Ensino Médio e da Educação de Jovens de Adultos matriculados n</w:t>
      </w:r>
      <w:r>
        <w:rPr>
          <w:sz w:val="24"/>
          <w:szCs w:val="24"/>
          <w:lang w:val="pt-BR" w:eastAsia="zh-CN" w:bidi="hi-IN"/>
        </w:rPr>
        <w:t>essas instituições, com idade entre 14 e 24 anos, pertencentes a famílias registradas no Cadastro Único para Programas Sociais do Governo Federal (CadÚnico)</w:t>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O </w:t>
      </w:r>
      <w:r>
        <w:rPr>
          <w:i/>
          <w:sz w:val="24"/>
          <w:szCs w:val="24"/>
          <w:lang w:val="pt-BR" w:eastAsia="zh-CN" w:bidi="hi-IN"/>
        </w:rPr>
        <w:t xml:space="preserve">Campus </w:t>
      </w:r>
      <w:r>
        <w:rPr>
          <w:sz w:val="24"/>
          <w:szCs w:val="24"/>
          <w:lang w:val="pt-BR" w:eastAsia="zh-CN" w:bidi="hi-IN"/>
        </w:rPr>
        <w:t>Porto Seguro</w:t>
      </w:r>
      <w:r>
        <w:rPr>
          <w:position w:val="0"/>
          <w:sz w:val="24"/>
          <w:sz w:val="24"/>
          <w:szCs w:val="24"/>
          <w:vertAlign w:val="baseline"/>
          <w:lang w:val="pt-BR" w:eastAsia="zh-CN" w:bidi="hi-IN"/>
        </w:rPr>
        <w:t xml:space="preserve"> do Instituto Federal de Educação, Ciência e Tecnologia da Bahia (IFBA) oferece três cursos de Ensino Médio na forma Integrada, em que discentes são atendidos pelo Programa Pé-de-Meia: Os curso</w:t>
      </w:r>
      <w:r>
        <w:rPr>
          <w:sz w:val="24"/>
          <w:szCs w:val="24"/>
          <w:lang w:val="pt-BR" w:eastAsia="zh-CN" w:bidi="hi-IN"/>
        </w:rPr>
        <w:t>s</w:t>
      </w:r>
      <w:r>
        <w:rPr>
          <w:position w:val="0"/>
          <w:sz w:val="24"/>
          <w:sz w:val="24"/>
          <w:szCs w:val="24"/>
          <w:vertAlign w:val="baseline"/>
          <w:lang w:val="pt-BR" w:eastAsia="zh-CN" w:bidi="hi-IN"/>
        </w:rPr>
        <w:t xml:space="preserve"> Técnico em Alimentos, Técnico em Biocombustíveis e Técnico em Informática, todos com duração de 4 anos, </w:t>
      </w:r>
      <w:r>
        <w:rPr>
          <w:sz w:val="24"/>
          <w:szCs w:val="24"/>
          <w:lang w:val="pt-BR" w:eastAsia="zh-CN" w:bidi="hi-IN"/>
        </w:rPr>
        <w:t>nos quais</w:t>
      </w:r>
      <w:r>
        <w:rPr>
          <w:position w:val="0"/>
          <w:sz w:val="24"/>
          <w:sz w:val="24"/>
          <w:szCs w:val="24"/>
          <w:vertAlign w:val="baseline"/>
          <w:lang w:val="pt-BR" w:eastAsia="zh-CN" w:bidi="hi-IN"/>
        </w:rPr>
        <w:t xml:space="preserve"> os discentes chegam na etapa final do curso já na fase adulta.</w:t>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O objetivo deste trabalho é </w:t>
      </w:r>
      <w:r>
        <w:rPr>
          <w:sz w:val="24"/>
          <w:szCs w:val="24"/>
          <w:lang w:val="pt-BR" w:eastAsia="zh-CN" w:bidi="hi-IN"/>
        </w:rPr>
        <w:t>analisar a implementação do Programa Pé-de-Meia no IFBA Campus Porto Seguro, identificando seus limites e potencialidades como política de permanência estudantil no Ensino Médio Integrado, à luz das desigualdades socioeconômicas e dos desafios estruturais enfrentados pelos estudantes da Educação Profissional.</w:t>
      </w:r>
      <w:r>
        <w:rPr>
          <w:position w:val="0"/>
          <w:sz w:val="24"/>
          <w:sz w:val="24"/>
          <w:szCs w:val="24"/>
          <w:vertAlign w:val="baseline"/>
          <w:lang w:val="pt-BR" w:eastAsia="zh-CN" w:bidi="hi-IN"/>
        </w:rPr>
        <w:t xml:space="preserve"> Para o MEC, o abandono e evasão </w:t>
      </w:r>
      <w:r>
        <w:rPr>
          <w:sz w:val="24"/>
          <w:szCs w:val="24"/>
          <w:lang w:val="pt-BR" w:eastAsia="zh-CN" w:bidi="hi-IN"/>
        </w:rPr>
        <w:t>c</w:t>
      </w:r>
      <w:r>
        <w:rPr>
          <w:position w:val="0"/>
          <w:sz w:val="24"/>
          <w:sz w:val="24"/>
          <w:szCs w:val="24"/>
          <w:vertAlign w:val="baseline"/>
          <w:lang w:val="pt-BR" w:eastAsia="zh-CN" w:bidi="hi-IN"/>
        </w:rPr>
        <w:t>onstitu</w:t>
      </w:r>
      <w:r>
        <w:rPr>
          <w:sz w:val="24"/>
          <w:szCs w:val="24"/>
          <w:lang w:val="pt-BR" w:eastAsia="zh-CN" w:bidi="hi-IN"/>
        </w:rPr>
        <w:t>em</w:t>
      </w:r>
      <w:r>
        <w:rPr>
          <w:position w:val="0"/>
          <w:sz w:val="24"/>
          <w:sz w:val="24"/>
          <w:szCs w:val="24"/>
          <w:vertAlign w:val="baseline"/>
          <w:lang w:val="pt-BR" w:eastAsia="zh-CN" w:bidi="hi-IN"/>
        </w:rPr>
        <w:t xml:space="preserve"> problemas persistentes no Ensino Médio e que repercutem diretamente nas taxas de ingresso no ensino superior (Brasil, 2014). Para isso, faremos uma análise documental sobre os dados do programa</w:t>
      </w:r>
      <w:r>
        <w:rPr>
          <w:sz w:val="24"/>
          <w:szCs w:val="24"/>
          <w:lang w:val="pt-BR" w:eastAsia="zh-CN" w:bidi="hi-IN"/>
        </w:rPr>
        <w:t xml:space="preserve"> e observação participante sobre sua execução.</w:t>
      </w:r>
    </w:p>
    <w:p>
      <w:pPr>
        <w:pStyle w:val="Normal1"/>
        <w:spacing w:lineRule="auto" w:line="360"/>
        <w:jc w:val="both"/>
        <w:rPr>
          <w:position w:val="0"/>
          <w:sz w:val="24"/>
          <w:sz w:val="24"/>
          <w:szCs w:val="24"/>
          <w:vertAlign w:val="baseline"/>
          <w:lang w:val="pt-BR" w:eastAsia="zh-CN" w:bidi="hi-IN"/>
        </w:rPr>
      </w:pPr>
      <w:r>
        <w:rPr>
          <w:position w:val="0"/>
          <w:sz w:val="24"/>
          <w:sz w:val="24"/>
          <w:szCs w:val="24"/>
          <w:vertAlign w:val="baseline"/>
          <w:lang w:val="pt-BR" w:eastAsia="zh-CN" w:bidi="hi-IN"/>
        </w:rPr>
      </w:r>
    </w:p>
    <w:p>
      <w:pPr>
        <w:pStyle w:val="Normal1"/>
        <w:spacing w:lineRule="auto" w:line="360"/>
        <w:jc w:val="both"/>
        <w:rPr>
          <w:lang w:val="pt-BR" w:eastAsia="zh-CN" w:bidi="hi-IN"/>
        </w:rPr>
      </w:pPr>
      <w:r>
        <w:rPr>
          <w:b/>
          <w:sz w:val="24"/>
          <w:szCs w:val="24"/>
          <w:lang w:val="pt-BR" w:eastAsia="zh-CN" w:bidi="hi-IN"/>
        </w:rPr>
        <w:t xml:space="preserve">2. </w:t>
        <w:tab/>
        <w:t xml:space="preserve">LIMITES E POTENCIALIDADES DO PÉ DE MEIA: UMA ANÁLISE A PARTIR DA PRÁXIS PROFISSIONAL NO IFBA </w:t>
      </w:r>
      <w:r>
        <w:rPr>
          <w:b/>
          <w:i/>
          <w:sz w:val="24"/>
          <w:szCs w:val="24"/>
          <w:lang w:val="pt-BR" w:eastAsia="zh-CN" w:bidi="hi-IN"/>
        </w:rPr>
        <w:t>CAMPUS</w:t>
      </w:r>
      <w:r>
        <w:rPr>
          <w:b/>
          <w:sz w:val="24"/>
          <w:szCs w:val="24"/>
          <w:lang w:val="pt-BR" w:eastAsia="zh-CN" w:bidi="hi-IN"/>
        </w:rPr>
        <w:t xml:space="preserve"> PORTO SEGURO</w:t>
      </w:r>
    </w:p>
    <w:p>
      <w:pPr>
        <w:pStyle w:val="Normal1"/>
        <w:spacing w:lineRule="auto" w:line="360"/>
        <w:ind w:firstLine="720"/>
        <w:jc w:val="both"/>
        <w:rPr>
          <w:sz w:val="24"/>
          <w:szCs w:val="24"/>
          <w:lang w:val="pt-BR" w:eastAsia="zh-CN" w:bidi="hi-IN"/>
        </w:rPr>
      </w:pPr>
      <w:r>
        <w:rPr>
          <w:sz w:val="24"/>
          <w:szCs w:val="24"/>
          <w:lang w:val="pt-BR" w:eastAsia="zh-CN" w:bidi="hi-IN"/>
        </w:rPr>
      </w:r>
    </w:p>
    <w:p>
      <w:pPr>
        <w:pStyle w:val="Normal1"/>
        <w:spacing w:lineRule="auto" w:line="360"/>
        <w:ind w:firstLine="720"/>
        <w:jc w:val="both"/>
        <w:rPr>
          <w:lang w:val="pt-BR" w:eastAsia="zh-CN" w:bidi="hi-IN"/>
        </w:rPr>
      </w:pPr>
      <w:r>
        <w:rPr>
          <w:sz w:val="24"/>
          <w:szCs w:val="24"/>
          <w:lang w:val="pt-BR" w:eastAsia="zh-CN" w:bidi="hi-IN"/>
        </w:rPr>
        <w:t>O programa Pé-de-Meia foi regulamentado, instituindo a chamada "poupança de incentivo à permanência e conclusão escolar para estudantes do ensino médio" (B</w:t>
      </w:r>
      <w:r>
        <w:rPr>
          <w:sz w:val="24"/>
          <w:szCs w:val="24"/>
          <w:lang w:val="pt-BR" w:eastAsia="zh-CN" w:bidi="hi-IN"/>
        </w:rPr>
        <w:t>rasil</w:t>
      </w:r>
      <w:r>
        <w:rPr>
          <w:sz w:val="24"/>
          <w:szCs w:val="24"/>
          <w:lang w:val="pt-BR" w:eastAsia="zh-CN" w:bidi="hi-IN"/>
        </w:rPr>
        <w:t xml:space="preserve">, 2023, p. 01), </w:t>
      </w:r>
      <w:r>
        <w:rPr>
          <w:position w:val="0"/>
          <w:sz w:val="24"/>
          <w:sz w:val="24"/>
          <w:szCs w:val="24"/>
          <w:vertAlign w:val="baseline"/>
          <w:lang w:val="pt-BR" w:eastAsia="zh-CN" w:bidi="hi-IN"/>
        </w:rPr>
        <w:t>com o objetivo de</w:t>
      </w:r>
    </w:p>
    <w:p>
      <w:pPr>
        <w:pStyle w:val="Normal1"/>
        <w:spacing w:lineRule="auto" w:line="240"/>
        <w:ind w:hanging="0" w:left="2267"/>
        <w:jc w:val="both"/>
        <w:rPr>
          <w:lang w:val="pt-BR" w:eastAsia="zh-CN" w:bidi="hi-IN"/>
        </w:rPr>
      </w:pPr>
      <w:r>
        <w:rPr>
          <w:position w:val="0"/>
          <w:sz w:val="20"/>
          <w:sz w:val="20"/>
          <w:szCs w:val="20"/>
          <w:vertAlign w:val="baseline"/>
          <w:lang w:val="pt-BR" w:eastAsia="zh-CN" w:bidi="hi-IN"/>
        </w:rPr>
        <w:t>democratizar o acesso e a permanência dos jovens no ensino médio; mitigar os efeitos das desigualdades sociais, raciais e de gênero na permanência e conclusão do ensino médio; reduzir as taxas de retenção, abandono e evasão escolar; contribuir para a promoção da inclusão social pela educação; e estimular a mobilidade social (Brasil, p. 01, 2024)</w:t>
      </w:r>
    </w:p>
    <w:p>
      <w:pPr>
        <w:pStyle w:val="Normal1"/>
        <w:spacing w:lineRule="auto" w:line="240"/>
        <w:ind w:hanging="0" w:left="2267"/>
        <w:jc w:val="both"/>
        <w:rPr>
          <w:sz w:val="20"/>
          <w:szCs w:val="20"/>
          <w:lang w:val="pt-BR" w:eastAsia="zh-CN" w:bidi="hi-IN"/>
        </w:rPr>
      </w:pPr>
      <w:r>
        <w:rPr>
          <w:sz w:val="20"/>
          <w:szCs w:val="20"/>
          <w:lang w:val="pt-BR" w:eastAsia="zh-CN" w:bidi="hi-IN"/>
        </w:rPr>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A finalidade do Programa fortalece a concepção da educação como direito social, conquista garantida na Constituição Federal de 1988, mas que em tempos neoliberais, se tornou um campo de intensa exploração do capital e disputas a partir de sua transformação em mercadoria </w:t>
      </w:r>
    </w:p>
    <w:p>
      <w:pPr>
        <w:pStyle w:val="Normal1"/>
        <w:spacing w:lineRule="auto" w:line="360"/>
        <w:ind w:firstLine="720"/>
        <w:jc w:val="both"/>
        <w:rPr>
          <w:lang w:val="pt-BR" w:eastAsia="zh-CN" w:bidi="hi-IN"/>
        </w:rPr>
      </w:pPr>
      <w:r>
        <w:rPr>
          <w:sz w:val="24"/>
          <w:szCs w:val="24"/>
          <w:lang w:val="pt-BR" w:eastAsia="zh-CN" w:bidi="hi-IN"/>
        </w:rPr>
        <w:t>O Programa tem como finalidade reforçar a concepção da educação como um direito social, assegurado pela Constituição Federal de 1988. No entanto, em contextos neoliberais, esse direito tem sido constantemente ameaçado, tornando-se um campo de intensa exploração do capital e de disputas que buscam transformá-lo em uma mercadoria rentável.</w:t>
      </w:r>
    </w:p>
    <w:p>
      <w:pPr>
        <w:pStyle w:val="Normal1"/>
        <w:spacing w:lineRule="auto" w:line="360"/>
        <w:ind w:firstLine="720"/>
        <w:jc w:val="both"/>
        <w:rPr>
          <w:lang w:val="pt-BR" w:eastAsia="zh-CN" w:bidi="hi-IN"/>
        </w:rPr>
      </w:pPr>
      <w:r>
        <w:rPr>
          <w:sz w:val="24"/>
          <w:szCs w:val="24"/>
          <w:lang w:val="pt-BR" w:eastAsia="zh-CN" w:bidi="hi-IN"/>
        </w:rPr>
        <w:t>Para alcançar seus objetivos, o Pé-de-Meia prevê o apoio financeiro mensal de R$ 200,00 durante o percurso escolar e R$ 1.000,00 por sua aprovação a cada ano — esses valores acumulados das aprovações só podem ser sacados após a conclusão do ensino médio. Dessa forma, o programa combina um repasse mensal direto à conta do estudante com a constituição de uma reserva financeira a ser acessada ao final da etapa educacional (Brasil, 2024).</w:t>
      </w:r>
    </w:p>
    <w:p>
      <w:pPr>
        <w:pStyle w:val="Normal1"/>
        <w:spacing w:lineRule="auto" w:line="360"/>
        <w:ind w:firstLine="720"/>
        <w:jc w:val="both"/>
        <w:rPr>
          <w:lang w:val="pt-BR" w:eastAsia="zh-CN" w:bidi="hi-IN"/>
        </w:rPr>
      </w:pPr>
      <w:r>
        <w:rPr>
          <w:sz w:val="24"/>
          <w:szCs w:val="24"/>
          <w:lang w:val="pt-BR" w:eastAsia="zh-CN" w:bidi="hi-IN"/>
        </w:rPr>
        <w:t>Com isso, compreende-se que o apoio financeiro mensal busca enfrentar o abandono e a evasão escolar, reduzindo a pressão para que jovens de famílias pobres da classe trabalhadora deixem os estudos para ingressar precocemente no mercado de trabalho, visando contribuir na manutenção das despesas familiares.</w:t>
      </w:r>
    </w:p>
    <w:p>
      <w:pPr>
        <w:pStyle w:val="Normal1"/>
        <w:spacing w:lineRule="auto" w:line="360"/>
        <w:ind w:firstLine="720"/>
        <w:jc w:val="both"/>
        <w:rPr>
          <w:sz w:val="24"/>
          <w:szCs w:val="24"/>
          <w:lang w:val="pt-BR" w:eastAsia="zh-CN" w:bidi="hi-IN"/>
        </w:rPr>
      </w:pPr>
      <w:r>
        <w:rPr>
          <w:sz w:val="24"/>
          <w:szCs w:val="24"/>
          <w:lang w:val="pt-BR" w:eastAsia="zh-CN" w:bidi="hi-IN"/>
        </w:rPr>
      </w:r>
    </w:p>
    <w:p>
      <w:pPr>
        <w:pStyle w:val="Normal1"/>
        <w:spacing w:lineRule="auto" w:line="360"/>
        <w:jc w:val="both"/>
        <w:rPr>
          <w:lang w:val="pt-BR" w:eastAsia="zh-CN" w:bidi="hi-IN"/>
        </w:rPr>
      </w:pPr>
      <w:r>
        <w:rPr>
          <w:b/>
          <w:sz w:val="24"/>
          <w:szCs w:val="24"/>
          <w:lang w:val="pt-BR" w:eastAsia="zh-CN" w:bidi="hi-IN"/>
        </w:rPr>
        <w:t>2</w:t>
      </w:r>
      <w:r>
        <w:rPr>
          <w:b/>
          <w:position w:val="0"/>
          <w:sz w:val="24"/>
          <w:sz w:val="24"/>
          <w:szCs w:val="24"/>
          <w:vertAlign w:val="baseline"/>
          <w:lang w:val="pt-BR" w:eastAsia="zh-CN" w:bidi="hi-IN"/>
        </w:rPr>
        <w:t xml:space="preserve">.1 </w:t>
        <w:tab/>
        <w:t>Pé-de-meia e os diferentes atores sociais</w:t>
      </w:r>
    </w:p>
    <w:p>
      <w:pPr>
        <w:pStyle w:val="Normal1"/>
        <w:spacing w:lineRule="auto" w:line="360"/>
        <w:jc w:val="both"/>
        <w:rPr>
          <w:sz w:val="24"/>
          <w:szCs w:val="24"/>
          <w:lang w:val="pt-BR" w:eastAsia="zh-CN" w:bidi="hi-IN"/>
        </w:rPr>
      </w:pPr>
      <w:r>
        <w:rPr>
          <w:sz w:val="24"/>
          <w:szCs w:val="24"/>
          <w:lang w:val="pt-BR" w:eastAsia="zh-CN" w:bidi="hi-IN"/>
        </w:rPr>
      </w:r>
    </w:p>
    <w:p>
      <w:pPr>
        <w:pStyle w:val="Normal1"/>
        <w:spacing w:lineRule="auto" w:line="360"/>
        <w:ind w:firstLine="720"/>
        <w:jc w:val="both"/>
        <w:rPr>
          <w:lang w:val="pt-BR" w:eastAsia="zh-CN" w:bidi="hi-IN"/>
        </w:rPr>
      </w:pPr>
      <w:r>
        <w:rPr>
          <w:sz w:val="24"/>
          <w:szCs w:val="24"/>
          <w:lang w:val="pt-BR" w:eastAsia="zh-CN" w:bidi="hi-IN"/>
        </w:rPr>
        <w:t>Em 2024, primeiro ano de funcionamento do programa, o</w:t>
      </w:r>
      <w:r>
        <w:rPr>
          <w:position w:val="0"/>
          <w:sz w:val="24"/>
          <w:sz w:val="24"/>
          <w:szCs w:val="24"/>
          <w:vertAlign w:val="baseline"/>
          <w:lang w:val="pt-BR" w:eastAsia="zh-CN" w:bidi="hi-IN"/>
        </w:rPr>
        <w:t xml:space="preserve"> Pé-de-Meia atendeu mais de três milhões de estudantes em todo Brasil. </w:t>
      </w:r>
      <w:r>
        <w:rPr>
          <w:sz w:val="24"/>
          <w:szCs w:val="24"/>
          <w:lang w:val="pt-BR" w:eastAsia="zh-CN" w:bidi="hi-IN"/>
        </w:rPr>
        <w:t>P</w:t>
      </w:r>
      <w:r>
        <w:rPr>
          <w:position w:val="0"/>
          <w:sz w:val="24"/>
          <w:sz w:val="24"/>
          <w:szCs w:val="24"/>
          <w:vertAlign w:val="baseline"/>
          <w:lang w:val="pt-BR" w:eastAsia="zh-CN" w:bidi="hi-IN"/>
        </w:rPr>
        <w:t>ara sua operacionalização, foi necessário o envolvimento de outras instituições e Ministérios vinculados à política de educação (Brasil, 2024).</w:t>
        <w:tab/>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Dessa maneira, houve a articulação entre os Ministérios da Fazenda </w:t>
      </w:r>
      <w:r>
        <w:rPr>
          <w:sz w:val="24"/>
          <w:szCs w:val="24"/>
          <w:lang w:val="pt-BR" w:eastAsia="zh-CN" w:bidi="hi-IN"/>
        </w:rPr>
        <w:t>e</w:t>
      </w:r>
      <w:r>
        <w:rPr>
          <w:position w:val="0"/>
          <w:sz w:val="24"/>
          <w:sz w:val="24"/>
          <w:szCs w:val="24"/>
          <w:vertAlign w:val="baseline"/>
          <w:lang w:val="pt-BR" w:eastAsia="zh-CN" w:bidi="hi-IN"/>
        </w:rPr>
        <w:t xml:space="preserve"> do Desenvolvimento Social em parceria com as Universidades Federa</w:t>
      </w:r>
      <w:r>
        <w:rPr>
          <w:sz w:val="24"/>
          <w:szCs w:val="24"/>
          <w:lang w:val="pt-BR" w:eastAsia="zh-CN" w:bidi="hi-IN"/>
        </w:rPr>
        <w:t>is</w:t>
      </w:r>
      <w:r>
        <w:rPr>
          <w:position w:val="0"/>
          <w:sz w:val="24"/>
          <w:sz w:val="24"/>
          <w:szCs w:val="24"/>
          <w:vertAlign w:val="baseline"/>
          <w:lang w:val="pt-BR" w:eastAsia="zh-CN" w:bidi="hi-IN"/>
        </w:rPr>
        <w:t xml:space="preserve"> de Alagoas e de Santa Catarina </w:t>
      </w:r>
      <w:r>
        <w:rPr>
          <w:sz w:val="24"/>
          <w:szCs w:val="24"/>
          <w:lang w:val="pt-BR" w:eastAsia="zh-CN" w:bidi="hi-IN"/>
        </w:rPr>
        <w:t>— estas últimas responsáveis pela informatização do processo, com o desenvolvimento do Sistema Gestão Presente, que monitora a frequência dos estudantes, e do aplicativo Jornada do Estudante, por meio do qual é possível acompanhar a situação no programa e verificar a elegibilidade para o recebimento dos valores do Pé-de-Meia. A Caixa Econômica também participou, realizando a abertura das contas digitais dos beneficiários.</w:t>
      </w:r>
    </w:p>
    <w:p>
      <w:pPr>
        <w:pStyle w:val="Normal1"/>
        <w:spacing w:lineRule="auto" w:line="360"/>
        <w:ind w:firstLine="720"/>
        <w:jc w:val="both"/>
        <w:rPr>
          <w:lang w:val="pt-BR" w:eastAsia="zh-CN" w:bidi="hi-IN"/>
        </w:rPr>
      </w:pPr>
      <w:r>
        <w:rPr>
          <w:sz w:val="24"/>
          <w:szCs w:val="24"/>
          <w:lang w:val="pt-BR" w:eastAsia="zh-CN" w:bidi="hi-IN"/>
        </w:rPr>
        <w:t>De forma contraditória, o Pé-de-Meia é um programa vinculado à Educação — um direito universal garantido a todos —, mas adota características típicas da Política de Assistência Social, ao ser focalizado e seletivo. Assim, embora muitos estudantes dependam do apoio financeiro, acabam ficando de fora do programa devido aos critérios restritivos de seleção, mesmo no âmbito de uma política que deveria ser universal.</w:t>
      </w:r>
    </w:p>
    <w:p>
      <w:pPr>
        <w:pStyle w:val="Normal1"/>
        <w:spacing w:lineRule="auto" w:line="360"/>
        <w:ind w:firstLine="720"/>
        <w:jc w:val="both"/>
        <w:rPr>
          <w:sz w:val="24"/>
          <w:szCs w:val="24"/>
          <w:lang w:val="pt-BR" w:eastAsia="zh-CN" w:bidi="hi-IN"/>
        </w:rPr>
      </w:pPr>
      <w:r>
        <w:rPr>
          <w:sz w:val="24"/>
          <w:szCs w:val="24"/>
          <w:lang w:val="pt-BR" w:eastAsia="zh-CN" w:bidi="hi-IN"/>
        </w:rPr>
      </w:r>
    </w:p>
    <w:p>
      <w:pPr>
        <w:pStyle w:val="Normal1"/>
        <w:spacing w:lineRule="auto" w:line="360"/>
        <w:jc w:val="both"/>
        <w:rPr>
          <w:lang w:val="pt-BR" w:eastAsia="zh-CN" w:bidi="hi-IN"/>
        </w:rPr>
      </w:pPr>
      <w:r>
        <w:rPr>
          <w:b/>
          <w:sz w:val="24"/>
          <w:szCs w:val="24"/>
          <w:lang w:val="pt-BR" w:eastAsia="zh-CN" w:bidi="hi-IN"/>
        </w:rPr>
        <w:t>2</w:t>
      </w:r>
      <w:r>
        <w:rPr>
          <w:b/>
          <w:position w:val="0"/>
          <w:sz w:val="24"/>
          <w:sz w:val="24"/>
          <w:szCs w:val="24"/>
          <w:vertAlign w:val="baseline"/>
          <w:lang w:val="pt-BR" w:eastAsia="zh-CN" w:bidi="hi-IN"/>
        </w:rPr>
        <w:t>.2 A execução do Pé de Meia no IFBA</w:t>
      </w:r>
    </w:p>
    <w:p>
      <w:pPr>
        <w:pStyle w:val="Normal1"/>
        <w:spacing w:lineRule="auto" w:line="360"/>
        <w:jc w:val="both"/>
        <w:rPr>
          <w:sz w:val="24"/>
          <w:szCs w:val="24"/>
          <w:lang w:val="pt-BR" w:eastAsia="zh-CN" w:bidi="hi-IN"/>
        </w:rPr>
      </w:pPr>
      <w:r>
        <w:rPr>
          <w:sz w:val="24"/>
          <w:szCs w:val="24"/>
          <w:lang w:val="pt-BR" w:eastAsia="zh-CN" w:bidi="hi-IN"/>
        </w:rPr>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No Brasil, há 7,7 milhões de estudantes matriculados no Ensino Médio (Brasil, 2023), sendo 6,4 milhões</w:t>
      </w:r>
      <w:r>
        <w:rPr>
          <w:sz w:val="24"/>
          <w:szCs w:val="24"/>
          <w:lang w:val="pt-BR" w:eastAsia="zh-CN" w:bidi="hi-IN"/>
        </w:rPr>
        <w:t xml:space="preserve"> em</w:t>
      </w:r>
      <w:r>
        <w:rPr>
          <w:position w:val="0"/>
          <w:sz w:val="24"/>
          <w:sz w:val="24"/>
          <w:szCs w:val="24"/>
          <w:vertAlign w:val="baseline"/>
          <w:lang w:val="pt-BR" w:eastAsia="zh-CN" w:bidi="hi-IN"/>
        </w:rPr>
        <w:t xml:space="preserve"> escolas estaduais, 236 mil em instituições federais e 986</w:t>
      </w:r>
      <w:r>
        <w:rPr>
          <w:sz w:val="24"/>
          <w:szCs w:val="24"/>
          <w:lang w:val="pt-BR" w:eastAsia="zh-CN" w:bidi="hi-IN"/>
        </w:rPr>
        <w:t xml:space="preserve"> mil</w:t>
      </w:r>
      <w:r>
        <w:rPr>
          <w:position w:val="0"/>
          <w:sz w:val="24"/>
          <w:sz w:val="24"/>
          <w:szCs w:val="24"/>
          <w:vertAlign w:val="baseline"/>
          <w:lang w:val="pt-BR" w:eastAsia="zh-CN" w:bidi="hi-IN"/>
        </w:rPr>
        <w:t xml:space="preserve"> na rede particular. </w:t>
      </w:r>
      <w:r>
        <w:rPr>
          <w:sz w:val="24"/>
          <w:szCs w:val="24"/>
          <w:lang w:val="pt-BR" w:eastAsia="zh-CN" w:bidi="hi-IN"/>
        </w:rPr>
        <w:t>Ou seja, embora a maioria dos estudantes seja oriunda de escolas públicas — público que deveria ser atendido de forma universal pelo Pé-de-Meia —, quase metade deles ainda não é contemplada pelas ações do Programa.</w:t>
      </w:r>
    </w:p>
    <w:p>
      <w:pPr>
        <w:pStyle w:val="Normal1"/>
        <w:spacing w:lineRule="auto" w:line="360"/>
        <w:ind w:firstLine="720"/>
        <w:jc w:val="both"/>
        <w:rPr>
          <w:lang w:val="pt-BR" w:eastAsia="zh-CN" w:bidi="hi-IN"/>
        </w:rPr>
      </w:pPr>
      <w:r>
        <w:rPr>
          <w:sz w:val="24"/>
          <w:szCs w:val="24"/>
          <w:lang w:val="pt-BR" w:eastAsia="zh-CN" w:bidi="hi-IN"/>
        </w:rPr>
        <w:t xml:space="preserve">No IFBA, do total de 11.300 matrículas no Ensino Médio, apenas 5.633 foram consideradas elegíveis ao Programa Pé-de-Meia. No </w:t>
      </w:r>
      <w:r>
        <w:rPr>
          <w:i/>
          <w:sz w:val="24"/>
          <w:szCs w:val="24"/>
          <w:lang w:val="pt-BR" w:eastAsia="zh-CN" w:bidi="hi-IN"/>
        </w:rPr>
        <w:t>Campus</w:t>
      </w:r>
      <w:r>
        <w:rPr>
          <w:sz w:val="24"/>
          <w:szCs w:val="24"/>
          <w:lang w:val="pt-BR" w:eastAsia="zh-CN" w:bidi="hi-IN"/>
        </w:rPr>
        <w:t xml:space="preserve"> Porto Seguro, entre os 452 estudantes matriculados nessa etapa de ensino, 204 estão atualmente participando do Programa.</w:t>
      </w:r>
    </w:p>
    <w:p>
      <w:pPr>
        <w:pStyle w:val="Normal1"/>
        <w:spacing w:lineRule="auto" w:line="360"/>
        <w:ind w:firstLine="720"/>
        <w:jc w:val="both"/>
        <w:rPr>
          <w:lang w:val="pt-BR" w:eastAsia="zh-CN" w:bidi="hi-IN"/>
        </w:rPr>
      </w:pPr>
      <w:r>
        <w:rPr>
          <w:sz w:val="24"/>
          <w:szCs w:val="24"/>
          <w:lang w:val="pt-BR" w:eastAsia="zh-CN" w:bidi="hi-IN"/>
        </w:rPr>
        <w:t xml:space="preserve">No primeiro semestre de implementação do Pé-de-Meia, o programa atendeu estudantes oriundos de famílias inscritas no Cadastro Único (CadÚnico) e beneficiárias do Bolsa Família. A partir de agosto, houve ampliação dos critérios, passando a incluir também estudantes com renda </w:t>
      </w:r>
      <w:r>
        <w:rPr>
          <w:i/>
          <w:sz w:val="24"/>
          <w:szCs w:val="24"/>
          <w:lang w:val="pt-BR" w:eastAsia="zh-CN" w:bidi="hi-IN"/>
        </w:rPr>
        <w:t>per capita</w:t>
      </w:r>
      <w:r>
        <w:rPr>
          <w:sz w:val="24"/>
          <w:szCs w:val="24"/>
          <w:lang w:val="pt-BR" w:eastAsia="zh-CN" w:bidi="hi-IN"/>
        </w:rPr>
        <w:t xml:space="preserve"> de até meio salário mínimo. No entanto, permanece vedada a participação de estudantes pertencentes a famílias unipessoais, mesmo com o CadÚnico regularizado. A experiência observada no campus indica que muitos estudantes nessa condição — com idades entre 14 e 24 anos, ainda no Ensino Médio Integrado — frequentemente advém  de situações de conflitos familiares e risco social, que exigem a saída de suas famílias de origem. Com isso, acabam desassistidos, demandando outros auxílios e sendo, muitas vezes, obrigados a recorrer ao trabalho para garantir sua própria subsistência.</w:t>
      </w:r>
    </w:p>
    <w:p>
      <w:pPr>
        <w:pStyle w:val="Normal1"/>
        <w:spacing w:lineRule="auto" w:line="360"/>
        <w:ind w:firstLine="720"/>
        <w:jc w:val="both"/>
        <w:rPr>
          <w:lang w:val="pt-BR" w:eastAsia="zh-CN" w:bidi="hi-IN"/>
        </w:rPr>
      </w:pPr>
      <w:r>
        <w:rPr>
          <w:sz w:val="24"/>
          <w:szCs w:val="24"/>
          <w:lang w:val="pt-BR" w:eastAsia="zh-CN" w:bidi="hi-IN"/>
        </w:rPr>
        <w:t>Muitos desses jovens vivem sozinhos, em situação de sofrimento, sem apoio emocional ou financeiro da família de origem, e necessitam do suporte previsto pelo Pé-de-Meia. O risco social enfrentado é potencializado pela violência nos territórios onde vivem, especialmente em bairros periféricos, e por conflitos familiares, intensificados pela falta de respeito à sua autonomia, à identidade de gênero e à orientação sexual. Entretanto, por não se enquadrarem na configuração familiar exigida pela legislação do programa, acabam excluídos do benefício. Essa exclusão, na nossa análise, representa uma das limitações mais significativas do programa.</w:t>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Dada as desigualdades e situação de pobreza vivenciada pelos estudantes, é possível inferir que o valor mensal repassado minimiza, </w:t>
      </w:r>
      <w:r>
        <w:rPr>
          <w:sz w:val="24"/>
          <w:szCs w:val="24"/>
          <w:lang w:val="pt-BR" w:eastAsia="zh-CN" w:bidi="hi-IN"/>
        </w:rPr>
        <w:t>mas não é suficiente para atender, de forma ampla</w:t>
      </w:r>
      <w:r>
        <w:rPr>
          <w:position w:val="0"/>
          <w:sz w:val="24"/>
          <w:sz w:val="24"/>
          <w:szCs w:val="24"/>
          <w:vertAlign w:val="baseline"/>
          <w:lang w:val="pt-BR" w:eastAsia="zh-CN" w:bidi="hi-IN"/>
        </w:rPr>
        <w:t xml:space="preserve"> às necessidades dos jovens </w:t>
      </w:r>
      <w:r>
        <w:rPr>
          <w:sz w:val="24"/>
          <w:szCs w:val="24"/>
          <w:lang w:val="pt-BR" w:eastAsia="zh-CN" w:bidi="hi-IN"/>
        </w:rPr>
        <w:t>beneficiados</w:t>
      </w:r>
      <w:r>
        <w:rPr>
          <w:position w:val="0"/>
          <w:sz w:val="24"/>
          <w:sz w:val="24"/>
          <w:szCs w:val="24"/>
          <w:vertAlign w:val="baseline"/>
          <w:lang w:val="pt-BR" w:eastAsia="zh-CN" w:bidi="hi-IN"/>
        </w:rPr>
        <w:t>, sobretudo, em um contexto de elevação do custo de vida, o que torna mais complex</w:t>
      </w:r>
      <w:r>
        <w:rPr>
          <w:sz w:val="24"/>
          <w:szCs w:val="24"/>
          <w:lang w:val="pt-BR" w:eastAsia="zh-CN" w:bidi="hi-IN"/>
        </w:rPr>
        <w:t>a</w:t>
      </w:r>
      <w:r>
        <w:rPr>
          <w:position w:val="0"/>
          <w:sz w:val="24"/>
          <w:sz w:val="24"/>
          <w:szCs w:val="24"/>
          <w:vertAlign w:val="baseline"/>
          <w:lang w:val="pt-BR" w:eastAsia="zh-CN" w:bidi="hi-IN"/>
        </w:rPr>
        <w:t xml:space="preserve"> a manutenção de condições dignas </w:t>
      </w:r>
      <w:r>
        <w:rPr>
          <w:sz w:val="24"/>
          <w:szCs w:val="24"/>
          <w:lang w:val="pt-BR" w:eastAsia="zh-CN" w:bidi="hi-IN"/>
        </w:rPr>
        <w:t xml:space="preserve">de existência e o </w:t>
      </w:r>
      <w:r>
        <w:rPr>
          <w:position w:val="0"/>
          <w:sz w:val="24"/>
          <w:sz w:val="24"/>
          <w:szCs w:val="24"/>
          <w:vertAlign w:val="baseline"/>
          <w:lang w:val="pt-BR" w:eastAsia="zh-CN" w:bidi="hi-IN"/>
        </w:rPr>
        <w:t>acesso aos bens indispensáveis à subsistência individual e familiar.</w:t>
      </w:r>
    </w:p>
    <w:p>
      <w:pPr>
        <w:pStyle w:val="Normal1"/>
        <w:spacing w:lineRule="auto" w:line="360"/>
        <w:ind w:firstLine="720"/>
        <w:jc w:val="both"/>
        <w:rPr>
          <w:lang w:val="pt-BR" w:eastAsia="zh-CN" w:bidi="hi-IN"/>
        </w:rPr>
      </w:pPr>
      <w:r>
        <w:rPr>
          <w:sz w:val="24"/>
          <w:szCs w:val="24"/>
          <w:lang w:val="pt-BR" w:eastAsia="zh-CN" w:bidi="hi-IN"/>
        </w:rPr>
        <w:t xml:space="preserve">Os valores </w:t>
      </w:r>
      <w:r>
        <w:rPr>
          <w:position w:val="0"/>
          <w:sz w:val="24"/>
          <w:sz w:val="24"/>
          <w:szCs w:val="24"/>
          <w:vertAlign w:val="baseline"/>
          <w:lang w:val="pt-BR" w:eastAsia="zh-CN" w:bidi="hi-IN"/>
        </w:rPr>
        <w:t>acumulad</w:t>
      </w:r>
      <w:r>
        <w:rPr>
          <w:sz w:val="24"/>
          <w:szCs w:val="24"/>
          <w:lang w:val="pt-BR" w:eastAsia="zh-CN" w:bidi="hi-IN"/>
        </w:rPr>
        <w:t>os por meio das</w:t>
      </w:r>
      <w:r>
        <w:rPr>
          <w:position w:val="0"/>
          <w:sz w:val="24"/>
          <w:sz w:val="24"/>
          <w:szCs w:val="24"/>
          <w:vertAlign w:val="baseline"/>
          <w:lang w:val="pt-BR" w:eastAsia="zh-CN" w:bidi="hi-IN"/>
        </w:rPr>
        <w:t xml:space="preserve"> aprovaç</w:t>
      </w:r>
      <w:r>
        <w:rPr>
          <w:sz w:val="24"/>
          <w:szCs w:val="24"/>
          <w:lang w:val="pt-BR" w:eastAsia="zh-CN" w:bidi="hi-IN"/>
        </w:rPr>
        <w:t xml:space="preserve">ões ao longo do Ensino Médio, com previsão de saque apenas após a conclusão dessa etapa, configura-se </w:t>
      </w:r>
      <w:r>
        <w:rPr>
          <w:position w:val="0"/>
          <w:sz w:val="24"/>
          <w:sz w:val="24"/>
          <w:szCs w:val="24"/>
          <w:vertAlign w:val="baseline"/>
          <w:lang w:val="pt-BR" w:eastAsia="zh-CN" w:bidi="hi-IN"/>
        </w:rPr>
        <w:t>um ponto forte do programa, pois o estudante pode us</w:t>
      </w:r>
      <w:r>
        <w:rPr>
          <w:sz w:val="24"/>
          <w:szCs w:val="24"/>
          <w:lang w:val="pt-BR" w:eastAsia="zh-CN" w:bidi="hi-IN"/>
        </w:rPr>
        <w:t>ar esse recurso</w:t>
      </w:r>
      <w:r>
        <w:rPr>
          <w:position w:val="0"/>
          <w:sz w:val="24"/>
          <w:sz w:val="24"/>
          <w:szCs w:val="24"/>
          <w:vertAlign w:val="baseline"/>
          <w:lang w:val="pt-BR" w:eastAsia="zh-CN" w:bidi="hi-IN"/>
        </w:rPr>
        <w:t xml:space="preserve"> para suprir suas necessidades básicas, já que o </w:t>
      </w:r>
      <w:r>
        <w:rPr>
          <w:sz w:val="24"/>
          <w:szCs w:val="24"/>
          <w:lang w:val="pt-BR" w:eastAsia="zh-CN" w:bidi="hi-IN"/>
        </w:rPr>
        <w:t xml:space="preserve">término da formação básica </w:t>
      </w:r>
      <w:r>
        <w:rPr>
          <w:position w:val="0"/>
          <w:sz w:val="24"/>
          <w:sz w:val="24"/>
          <w:szCs w:val="24"/>
          <w:vertAlign w:val="baseline"/>
          <w:lang w:val="pt-BR" w:eastAsia="zh-CN" w:bidi="hi-IN"/>
        </w:rPr>
        <w:t>não implica necessariamente na inserção no mercado de trabalho e na garantia de ingresso no ensino superior.</w:t>
      </w:r>
    </w:p>
    <w:p>
      <w:pPr>
        <w:pStyle w:val="Normal1"/>
        <w:spacing w:lineRule="auto" w:line="360"/>
        <w:ind w:firstLine="720"/>
        <w:jc w:val="both"/>
        <w:rPr>
          <w:lang w:val="pt-BR" w:eastAsia="zh-CN" w:bidi="hi-IN"/>
        </w:rPr>
      </w:pPr>
      <w:r>
        <w:rPr>
          <w:sz w:val="24"/>
          <w:szCs w:val="24"/>
          <w:lang w:val="pt-BR" w:eastAsia="zh-CN" w:bidi="hi-IN"/>
        </w:rPr>
        <w:t xml:space="preserve">Os estudantes matriculados são classificados como: </w:t>
      </w:r>
      <w:r>
        <w:rPr>
          <w:b/>
          <w:sz w:val="24"/>
          <w:szCs w:val="24"/>
          <w:lang w:val="pt-BR" w:eastAsia="zh-CN" w:bidi="hi-IN"/>
        </w:rPr>
        <w:t>Não Elegíveis</w:t>
      </w:r>
      <w:r>
        <w:rPr>
          <w:sz w:val="24"/>
          <w:szCs w:val="24"/>
          <w:lang w:val="pt-BR" w:eastAsia="zh-CN" w:bidi="hi-IN"/>
        </w:rPr>
        <w:t xml:space="preserve">, quando não atendem aos critérios obrigatórios do Programa; </w:t>
      </w:r>
      <w:r>
        <w:rPr>
          <w:b/>
          <w:sz w:val="24"/>
          <w:szCs w:val="24"/>
          <w:lang w:val="pt-BR" w:eastAsia="zh-CN" w:bidi="hi-IN"/>
        </w:rPr>
        <w:t>Elegíveis</w:t>
      </w:r>
      <w:r>
        <w:rPr>
          <w:sz w:val="24"/>
          <w:szCs w:val="24"/>
          <w:lang w:val="pt-BR" w:eastAsia="zh-CN" w:bidi="hi-IN"/>
        </w:rPr>
        <w:t xml:space="preserve">, quando cumprem integralmente as exigências estabelecidas; e com </w:t>
      </w:r>
      <w:r>
        <w:rPr>
          <w:b/>
          <w:sz w:val="24"/>
          <w:szCs w:val="24"/>
          <w:lang w:val="pt-BR" w:eastAsia="zh-CN" w:bidi="hi-IN"/>
        </w:rPr>
        <w:t>Elegibilidade Indefinida</w:t>
      </w:r>
      <w:r>
        <w:rPr>
          <w:sz w:val="24"/>
          <w:szCs w:val="24"/>
          <w:lang w:val="pt-BR" w:eastAsia="zh-CN" w:bidi="hi-IN"/>
        </w:rPr>
        <w:t>, nos casos em que há inconsistências nos dados cadastrais — como divergências nas informações pessoais, como CPF, nome, data de nascimento, ou alguma irregularidade ou desatualização do Cadastro Único (CadÚnico) — tanto na base da unidade escolar quanto no CadÚnico.</w:t>
      </w:r>
    </w:p>
    <w:p>
      <w:pPr>
        <w:pStyle w:val="Normal1"/>
        <w:spacing w:lineRule="auto" w:line="360"/>
        <w:ind w:firstLine="720"/>
        <w:jc w:val="both"/>
        <w:rPr>
          <w:lang w:val="pt-BR" w:eastAsia="zh-CN" w:bidi="hi-IN"/>
        </w:rPr>
      </w:pPr>
      <w:r>
        <w:rPr>
          <w:sz w:val="24"/>
          <w:szCs w:val="24"/>
          <w:lang w:val="pt-BR" w:eastAsia="zh-CN" w:bidi="hi-IN"/>
        </w:rPr>
        <w:t xml:space="preserve">Com o objetivo de facilitar a comunicação com os estudantes, especialmente nos casos de Elegibilidade Indefinida, o IFBA solicitou que servidores de cada </w:t>
      </w:r>
      <w:r>
        <w:rPr>
          <w:i/>
          <w:sz w:val="24"/>
          <w:szCs w:val="24"/>
          <w:lang w:val="pt-BR" w:eastAsia="zh-CN" w:bidi="hi-IN"/>
        </w:rPr>
        <w:t xml:space="preserve">campus </w:t>
      </w:r>
      <w:r>
        <w:rPr>
          <w:sz w:val="24"/>
          <w:szCs w:val="24"/>
          <w:lang w:val="pt-BR" w:eastAsia="zh-CN" w:bidi="hi-IN"/>
        </w:rPr>
        <w:t xml:space="preserve">participassem de um grupo em aplicativo de mensagens chamado Ponto Focal, formado por profissionais responsáveis por mediar essas situações e fornecer as orientações necessárias. No </w:t>
      </w:r>
      <w:r>
        <w:rPr>
          <w:i/>
          <w:sz w:val="24"/>
          <w:szCs w:val="24"/>
          <w:lang w:val="pt-BR" w:eastAsia="zh-CN" w:bidi="hi-IN"/>
        </w:rPr>
        <w:t>Campus</w:t>
      </w:r>
      <w:r>
        <w:rPr>
          <w:sz w:val="24"/>
          <w:szCs w:val="24"/>
          <w:lang w:val="pt-BR" w:eastAsia="zh-CN" w:bidi="hi-IN"/>
        </w:rPr>
        <w:t xml:space="preserve"> Porto Seguro, as profissionais responsáveis pela mediação dessas situações estão inseridas nas ações de permanência e êxito, atuando diretamente na execução da Política de Assistência Estudantil e em demais iniciativas voltadas ao atendimento e acompanhamento dos estudantes.</w:t>
      </w:r>
    </w:p>
    <w:p>
      <w:pPr>
        <w:pStyle w:val="Normal1"/>
        <w:spacing w:lineRule="auto" w:line="360"/>
        <w:ind w:firstLine="720"/>
        <w:jc w:val="both"/>
        <w:rPr>
          <w:lang w:val="pt-BR" w:eastAsia="zh-CN" w:bidi="hi-IN"/>
        </w:rPr>
      </w:pPr>
      <w:r>
        <w:rPr>
          <w:sz w:val="24"/>
          <w:szCs w:val="24"/>
          <w:lang w:val="pt-BR" w:eastAsia="zh-CN" w:bidi="hi-IN"/>
        </w:rPr>
        <w:t>Quando é identificada uma situação de Elegibilidade Indefinida, é solicitada a correção dos dados inconsistentes. No entanto, o processo de alteração e regularização costuma ser demorado, havendo casos em que a mudança de status para Elegível levou mais de quatro meses. Essa morosidade impede que os estudantes acessem o valor mensal a que têm direito, fazendo com que fiquem temporariamente excluídos do Programa por falhas atribuídas às instituições envolvidas. Tal cenário gerou frustração em alguns estudantes e em seus familiares.</w:t>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Um dos requisitos </w:t>
      </w:r>
      <w:r>
        <w:rPr>
          <w:sz w:val="24"/>
          <w:szCs w:val="24"/>
          <w:lang w:val="pt-BR" w:eastAsia="zh-CN" w:bidi="hi-IN"/>
        </w:rPr>
        <w:t xml:space="preserve">para que o estudante permaneça como Elegível no Programa Pé-de-Meia é manter frequência mínima mensal de 80%. </w:t>
      </w:r>
      <w:r>
        <w:rPr>
          <w:position w:val="0"/>
          <w:sz w:val="24"/>
          <w:sz w:val="24"/>
          <w:szCs w:val="24"/>
          <w:vertAlign w:val="baseline"/>
          <w:lang w:val="pt-BR" w:eastAsia="zh-CN" w:bidi="hi-IN"/>
        </w:rPr>
        <w:t>Esse percentual é diferente d</w:t>
      </w:r>
      <w:r>
        <w:rPr>
          <w:sz w:val="24"/>
          <w:szCs w:val="24"/>
          <w:lang w:val="pt-BR" w:eastAsia="zh-CN" w:bidi="hi-IN"/>
        </w:rPr>
        <w:t>a</w:t>
      </w:r>
      <w:r>
        <w:rPr>
          <w:position w:val="0"/>
          <w:sz w:val="24"/>
          <w:sz w:val="24"/>
          <w:szCs w:val="24"/>
          <w:vertAlign w:val="baseline"/>
          <w:lang w:val="pt-BR" w:eastAsia="zh-CN" w:bidi="hi-IN"/>
        </w:rPr>
        <w:t>s n</w:t>
      </w:r>
      <w:r>
        <w:rPr>
          <w:sz w:val="24"/>
          <w:szCs w:val="24"/>
          <w:lang w:val="pt-BR" w:eastAsia="zh-CN" w:bidi="hi-IN"/>
        </w:rPr>
        <w:t>ormativas educacionais em vigor no Brasil</w:t>
      </w:r>
      <w:r>
        <w:rPr>
          <w:position w:val="0"/>
          <w:sz w:val="24"/>
          <w:sz w:val="24"/>
          <w:szCs w:val="24"/>
          <w:vertAlign w:val="baseline"/>
          <w:lang w:val="pt-BR" w:eastAsia="zh-CN" w:bidi="hi-IN"/>
        </w:rPr>
        <w:t xml:space="preserve">, como a </w:t>
      </w:r>
      <w:r>
        <w:rPr>
          <w:sz w:val="24"/>
          <w:szCs w:val="24"/>
          <w:lang w:val="pt-BR" w:eastAsia="zh-CN" w:bidi="hi-IN"/>
        </w:rPr>
        <w:t xml:space="preserve">Lei de Diretrizes e Bases da Educação Nacional (LDB), que estabelece a </w:t>
      </w:r>
      <w:r>
        <w:rPr>
          <w:position w:val="0"/>
          <w:sz w:val="24"/>
          <w:sz w:val="24"/>
          <w:szCs w:val="24"/>
          <w:vertAlign w:val="baseline"/>
          <w:lang w:val="pt-BR" w:eastAsia="zh-CN" w:bidi="hi-IN"/>
        </w:rPr>
        <w:t>frequência mínima de 75% para aprovação no ano letivo (Brasil,</w:t>
      </w:r>
      <w:r>
        <w:rPr>
          <w:sz w:val="24"/>
          <w:szCs w:val="24"/>
          <w:lang w:val="pt-BR" w:eastAsia="zh-CN" w:bidi="hi-IN"/>
        </w:rPr>
        <w:t xml:space="preserve"> 1996)</w:t>
      </w:r>
      <w:r>
        <w:rPr>
          <w:position w:val="0"/>
          <w:sz w:val="24"/>
          <w:sz w:val="24"/>
          <w:szCs w:val="24"/>
          <w:vertAlign w:val="baseline"/>
          <w:lang w:val="pt-BR" w:eastAsia="zh-CN" w:bidi="hi-IN"/>
        </w:rPr>
        <w:t xml:space="preserve">, assim como os </w:t>
      </w:r>
      <w:r>
        <w:rPr>
          <w:sz w:val="24"/>
          <w:szCs w:val="24"/>
          <w:lang w:val="pt-BR" w:eastAsia="zh-CN" w:bidi="hi-IN"/>
        </w:rPr>
        <w:t>documentos institucionais locais, a exemplo dos regulamentos da Assistência Estudantil e dos Planos Pedagógicos dos Cursos.</w:t>
      </w:r>
    </w:p>
    <w:p>
      <w:pPr>
        <w:pStyle w:val="Normal1"/>
        <w:spacing w:lineRule="auto" w:line="360"/>
        <w:ind w:firstLine="720"/>
        <w:jc w:val="both"/>
        <w:rPr>
          <w:lang w:val="pt-BR" w:eastAsia="zh-CN" w:bidi="hi-IN"/>
        </w:rPr>
      </w:pPr>
      <w:r>
        <w:rPr>
          <w:sz w:val="24"/>
          <w:szCs w:val="24"/>
          <w:lang w:val="pt-BR" w:eastAsia="zh-CN" w:bidi="hi-IN"/>
        </w:rPr>
        <w:t xml:space="preserve">Do total de 204 estudantes considerados Elegíveis ao Programa e que chegaram a receber ao menos uma parcela, cerca de 10% deixaram de frequentar as aulas. As razões incluem abandono (14 casos), conclusão de curso (2), trancamento de matrícula (1), matrícula em apenas uma disciplina (1), transferência interna (1) e transferência externa (1). </w:t>
      </w:r>
    </w:p>
    <w:p>
      <w:pPr>
        <w:pStyle w:val="Normal1"/>
        <w:spacing w:lineRule="auto" w:line="360"/>
        <w:ind w:firstLine="720"/>
        <w:jc w:val="both"/>
        <w:rPr>
          <w:lang w:val="pt-BR" w:eastAsia="zh-CN" w:bidi="hi-IN"/>
        </w:rPr>
      </w:pPr>
      <w:r>
        <w:rPr>
          <w:sz w:val="24"/>
          <w:szCs w:val="24"/>
          <w:lang w:val="pt-BR" w:eastAsia="zh-CN" w:bidi="hi-IN"/>
        </w:rPr>
        <w:t xml:space="preserve">No início de cada ano letivo, o </w:t>
      </w:r>
      <w:r>
        <w:rPr>
          <w:i/>
          <w:sz w:val="24"/>
          <w:szCs w:val="24"/>
          <w:lang w:val="pt-BR" w:eastAsia="zh-CN" w:bidi="hi-IN"/>
        </w:rPr>
        <w:t>Campus</w:t>
      </w:r>
      <w:r>
        <w:rPr>
          <w:sz w:val="24"/>
          <w:szCs w:val="24"/>
          <w:lang w:val="pt-BR" w:eastAsia="zh-CN" w:bidi="hi-IN"/>
        </w:rPr>
        <w:t xml:space="preserve"> Porto Seguro publica editais da Assistência Estudantil para concessão de auxílios e bolsas. Para acessar esse apoio financeiro local, o estudante precisa se inscrever e passar por entrevista com as assistentes sociais do campus.</w:t>
      </w:r>
    </w:p>
    <w:p>
      <w:pPr>
        <w:pStyle w:val="Normal1"/>
        <w:spacing w:lineRule="auto" w:line="360"/>
        <w:ind w:firstLine="720"/>
        <w:jc w:val="both"/>
        <w:rPr>
          <w:lang w:val="pt-BR" w:eastAsia="zh-CN" w:bidi="hi-IN"/>
        </w:rPr>
      </w:pPr>
      <w:r>
        <w:rPr>
          <w:sz w:val="24"/>
          <w:szCs w:val="24"/>
          <w:lang w:val="pt-BR" w:eastAsia="zh-CN" w:bidi="hi-IN"/>
        </w:rPr>
        <w:t>Em 2024, os estudantes atendidos pelo Programa Pé-de-Meia que solicitaram Auxílio ou Bolsa da Assistência Estudantil foram dispensados da etapa de entrevista, uma vez que já pertencem comprovadamente ao público-alvo historicamente atendido pelo orçamento descentralizado da Política de Assistência Estudantil. Dos 204 discentes com status de Elegíveis ao Pé-de-Meia, 135 tiveram suas inscrições homologadas no Programa de Assistência Estudantil, sendo que 124 passaram a receber Auxílio Transporte, Bolsa de Estudo ou Auxílio Moradia por meio do edital do campus.</w:t>
      </w:r>
    </w:p>
    <w:p>
      <w:pPr>
        <w:pStyle w:val="Normal1"/>
        <w:spacing w:lineRule="auto" w:line="360"/>
        <w:ind w:firstLine="720"/>
        <w:jc w:val="both"/>
        <w:rPr>
          <w:lang w:val="pt-BR" w:eastAsia="zh-CN" w:bidi="hi-IN"/>
        </w:rPr>
      </w:pPr>
      <w:r>
        <w:rPr>
          <w:sz w:val="24"/>
          <w:szCs w:val="24"/>
          <w:lang w:val="pt-BR" w:eastAsia="zh-CN" w:bidi="hi-IN"/>
        </w:rPr>
        <w:t>Dessa forma, o Programa Pé-de-Meia pode ser compreendido como um elemento facilitador na execução das ações locais e nacionais da Política de Assistência Estudantil, inicialmente regulamentada pelo Decreto nº 7.234/2010 e, mais recentemente, pela Lei nº 14.914, de 3 de julho de 2024. A disponibilização da lista de estudantes elegíveis contribuiu, em certa medida, para a redução do tempo necessário ao processo de seleção para concessão de auxílios e bolsas vinculados aos programas dessa política.</w:t>
      </w:r>
    </w:p>
    <w:p>
      <w:pPr>
        <w:pStyle w:val="Normal1"/>
        <w:spacing w:lineRule="auto" w:line="360"/>
        <w:ind w:firstLine="720"/>
        <w:jc w:val="both"/>
        <w:rPr>
          <w:sz w:val="24"/>
          <w:szCs w:val="24"/>
          <w:lang w:val="pt-BR" w:eastAsia="zh-CN" w:bidi="hi-IN"/>
        </w:rPr>
      </w:pPr>
      <w:r>
        <w:rPr>
          <w:sz w:val="24"/>
          <w:szCs w:val="24"/>
          <w:lang w:val="pt-BR" w:eastAsia="zh-CN" w:bidi="hi-IN"/>
        </w:rPr>
      </w:r>
    </w:p>
    <w:p>
      <w:pPr>
        <w:pStyle w:val="Normal1"/>
        <w:spacing w:lineRule="auto" w:line="360"/>
        <w:jc w:val="both"/>
        <w:rPr>
          <w:lang w:val="pt-BR" w:eastAsia="zh-CN" w:bidi="hi-IN"/>
        </w:rPr>
      </w:pPr>
      <w:r>
        <w:rPr>
          <w:b/>
          <w:sz w:val="24"/>
          <w:szCs w:val="24"/>
          <w:lang w:val="pt-BR" w:eastAsia="zh-CN" w:bidi="hi-IN"/>
        </w:rPr>
        <w:t>2</w:t>
      </w:r>
      <w:r>
        <w:rPr>
          <w:b/>
          <w:position w:val="0"/>
          <w:sz w:val="24"/>
          <w:sz w:val="24"/>
          <w:szCs w:val="24"/>
          <w:vertAlign w:val="baseline"/>
          <w:lang w:val="pt-BR" w:eastAsia="zh-CN" w:bidi="hi-IN"/>
        </w:rPr>
        <w:t>.3 Estratégias de Permanência em Contexto de Reposicionamento Político</w:t>
      </w:r>
    </w:p>
    <w:p>
      <w:pPr>
        <w:pStyle w:val="Normal1"/>
        <w:spacing w:lineRule="auto" w:line="360"/>
        <w:jc w:val="both"/>
        <w:rPr>
          <w:sz w:val="24"/>
          <w:szCs w:val="24"/>
          <w:lang w:val="pt-BR" w:eastAsia="zh-CN" w:bidi="hi-IN"/>
        </w:rPr>
      </w:pPr>
      <w:r>
        <w:rPr>
          <w:sz w:val="24"/>
          <w:szCs w:val="24"/>
          <w:lang w:val="pt-BR" w:eastAsia="zh-CN" w:bidi="hi-IN"/>
        </w:rPr>
      </w:r>
    </w:p>
    <w:p>
      <w:pPr>
        <w:pStyle w:val="Normal1"/>
        <w:spacing w:lineRule="auto" w:line="360"/>
        <w:ind w:firstLine="720"/>
        <w:jc w:val="both"/>
        <w:rPr>
          <w:lang w:val="pt-BR" w:eastAsia="zh-CN" w:bidi="hi-IN"/>
        </w:rPr>
      </w:pPr>
      <w:r>
        <w:rPr>
          <w:sz w:val="24"/>
          <w:szCs w:val="24"/>
          <w:lang w:val="pt-BR" w:eastAsia="zh-CN" w:bidi="hi-IN"/>
        </w:rPr>
        <w:t>As recentes aprovações da Política de Assistência Estudantil e do Programa Pé-de-Meia, embora com limitações e contradições, refletem a intenção de fortalecer a permanência estudantil no Ensino Médio e Superior. Tais avanços só se tornaram viáveis com a retomada de um governo comprometido com a democracia e com a garantia de mínimos sociais — aspectos duramente enfraquecidos na gestão anterior.</w:t>
      </w:r>
    </w:p>
    <w:p>
      <w:pPr>
        <w:pStyle w:val="Normal1"/>
        <w:spacing w:lineRule="auto" w:line="360"/>
        <w:ind w:firstLine="720"/>
        <w:jc w:val="both"/>
        <w:rPr>
          <w:lang w:val="pt-BR" w:eastAsia="zh-CN" w:bidi="hi-IN"/>
        </w:rPr>
      </w:pPr>
      <w:r>
        <w:rPr>
          <w:position w:val="0"/>
          <w:sz w:val="24"/>
          <w:sz w:val="24"/>
          <w:szCs w:val="24"/>
          <w:vertAlign w:val="baseline"/>
          <w:lang w:val="pt-BR" w:eastAsia="zh-CN" w:bidi="hi-IN"/>
        </w:rPr>
        <w:t xml:space="preserve">Nesse sentido, </w:t>
      </w:r>
      <w:r>
        <w:rPr>
          <w:sz w:val="24"/>
          <w:szCs w:val="24"/>
          <w:lang w:val="pt-BR" w:eastAsia="zh-CN" w:bidi="hi-IN"/>
        </w:rPr>
        <w:t xml:space="preserve">o aprimoramento e a consolidação </w:t>
      </w:r>
      <w:r>
        <w:rPr>
          <w:position w:val="0"/>
          <w:sz w:val="24"/>
          <w:sz w:val="24"/>
          <w:szCs w:val="24"/>
          <w:vertAlign w:val="baseline"/>
          <w:lang w:val="pt-BR" w:eastAsia="zh-CN" w:bidi="hi-IN"/>
        </w:rPr>
        <w:t>das políticas públicas</w:t>
      </w:r>
      <w:r>
        <w:rPr>
          <w:sz w:val="24"/>
          <w:szCs w:val="24"/>
          <w:lang w:val="pt-BR" w:eastAsia="zh-CN" w:bidi="hi-IN"/>
        </w:rPr>
        <w:t xml:space="preserve"> </w:t>
      </w:r>
      <w:r>
        <w:rPr>
          <w:position w:val="0"/>
          <w:sz w:val="24"/>
          <w:sz w:val="24"/>
          <w:szCs w:val="24"/>
          <w:vertAlign w:val="baseline"/>
          <w:lang w:val="pt-BR" w:eastAsia="zh-CN" w:bidi="hi-IN"/>
        </w:rPr>
        <w:t xml:space="preserve"> exigem também</w:t>
      </w:r>
      <w:r>
        <w:rPr>
          <w:sz w:val="24"/>
          <w:szCs w:val="24"/>
          <w:lang w:val="pt-BR" w:eastAsia="zh-CN" w:bidi="hi-IN"/>
        </w:rPr>
        <w:t xml:space="preserve"> </w:t>
      </w:r>
      <w:r>
        <w:rPr>
          <w:position w:val="0"/>
          <w:sz w:val="24"/>
          <w:sz w:val="24"/>
          <w:szCs w:val="24"/>
          <w:vertAlign w:val="baseline"/>
          <w:lang w:val="pt-BR" w:eastAsia="zh-CN" w:bidi="hi-IN"/>
        </w:rPr>
        <w:t xml:space="preserve">o fortalecimento das organizações e movimentos </w:t>
      </w:r>
      <w:r>
        <w:rPr>
          <w:sz w:val="24"/>
          <w:szCs w:val="24"/>
          <w:lang w:val="pt-BR" w:eastAsia="zh-CN" w:bidi="hi-IN"/>
        </w:rPr>
        <w:t xml:space="preserve">que defendem essas pautas. </w:t>
      </w:r>
      <w:r>
        <w:rPr>
          <w:position w:val="0"/>
          <w:sz w:val="24"/>
          <w:sz w:val="24"/>
          <w:szCs w:val="24"/>
          <w:vertAlign w:val="baseline"/>
          <w:lang w:val="pt-BR" w:eastAsia="zh-CN" w:bidi="hi-IN"/>
        </w:rPr>
        <w:t xml:space="preserve">Assim, a materialização de programas voltados </w:t>
      </w:r>
      <w:r>
        <w:rPr>
          <w:sz w:val="24"/>
          <w:szCs w:val="24"/>
          <w:lang w:val="pt-BR" w:eastAsia="zh-CN" w:bidi="hi-IN"/>
        </w:rPr>
        <w:t>a</w:t>
      </w:r>
      <w:r>
        <w:rPr>
          <w:position w:val="0"/>
          <w:sz w:val="24"/>
          <w:sz w:val="24"/>
          <w:szCs w:val="24"/>
          <w:vertAlign w:val="baseline"/>
          <w:lang w:val="pt-BR" w:eastAsia="zh-CN" w:bidi="hi-IN"/>
        </w:rPr>
        <w:t xml:space="preserve">o avanço dos Direitos Sociais, como </w:t>
      </w:r>
      <w:r>
        <w:rPr>
          <w:sz w:val="24"/>
          <w:szCs w:val="24"/>
          <w:lang w:val="pt-BR" w:eastAsia="zh-CN" w:bidi="hi-IN"/>
        </w:rPr>
        <w:t>o</w:t>
      </w:r>
      <w:r>
        <w:rPr>
          <w:position w:val="0"/>
          <w:sz w:val="24"/>
          <w:sz w:val="24"/>
          <w:szCs w:val="24"/>
          <w:vertAlign w:val="baseline"/>
          <w:lang w:val="pt-BR" w:eastAsia="zh-CN" w:bidi="hi-IN"/>
        </w:rPr>
        <w:t xml:space="preserve"> Pé-de-Meia, </w:t>
      </w:r>
      <w:r>
        <w:rPr>
          <w:sz w:val="24"/>
          <w:szCs w:val="24"/>
          <w:lang w:val="pt-BR" w:eastAsia="zh-CN" w:bidi="hi-IN"/>
        </w:rPr>
        <w:t>exige</w:t>
      </w:r>
      <w:r>
        <w:rPr>
          <w:position w:val="0"/>
          <w:sz w:val="24"/>
          <w:sz w:val="24"/>
          <w:szCs w:val="24"/>
          <w:vertAlign w:val="baseline"/>
          <w:lang w:val="pt-BR" w:eastAsia="zh-CN" w:bidi="hi-IN"/>
        </w:rPr>
        <w:t xml:space="preserve"> </w:t>
      </w:r>
      <w:r>
        <w:rPr>
          <w:sz w:val="24"/>
          <w:szCs w:val="24"/>
          <w:lang w:val="pt-BR" w:eastAsia="zh-CN" w:bidi="hi-IN"/>
        </w:rPr>
        <w:t>u</w:t>
      </w:r>
      <w:r>
        <w:rPr>
          <w:position w:val="0"/>
          <w:sz w:val="24"/>
          <w:sz w:val="24"/>
          <w:szCs w:val="24"/>
          <w:vertAlign w:val="baseline"/>
          <w:lang w:val="pt-BR" w:eastAsia="zh-CN" w:bidi="hi-IN"/>
        </w:rPr>
        <w:t xml:space="preserve">ma conjuntura política e econômica que assegure a sua continuidade e </w:t>
      </w:r>
      <w:r>
        <w:rPr>
          <w:sz w:val="24"/>
          <w:szCs w:val="24"/>
          <w:lang w:val="pt-BR" w:eastAsia="zh-CN" w:bidi="hi-IN"/>
        </w:rPr>
        <w:t>até mesmo sua ampliação como política universal para todos os estudantes da rede pública.</w:t>
      </w:r>
      <w:r>
        <w:rPr>
          <w:position w:val="0"/>
          <w:sz w:val="24"/>
          <w:sz w:val="24"/>
          <w:szCs w:val="24"/>
          <w:vertAlign w:val="baseline"/>
          <w:lang w:val="pt-BR" w:eastAsia="zh-CN" w:bidi="hi-IN"/>
        </w:rPr>
        <w:t xml:space="preserve"> Ademais, minimizar problemas como abandono, evasão e retenção escolar requer ações para além do </w:t>
      </w:r>
      <w:r>
        <w:rPr>
          <w:sz w:val="24"/>
          <w:szCs w:val="24"/>
          <w:lang w:val="pt-BR" w:eastAsia="zh-CN" w:bidi="hi-IN"/>
        </w:rPr>
        <w:t xml:space="preserve">repasse </w:t>
      </w:r>
      <w:r>
        <w:rPr>
          <w:position w:val="0"/>
          <w:sz w:val="24"/>
          <w:sz w:val="24"/>
          <w:szCs w:val="24"/>
          <w:vertAlign w:val="baseline"/>
          <w:lang w:val="pt-BR" w:eastAsia="zh-CN" w:bidi="hi-IN"/>
        </w:rPr>
        <w:t>financeiro direto ao estudante</w:t>
      </w:r>
      <w:r>
        <w:rPr>
          <w:sz w:val="24"/>
          <w:szCs w:val="24"/>
          <w:lang w:val="pt-BR" w:eastAsia="zh-CN" w:bidi="hi-IN"/>
        </w:rPr>
        <w:t xml:space="preserve"> — </w:t>
      </w:r>
      <w:r>
        <w:rPr>
          <w:position w:val="0"/>
          <w:sz w:val="24"/>
          <w:sz w:val="24"/>
          <w:szCs w:val="24"/>
          <w:vertAlign w:val="baseline"/>
          <w:lang w:val="pt-BR" w:eastAsia="zh-CN" w:bidi="hi-IN"/>
        </w:rPr>
        <w:t xml:space="preserve">é </w:t>
      </w:r>
      <w:r>
        <w:rPr>
          <w:sz w:val="24"/>
          <w:szCs w:val="24"/>
          <w:lang w:val="pt-BR" w:eastAsia="zh-CN" w:bidi="hi-IN"/>
        </w:rPr>
        <w:t xml:space="preserve">fundamental </w:t>
      </w:r>
      <w:r>
        <w:rPr>
          <w:position w:val="0"/>
          <w:sz w:val="24"/>
          <w:sz w:val="24"/>
          <w:szCs w:val="24"/>
          <w:vertAlign w:val="baseline"/>
          <w:lang w:val="pt-BR" w:eastAsia="zh-CN" w:bidi="hi-IN"/>
        </w:rPr>
        <w:t>o desenvolvimento articulado de ações voltadas para melhorias das condições estruturais das instituições</w:t>
      </w:r>
      <w:r>
        <w:rPr>
          <w:sz w:val="24"/>
          <w:szCs w:val="24"/>
          <w:lang w:val="pt-BR" w:eastAsia="zh-CN" w:bidi="hi-IN"/>
        </w:rPr>
        <w:t>,</w:t>
      </w:r>
      <w:r>
        <w:rPr>
          <w:position w:val="0"/>
          <w:sz w:val="24"/>
          <w:sz w:val="24"/>
          <w:szCs w:val="24"/>
          <w:vertAlign w:val="baseline"/>
          <w:lang w:val="pt-BR" w:eastAsia="zh-CN" w:bidi="hi-IN"/>
        </w:rPr>
        <w:t xml:space="preserve"> valorização dos trabalhadores da educação e outras práticas de caráter pedagógico.</w:t>
      </w:r>
    </w:p>
    <w:p>
      <w:pPr>
        <w:pStyle w:val="Normal1"/>
        <w:spacing w:lineRule="auto" w:line="360"/>
        <w:ind w:firstLine="720"/>
        <w:jc w:val="both"/>
        <w:rPr>
          <w:lang w:val="pt-BR" w:eastAsia="zh-CN" w:bidi="hi-IN"/>
        </w:rPr>
      </w:pPr>
      <w:r>
        <w:rPr>
          <w:sz w:val="24"/>
          <w:szCs w:val="24"/>
          <w:lang w:val="pt-BR" w:eastAsia="zh-CN" w:bidi="hi-IN"/>
        </w:rPr>
        <w:t>Em abril de 2024, a organização Todos Pela Educação (2024) apresentou uma análise do Programa Pé-de-Meia, destacando tanto aspectos positivos quanto pontos que requerem atenção. Entre os elementos avaliados como positivos, estão: a combinação entre repasses mensais e poupança acumulativa; o repasse direto dos recursos ao estudante; condicionalidades bem definidas, como a obrigatoriedade de participação em avaliações externas; e o apoio financeiro oferecido ao final do Ensino Médio, coincidindo com o início da vida adulta.</w:t>
      </w:r>
    </w:p>
    <w:p>
      <w:pPr>
        <w:pStyle w:val="Normal1"/>
        <w:spacing w:lineRule="auto" w:line="360"/>
        <w:ind w:firstLine="720"/>
        <w:jc w:val="both"/>
        <w:rPr>
          <w:lang w:val="pt-BR" w:eastAsia="zh-CN" w:bidi="hi-IN"/>
        </w:rPr>
      </w:pPr>
      <w:r>
        <w:rPr>
          <w:sz w:val="24"/>
          <w:szCs w:val="24"/>
          <w:lang w:val="pt-BR" w:eastAsia="zh-CN" w:bidi="hi-IN"/>
        </w:rPr>
        <w:t>Por outro lado, foram apontados quatro pontos que merecem atenção: a amplitude dos objetivos, sem metas claras que permitam mensurar sua efetividade; a ausência de valores adicionais para estudantes de escolas em tempo integral, o que poderia fortalecer essa modalidade de ensino; dificuldades operacionais na aferição da frequência escolar, especialmente diante da necessidade de integração dos sistemas educacionais dos diversos estados; e a inexistência de critério de desempenho para o incentivo ENEM, sendo exigida apenas a presença do estudante nos dois dias de prova para que o valor de R$ 200,00 seja concedido.</w:t>
      </w:r>
    </w:p>
    <w:p>
      <w:pPr>
        <w:pStyle w:val="Normal1"/>
        <w:spacing w:lineRule="auto" w:line="360"/>
        <w:ind w:firstLine="720"/>
        <w:jc w:val="both"/>
        <w:rPr>
          <w:sz w:val="24"/>
          <w:szCs w:val="24"/>
          <w:lang w:val="pt-BR" w:eastAsia="zh-CN" w:bidi="hi-IN"/>
        </w:rPr>
      </w:pPr>
      <w:r>
        <w:rPr>
          <w:sz w:val="24"/>
          <w:szCs w:val="24"/>
          <w:lang w:val="pt-BR" w:eastAsia="zh-CN" w:bidi="hi-IN"/>
        </w:rPr>
      </w:r>
    </w:p>
    <w:p>
      <w:pPr>
        <w:pStyle w:val="Normal1"/>
        <w:spacing w:lineRule="auto" w:line="360"/>
        <w:jc w:val="both"/>
        <w:rPr>
          <w:lang w:val="pt-BR" w:eastAsia="zh-CN" w:bidi="hi-IN"/>
        </w:rPr>
      </w:pPr>
      <w:r>
        <w:rPr>
          <w:b/>
          <w:sz w:val="24"/>
          <w:szCs w:val="24"/>
          <w:lang w:val="pt-BR" w:eastAsia="zh-CN" w:bidi="hi-IN"/>
        </w:rPr>
        <w:t>3</w:t>
        <w:tab/>
        <w:t>CONSIDERAÇÕES FINAIS</w:t>
      </w:r>
    </w:p>
    <w:p>
      <w:pPr>
        <w:pStyle w:val="Normal1"/>
        <w:spacing w:lineRule="auto" w:line="360"/>
        <w:jc w:val="both"/>
        <w:rPr>
          <w:sz w:val="24"/>
          <w:szCs w:val="24"/>
          <w:lang w:val="pt-BR" w:eastAsia="zh-CN" w:bidi="hi-IN"/>
        </w:rPr>
      </w:pPr>
      <w:r>
        <w:rPr>
          <w:sz w:val="24"/>
          <w:szCs w:val="24"/>
          <w:lang w:val="pt-BR" w:eastAsia="zh-CN" w:bidi="hi-IN"/>
        </w:rPr>
      </w:r>
    </w:p>
    <w:p>
      <w:pPr>
        <w:pStyle w:val="Normal1"/>
        <w:spacing w:lineRule="auto" w:line="360"/>
        <w:ind w:firstLine="720"/>
        <w:jc w:val="both"/>
        <w:rPr>
          <w:lang w:val="pt-BR" w:eastAsia="zh-CN" w:bidi="hi-IN"/>
        </w:rPr>
      </w:pPr>
      <w:r>
        <w:rPr>
          <w:sz w:val="24"/>
          <w:szCs w:val="24"/>
          <w:lang w:val="pt-BR" w:eastAsia="zh-CN" w:bidi="hi-IN"/>
        </w:rPr>
        <w:t>O artigo analisou a implementação do Programa Pé-de-Meia no IFBA Campus Porto Seguro, destacando seus limites e potencialidades enquanto política de permanência no Ensino Médio Integrado, considerando as desigualdades socioeconômicas e os desafios estruturais vivenciados pelos estudantes da Educação Profissional.</w:t>
      </w:r>
    </w:p>
    <w:p>
      <w:pPr>
        <w:pStyle w:val="Normal1"/>
        <w:spacing w:lineRule="auto" w:line="360"/>
        <w:ind w:firstLine="720"/>
        <w:jc w:val="both"/>
        <w:rPr>
          <w:lang w:val="pt-BR" w:eastAsia="zh-CN" w:bidi="hi-IN"/>
        </w:rPr>
      </w:pPr>
      <w:r>
        <w:rPr>
          <w:sz w:val="24"/>
          <w:szCs w:val="24"/>
          <w:lang w:val="pt-BR" w:eastAsia="zh-CN" w:bidi="hi-IN"/>
        </w:rPr>
        <w:t>Identificamos que o abandono e a evasão escolar no Ensino Médio decorrem de múltiplos fatores. Nesse sentido, embora o repasse financeiro ao estudante seja uma estratégia importante, ele não dá conta, isoladamente, para enfrentar esses desafios de forma integral.</w:t>
      </w:r>
    </w:p>
    <w:p>
      <w:pPr>
        <w:pStyle w:val="Normal1"/>
        <w:spacing w:lineRule="auto" w:line="360"/>
        <w:ind w:firstLine="720"/>
        <w:jc w:val="both"/>
        <w:rPr>
          <w:lang w:val="pt-BR" w:eastAsia="zh-CN" w:bidi="hi-IN"/>
        </w:rPr>
      </w:pPr>
      <w:r>
        <w:rPr>
          <w:sz w:val="24"/>
          <w:szCs w:val="24"/>
          <w:lang w:val="pt-BR" w:eastAsia="zh-CN" w:bidi="hi-IN"/>
        </w:rPr>
        <w:t>O Pé-de-Meia configura-se como um programa de caráter seletivo que, em seu primeiro ano de execução, contemplou quase metade dos estudantes do Ensino Médio, tomando como base os dados de matrículas de 2023. Entre os seus limitadores, destacam-se a exclusão de estudantes pertencentes a famílias unipessoais e a exigência de um percentual de frequência superior aos 75% previstos em legislações educacionais vigentes, como a própria Lei de Diretrizes e Bases da Educação Nacional (LDB).</w:t>
      </w:r>
    </w:p>
    <w:p>
      <w:pPr>
        <w:pStyle w:val="Normal1"/>
        <w:spacing w:lineRule="auto" w:line="360"/>
        <w:ind w:firstLine="720"/>
        <w:jc w:val="both"/>
        <w:rPr>
          <w:lang w:val="pt-BR" w:eastAsia="zh-CN" w:bidi="hi-IN"/>
        </w:rPr>
      </w:pPr>
      <w:r>
        <w:rPr>
          <w:sz w:val="24"/>
          <w:szCs w:val="24"/>
          <w:lang w:val="pt-BR" w:eastAsia="zh-CN" w:bidi="hi-IN"/>
        </w:rPr>
        <w:t xml:space="preserve">Como pontos fortes do programa, destacam-se a articulação com outras políticas públicas e o aporte financeiro disponível ao estudante ao concluir o Ensino Médio. A análise mostrou que, no IFBA </w:t>
      </w:r>
      <w:r>
        <w:rPr>
          <w:i/>
          <w:sz w:val="24"/>
          <w:szCs w:val="24"/>
          <w:lang w:val="pt-BR" w:eastAsia="zh-CN" w:bidi="hi-IN"/>
        </w:rPr>
        <w:t>Campus</w:t>
      </w:r>
      <w:r>
        <w:rPr>
          <w:sz w:val="24"/>
          <w:szCs w:val="24"/>
          <w:lang w:val="pt-BR" w:eastAsia="zh-CN" w:bidi="hi-IN"/>
        </w:rPr>
        <w:t xml:space="preserve"> Porto Seguro, cerca de 10% dos estudantes elegíveis que receberam parcelas do programa deixaram o instituto antes do fim do ano letivo. Esse dado evidencia que a permanência escolar exige ações além do suporte financeiro direto e, no contexto da Educação Profissional, demanda estudos mais aprofundados para futuras análises.</w:t>
      </w:r>
    </w:p>
    <w:p>
      <w:pPr>
        <w:pStyle w:val="Normal1"/>
        <w:spacing w:lineRule="auto" w:line="360"/>
        <w:ind w:firstLine="720"/>
        <w:jc w:val="both"/>
        <w:rPr>
          <w:lang w:val="pt-BR" w:eastAsia="zh-CN" w:bidi="hi-IN"/>
        </w:rPr>
      </w:pPr>
      <w:r>
        <w:rPr>
          <w:sz w:val="24"/>
          <w:szCs w:val="24"/>
          <w:lang w:val="pt-BR" w:eastAsia="zh-CN" w:bidi="hi-IN"/>
        </w:rPr>
        <w:t>Refletir sobre a permanência estudantil nos leva a questionar: a escola, especialmente a pública, ainda é atrativa para os estudantes em uma época de avanços tecnológicos, inteligência artificial e mediação das relações por máquinas? Para aprofundar esse debate, é necessário realizar novos estudos, baseados em investigações e análises que serão elaboradas futuramente.</w:t>
      </w:r>
    </w:p>
    <w:p>
      <w:pPr>
        <w:pStyle w:val="Normal1"/>
        <w:spacing w:lineRule="auto" w:line="360"/>
        <w:ind w:hanging="0" w:left="0"/>
        <w:jc w:val="both"/>
        <w:rPr>
          <w:sz w:val="24"/>
          <w:szCs w:val="24"/>
          <w:lang w:val="pt-BR" w:eastAsia="zh-CN" w:bidi="hi-IN"/>
        </w:rPr>
      </w:pPr>
      <w:r>
        <w:rPr>
          <w:sz w:val="24"/>
          <w:szCs w:val="24"/>
          <w:lang w:val="pt-BR" w:eastAsia="zh-CN" w:bidi="hi-IN"/>
        </w:rPr>
      </w:r>
    </w:p>
    <w:p>
      <w:pPr>
        <w:pStyle w:val="Normal1"/>
        <w:spacing w:lineRule="auto" w:line="360"/>
        <w:ind w:hanging="0" w:left="0"/>
        <w:jc w:val="both"/>
        <w:rPr>
          <w:lang w:val="pt-BR" w:eastAsia="zh-CN" w:bidi="hi-IN"/>
        </w:rPr>
      </w:pPr>
      <w:r>
        <w:rPr>
          <w:b/>
          <w:sz w:val="24"/>
          <w:szCs w:val="24"/>
          <w:lang w:val="pt-BR" w:eastAsia="zh-CN" w:bidi="hi-IN"/>
        </w:rPr>
        <w:t>REFERÊNCIAS</w:t>
      </w:r>
    </w:p>
    <w:p>
      <w:pPr>
        <w:pStyle w:val="Normal1"/>
        <w:spacing w:lineRule="auto" w:line="360"/>
        <w:ind w:hanging="0" w:left="0"/>
        <w:jc w:val="both"/>
        <w:rPr>
          <w:b/>
          <w:sz w:val="24"/>
          <w:szCs w:val="24"/>
          <w:lang w:val="pt-BR" w:eastAsia="zh-CN" w:bidi="hi-IN"/>
        </w:rPr>
      </w:pPr>
      <w:r>
        <w:rPr>
          <w:b/>
          <w:sz w:val="24"/>
          <w:szCs w:val="24"/>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BRASIL. Lei nº 9394, de 20 de dezembro de 1996. </w:t>
      </w:r>
      <w:r>
        <w:rPr>
          <w:b/>
          <w:lang w:val="pt-BR" w:eastAsia="zh-CN" w:bidi="hi-IN"/>
        </w:rPr>
        <w:t xml:space="preserve">Estabelece as diretrizes e bases da educação nacional. </w:t>
      </w:r>
      <w:r>
        <w:rPr>
          <w:lang w:val="pt-BR" w:eastAsia="zh-CN" w:bidi="hi-IN"/>
        </w:rPr>
        <w:t>Diário Oficial da União, Brasília, DF, 23 dez. 1996. Disponível em: &lt;https://www.planalto.gov.br/ccivil_03/leis/l9394.htm&gt;. Acesso em 05 Out 2024.</w:t>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BRASIL, Ministério da Educação/SETEC. </w:t>
      </w:r>
      <w:r>
        <w:rPr>
          <w:b/>
          <w:lang w:val="pt-BR" w:eastAsia="zh-CN" w:bidi="hi-IN"/>
        </w:rPr>
        <w:t>Documento orientador para a superação da evasão e retenção na Rede Federal. Brasília-DF</w:t>
      </w:r>
      <w:r>
        <w:rPr>
          <w:lang w:val="pt-BR" w:eastAsia="zh-CN" w:bidi="hi-IN"/>
        </w:rPr>
        <w:t>, 2014. Disponível em: https://avr.ifsp.edu.br/images/pdf/Comissoes_Outros/PermanenciaExito/Documento-Orientador-SETEC.pdf . Acesso em 05 Out. 2024.</w:t>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BRASIL, Ministério da Educação. INEP - Instituto Nacional de Estudos e Pesquisas Educacionais Anísio Teixeira. </w:t>
      </w:r>
      <w:r>
        <w:rPr>
          <w:b/>
          <w:lang w:val="pt-BR" w:eastAsia="zh-CN" w:bidi="hi-IN"/>
        </w:rPr>
        <w:t xml:space="preserve">MEC e Inep divulgam resultados do Censo Escolar 2023. </w:t>
      </w:r>
      <w:r>
        <w:rPr>
          <w:lang w:val="pt-BR" w:eastAsia="zh-CN" w:bidi="hi-IN"/>
        </w:rPr>
        <w:t>Disponível em: https://https://app.powerbi.com/view?r=eyJrIjoiN2ViNDBjNDEtMTM0OC00ZmFhLWIyZWYtZjI1YjU0NzQzMTJhIiwidCI6IjI2ZjczODk3LWM4YWMtNGIxZS05NzhmLWVhNGMwNzc0MzRiZiJ9. Acesso em 10 Out 2024.</w:t>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BRASIL, Ministério da Educação. </w:t>
      </w:r>
      <w:r>
        <w:rPr>
          <w:b/>
          <w:lang w:val="pt-BR" w:eastAsia="zh-CN" w:bidi="hi-IN"/>
        </w:rPr>
        <w:t xml:space="preserve">Plano de Monitoramento e Avaliação do Programa Pé-de-Meia. </w:t>
      </w:r>
      <w:r>
        <w:rPr>
          <w:lang w:val="pt-BR" w:eastAsia="zh-CN" w:bidi="hi-IN"/>
        </w:rPr>
        <w:t>Brasília, Agosto de 2024. Disponível em: https://www.gov.br/mec/pt-br/pe-de-meia/documentos/plano-monitoramento-avaliacao.pdf. Acesso em 08 Nov 2024.</w:t>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DAROS, M. A. </w:t>
      </w:r>
      <w:r>
        <w:rPr>
          <w:b/>
          <w:lang w:val="pt-BR" w:eastAsia="zh-CN" w:bidi="hi-IN"/>
        </w:rPr>
        <w:t>O Instituto Federal de Educação, Ciência e Tecnologia de São Paulo IFSP, a evasão escolar e a atuação do Serviço Social:</w:t>
      </w:r>
      <w:r>
        <w:rPr>
          <w:lang w:val="pt-BR" w:eastAsia="zh-CN" w:bidi="hi-IN"/>
        </w:rPr>
        <w:t xml:space="preserve"> uma experiência em construção (2008-2013). 2014. 184 f. Dissertação (Mestrado em Serviço Social) - Pontifícia Universidade Católica de São Paulo, São Paulo, 2014.</w:t>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DUARTE, A. M. dos S. </w:t>
      </w:r>
      <w:r>
        <w:rPr>
          <w:b/>
          <w:lang w:val="pt-BR" w:eastAsia="zh-CN" w:bidi="hi-IN"/>
        </w:rPr>
        <w:t>A cartografia da permanência estudantil nos cursos de nível médio da Rede Federal de Educação.</w:t>
      </w:r>
      <w:r>
        <w:rPr>
          <w:lang w:val="pt-BR" w:eastAsia="zh-CN" w:bidi="hi-IN"/>
        </w:rPr>
        <w:t xml:space="preserve"> 2019. 230 f. Tese (Doutorado em Serviço Social) - Programa de Estudos Pós-Graduados em Serviço Social, Pontifícia Universidade Católica de São Paulo, São Paulo, 2019.</w:t>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pacing w:lineRule="auto" w:line="360" w:before="0" w:after="0"/>
        <w:ind w:hanging="0" w:left="-141"/>
        <w:jc w:val="both"/>
        <w:rPr>
          <w:lang w:val="pt-BR" w:eastAsia="zh-CN" w:bidi="hi-IN"/>
        </w:rPr>
      </w:pPr>
      <w:r>
        <w:rPr>
          <w:lang w:val="pt-BR" w:eastAsia="zh-CN" w:bidi="hi-IN"/>
        </w:rPr>
        <w:t xml:space="preserve">GÓIS, L.S. </w:t>
      </w:r>
      <w:r>
        <w:rPr>
          <w:b/>
          <w:lang w:val="pt-BR" w:eastAsia="zh-CN" w:bidi="hi-IN"/>
        </w:rPr>
        <w:t>A repercussão do programa de assistência e apoio aos estudantes na evasão escolar do Instituto Federal da Bahia/</w:t>
      </w:r>
      <w:r>
        <w:rPr>
          <w:b/>
          <w:bCs/>
          <w:lang w:val="pt-BR" w:eastAsia="zh-CN" w:bidi="hi-IN"/>
        </w:rPr>
        <w:t>Campus Porto Seguro</w:t>
      </w:r>
      <w:r>
        <w:rPr>
          <w:lang w:val="pt-BR" w:eastAsia="zh-CN" w:bidi="hi-IN"/>
        </w:rPr>
        <w:t>. 2020. 154 f. Dissertação (Mestrado) - Programa de Pós-Graduação em Educação Profissional e Tecnológica, Instituto Federal da Bahia, Salvador, 2020.</w:t>
      </w:r>
    </w:p>
    <w:p>
      <w:pPr>
        <w:pStyle w:val="Normal1"/>
        <w:spacing w:lineRule="auto" w:line="360" w:before="0" w:after="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MACHADO, F. M. </w:t>
      </w:r>
      <w:r>
        <w:rPr>
          <w:b/>
          <w:lang w:val="pt-BR" w:eastAsia="zh-CN" w:bidi="hi-IN"/>
        </w:rPr>
        <w:t>Financiamento da assistência estudantil na Ufes no Contexto de contrarreforma da educação superior</w:t>
      </w:r>
      <w:r>
        <w:rPr>
          <w:lang w:val="pt-BR" w:eastAsia="zh-CN" w:bidi="hi-IN"/>
        </w:rPr>
        <w:t>. 2016. Dissertação (Mestrado em Política Social) – Universidade Federal do Espírito Santo. Vitória/ES.</w:t>
      </w:r>
    </w:p>
    <w:p>
      <w:pPr>
        <w:pStyle w:val="Normal1"/>
        <w:shd w:val="clear" w:fill="FFFFFF"/>
        <w:spacing w:lineRule="auto" w:line="360" w:before="0" w:after="0"/>
        <w:ind w:hanging="0" w:left="-141"/>
        <w:jc w:val="both"/>
        <w:rPr>
          <w:lang w:val="pt-BR" w:eastAsia="zh-CN" w:bidi="hi-IN"/>
        </w:rPr>
      </w:pPr>
      <w:r>
        <w:rPr>
          <w:lang w:val="pt-BR" w:eastAsia="zh-CN" w:bidi="hi-IN"/>
        </w:rPr>
      </w:r>
    </w:p>
    <w:p>
      <w:pPr>
        <w:pStyle w:val="Normal1"/>
        <w:spacing w:lineRule="auto" w:line="360"/>
        <w:ind w:hanging="0" w:left="-141"/>
        <w:jc w:val="both"/>
        <w:rPr>
          <w:lang w:val="pt-BR" w:eastAsia="zh-CN" w:bidi="hi-IN"/>
        </w:rPr>
      </w:pPr>
      <w:r>
        <w:rPr>
          <w:lang w:val="pt-BR" w:eastAsia="zh-CN" w:bidi="hi-IN"/>
        </w:rPr>
        <w:t xml:space="preserve">PRADA, T. </w:t>
      </w:r>
      <w:r>
        <w:rPr>
          <w:b/>
          <w:lang w:val="pt-BR" w:eastAsia="zh-CN" w:bidi="hi-IN"/>
        </w:rPr>
        <w:t>Da invisibilidade à transparência: o gasto público em Assistência Estudantil em tempos de austeridade fiscal e conservadorismo político</w:t>
      </w:r>
      <w:r>
        <w:rPr>
          <w:lang w:val="pt-BR" w:eastAsia="zh-CN" w:bidi="hi-IN"/>
        </w:rPr>
        <w:t>. 2022. 582 p. 2022. Tese (Doutorado) - Programa de Pós-Graduação em Política Social da Universidade Federal do Espírito Santo, Vitória, 2022.</w:t>
      </w:r>
    </w:p>
    <w:p>
      <w:pPr>
        <w:pStyle w:val="Normal1"/>
        <w:spacing w:lineRule="auto" w:line="360"/>
        <w:ind w:hanging="0" w:left="-141"/>
        <w:jc w:val="both"/>
        <w:rPr>
          <w:lang w:val="pt-BR" w:eastAsia="zh-CN" w:bidi="hi-IN"/>
        </w:rPr>
      </w:pPr>
      <w:r>
        <w:rPr>
          <w:lang w:val="pt-BR" w:eastAsia="zh-CN" w:bidi="hi-IN"/>
        </w:rPr>
      </w:r>
    </w:p>
    <w:p>
      <w:pPr>
        <w:pStyle w:val="Normal1"/>
        <w:shd w:val="clear" w:fill="FFFFFF"/>
        <w:spacing w:lineRule="auto" w:line="360" w:before="0" w:after="0"/>
        <w:ind w:hanging="0" w:left="-141"/>
        <w:jc w:val="both"/>
        <w:rPr>
          <w:lang w:val="pt-BR" w:eastAsia="zh-CN" w:bidi="hi-IN"/>
        </w:rPr>
      </w:pPr>
      <w:r>
        <w:rPr>
          <w:lang w:val="pt-BR" w:eastAsia="zh-CN" w:bidi="hi-IN"/>
        </w:rPr>
        <w:t xml:space="preserve">TODOS PELA EDUCAÇÃO: </w:t>
      </w:r>
      <w:r>
        <w:rPr>
          <w:b/>
          <w:lang w:val="pt-BR" w:eastAsia="zh-CN" w:bidi="hi-IN"/>
        </w:rPr>
        <w:t xml:space="preserve">Análise do Programa Pé-de-Meia. </w:t>
      </w:r>
      <w:r>
        <w:rPr>
          <w:lang w:val="pt-BR" w:eastAsia="zh-CN" w:bidi="hi-IN"/>
        </w:rPr>
        <w:t>Abril de 2024. Disponível em https://todospelaeducacao.org.br/tag/analise-tecnica-do-programa-pe-de-meia. Acesso em 06 de Out. 2024.</w:t>
      </w:r>
    </w:p>
    <w:p>
      <w:pPr>
        <w:pStyle w:val="Normal1"/>
        <w:spacing w:lineRule="auto" w:line="360" w:before="0" w:after="0"/>
        <w:ind w:firstLine="720"/>
        <w:jc w:val="both"/>
        <w:rPr>
          <w:b/>
          <w:sz w:val="24"/>
          <w:szCs w:val="24"/>
          <w:lang w:val="pt-BR" w:eastAsia="zh-CN" w:bidi="hi-IN"/>
        </w:rPr>
      </w:pPr>
      <w:r>
        <w:rPr>
          <w:b/>
          <w:sz w:val="24"/>
          <w:szCs w:val="24"/>
          <w:lang w:val="pt-BR" w:eastAsia="zh-CN" w:bidi="hi-IN"/>
        </w:rPr>
      </w:r>
    </w:p>
    <w:p>
      <w:pPr>
        <w:pStyle w:val="Normal1"/>
        <w:spacing w:lineRule="auto" w:line="360"/>
        <w:ind w:firstLine="720"/>
        <w:jc w:val="both"/>
        <w:rPr>
          <w:b/>
          <w:sz w:val="24"/>
          <w:szCs w:val="24"/>
          <w:lang w:val="pt-BR" w:eastAsia="zh-CN" w:bidi="hi-IN"/>
        </w:rPr>
      </w:pPr>
      <w:r>
        <w:rPr>
          <w:b/>
          <w:sz w:val="24"/>
          <w:szCs w:val="24"/>
          <w:lang w:val="pt-BR" w:eastAsia="zh-CN" w:bidi="hi-IN"/>
        </w:rPr>
      </w:r>
    </w:p>
    <w:p>
      <w:pPr>
        <w:pStyle w:val="Normal1"/>
        <w:spacing w:lineRule="auto" w:line="360"/>
        <w:ind w:hanging="0"/>
        <w:jc w:val="both"/>
        <w:rPr>
          <w:lang w:val="pt-BR" w:eastAsia="zh-CN" w:bidi="hi-IN"/>
        </w:rPr>
      </w:pPr>
      <w:r>
        <w:rPr>
          <w:lang w:val="pt-BR" w:eastAsia="zh-CN" w:bidi="hi-IN"/>
        </w:rPr>
      </w:r>
    </w:p>
    <w:p>
      <w:pPr>
        <w:pStyle w:val="Normal1"/>
        <w:spacing w:lineRule="auto" w:line="360"/>
        <w:ind w:hanging="0"/>
        <w:jc w:val="both"/>
        <w:rPr>
          <w:lang w:val="pt-BR" w:eastAsia="zh-CN" w:bidi="hi-IN"/>
        </w:rPr>
      </w:pPr>
      <w:r>
        <w:rPr>
          <w:lang w:val="pt-BR" w:eastAsia="zh-CN" w:bidi="hi-IN"/>
        </w:rPr>
      </w:r>
    </w:p>
    <w:p>
      <w:pPr>
        <w:pStyle w:val="Normal1"/>
        <w:spacing w:lineRule="auto" w:line="360"/>
        <w:ind w:hanging="0"/>
        <w:jc w:val="both"/>
        <w:rPr>
          <w:lang w:val="pt-BR" w:eastAsia="zh-CN" w:bidi="hi-IN"/>
        </w:rPr>
      </w:pPr>
      <w:r>
        <w:rPr>
          <w:lang w:val="pt-BR" w:eastAsia="zh-CN" w:bidi="hi-IN"/>
        </w:rPr>
      </w:r>
    </w:p>
    <w:sectPr>
      <w:headerReference w:type="default" r:id="rId2"/>
      <w:footnotePr>
        <w:numFmt w:val="decimal"/>
      </w:footnotePr>
      <w:type w:val="nextPage"/>
      <w:pgSz w:w="11906" w:h="16838"/>
      <w:pgMar w:left="1701" w:right="1134" w:gutter="0" w:header="3401" w:top="3458" w:footer="0" w:bottom="1134"/>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Georgia">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rmal1"/>
        <w:spacing w:lineRule="auto" w:line="240"/>
        <w:jc w:val="both"/>
        <w:rPr>
          <w:sz w:val="18"/>
          <w:szCs w:val="18"/>
        </w:rPr>
      </w:pPr>
      <w:r>
        <w:rPr>
          <w:rStyle w:val="Caracteresdenotaderodap"/>
        </w:rPr>
        <w:footnoteRef/>
      </w:r>
      <w:r>
        <w:rPr>
          <w:sz w:val="18"/>
          <w:szCs w:val="18"/>
        </w:rPr>
        <w:t xml:space="preserve">  </w:t>
      </w:r>
      <w:r>
        <w:rPr>
          <w:sz w:val="18"/>
          <w:szCs w:val="18"/>
        </w:rPr>
        <w:t xml:space="preserve">Doutora em Política Social pela Universidade Federal do Espírito Santo e Assistente Social do Instituto Federal de Educação, Ciência e Tecnologia da Bahia, Campus Porto Seguro. Membro do grupo de estudos Fênix da Universidade Federal do Espírito Santo. talita.prada@ifba.edu.br  </w:t>
      </w:r>
    </w:p>
  </w:footnote>
  <w:footnote w:id="3">
    <w:p>
      <w:pPr>
        <w:pStyle w:val="Normal1"/>
        <w:spacing w:lineRule="auto" w:line="240"/>
        <w:rPr>
          <w:sz w:val="20"/>
          <w:szCs w:val="20"/>
        </w:rPr>
      </w:pPr>
      <w:r>
        <w:rPr>
          <w:rStyle w:val="Caracteresdenotaderodap"/>
        </w:rPr>
        <w:footnoteRef/>
      </w:r>
      <w:r>
        <w:rPr>
          <w:sz w:val="20"/>
          <w:szCs w:val="20"/>
        </w:rPr>
        <w:t xml:space="preserve"> </w:t>
      </w:r>
      <w:r>
        <w:rPr>
          <w:sz w:val="18"/>
          <w:szCs w:val="18"/>
        </w:rPr>
        <w:t>Graduada em Serviço Social pela Universidade do Estado do Rio Grande do Norte, Mestra em Serviço Social pela Universidade Federal do Rio Grande do Norte e Assistente Social do Instituto Federal de Educação, Ciência e Tecnologia da Bahia, Campus Porto Seguro. leniragurgel@ifba.edu.br</w:t>
      </w:r>
    </w:p>
  </w:footnote>
  <w:footnote w:id="4">
    <w:p>
      <w:pPr>
        <w:pStyle w:val="Normal1"/>
        <w:spacing w:lineRule="auto" w:line="240"/>
        <w:rPr>
          <w:sz w:val="18"/>
          <w:szCs w:val="18"/>
        </w:rPr>
      </w:pPr>
      <w:r>
        <w:rPr>
          <w:rStyle w:val="Caracteresdenotaderodap"/>
        </w:rPr>
        <w:footnoteRef/>
      </w:r>
      <w:r>
        <w:rPr>
          <w:sz w:val="20"/>
          <w:szCs w:val="20"/>
        </w:rPr>
        <w:t xml:space="preserve"> </w:t>
      </w:r>
      <w:r>
        <w:rPr>
          <w:sz w:val="18"/>
          <w:szCs w:val="18"/>
        </w:rPr>
        <w:t>Graduada em Letras Vernáculas pela Universidade do Estado da Bahia, Mestra em Educação Profissional pelo Instituto Federal da Bahia, Técnica em Assuntos Educacionais e Presidenta da Comissão Local de Assistência Estudantil do IFBA, Campus Porto Seguro. luanagois@ifba.edu.br</w:t>
      </w:r>
    </w:p>
    <w:p>
      <w:pPr>
        <w:pStyle w:val="Normal1"/>
        <w:spacing w:lineRule="auto" w:line="240"/>
        <w:rPr>
          <w:sz w:val="20"/>
          <w:szCs w:val="20"/>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osition w:val="0"/>
        <w:sz w:val="22"/>
        <w:sz w:val="22"/>
        <w:vertAlign w:val="baseline"/>
      </w:rPr>
    </w:pPr>
    <w:r>
      <w:rPr>
        <w:position w:val="0"/>
        <w:sz w:val="22"/>
        <w:sz w:val="22"/>
        <w:vertAlign w:val="baseline"/>
      </w:rPr>
      <w:drawing>
        <wp:anchor behindDoc="1" distT="0" distB="0" distL="0" distR="0" simplePos="0" locked="0" layoutInCell="0" allowOverlap="1" relativeHeight="13">
          <wp:simplePos x="0" y="0"/>
          <wp:positionH relativeFrom="page">
            <wp:posOffset>0</wp:posOffset>
          </wp:positionH>
          <wp:positionV relativeFrom="page">
            <wp:posOffset>6985</wp:posOffset>
          </wp:positionV>
          <wp:extent cx="7563485" cy="1072769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563485" cy="10727690"/>
                  </a:xfrm>
                  <a:prstGeom prst="rect">
                    <a:avLst/>
                  </a:prstGeom>
                </pic:spPr>
              </pic:pic>
            </a:graphicData>
          </a:graphic>
        </wp:anchor>
      </w:drawing>
    </w:r>
  </w:p>
</w:hdr>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suppressAutoHyphens w:val="true"/>
      <w:spacing w:lineRule="auto" w:line="276" w:before="400" w:after="120"/>
      <w:textAlignment w:val="top"/>
      <w:outlineLvl w:val="0"/>
    </w:pPr>
    <w:rPr>
      <w:w w:val="100"/>
      <w:position w:val="-1"/>
      <w:sz w:val="40"/>
      <w:szCs w:val="40"/>
      <w:effect w:val="none"/>
      <w:em w:val="none"/>
      <w:lang w:val="pt-BR" w:eastAsia="pt-BR" w:bidi="ar-SA"/>
    </w:rPr>
  </w:style>
  <w:style w:type="paragraph" w:styleId="Heading2">
    <w:name w:val="Heading 2"/>
    <w:basedOn w:val="Normal1"/>
    <w:next w:val="Normal1"/>
    <w:qFormat/>
    <w:pPr>
      <w:keepNext w:val="true"/>
      <w:keepLines/>
      <w:suppressAutoHyphens w:val="true"/>
      <w:spacing w:lineRule="auto" w:line="276" w:before="360" w:after="120"/>
      <w:textAlignment w:val="top"/>
      <w:outlineLvl w:val="1"/>
    </w:pPr>
    <w:rPr>
      <w:w w:val="100"/>
      <w:position w:val="-1"/>
      <w:sz w:val="32"/>
      <w:szCs w:val="32"/>
      <w:effect w:val="none"/>
      <w:em w:val="none"/>
      <w:lang w:val="pt-BR" w:eastAsia="pt-BR" w:bidi="ar-SA"/>
    </w:rPr>
  </w:style>
  <w:style w:type="paragraph" w:styleId="Heading3">
    <w:name w:val="Heading 3"/>
    <w:basedOn w:val="Normal1"/>
    <w:next w:val="Normal1"/>
    <w:qFormat/>
    <w:pPr>
      <w:keepNext w:val="true"/>
      <w:keepLines/>
      <w:suppressAutoHyphens w:val="true"/>
      <w:spacing w:lineRule="auto" w:line="276" w:before="320" w:after="80"/>
      <w:textAlignment w:val="top"/>
      <w:outlineLvl w:val="2"/>
    </w:pPr>
    <w:rPr>
      <w:color w:val="434343"/>
      <w:w w:val="100"/>
      <w:position w:val="-1"/>
      <w:sz w:val="28"/>
      <w:szCs w:val="28"/>
      <w:effect w:val="none"/>
      <w:em w:val="none"/>
      <w:lang w:val="pt-BR" w:eastAsia="pt-BR" w:bidi="ar-SA"/>
    </w:rPr>
  </w:style>
  <w:style w:type="paragraph" w:styleId="Heading4">
    <w:name w:val="Heading 4"/>
    <w:basedOn w:val="Normal1"/>
    <w:next w:val="Normal1"/>
    <w:qFormat/>
    <w:pPr>
      <w:keepNext w:val="true"/>
      <w:keepLines/>
      <w:suppressAutoHyphens w:val="true"/>
      <w:spacing w:lineRule="auto" w:line="276" w:before="280" w:after="80"/>
      <w:textAlignment w:val="top"/>
      <w:outlineLvl w:val="3"/>
    </w:pPr>
    <w:rPr>
      <w:color w:val="666666"/>
      <w:w w:val="100"/>
      <w:position w:val="-1"/>
      <w:sz w:val="24"/>
      <w:szCs w:val="24"/>
      <w:effect w:val="none"/>
      <w:em w:val="none"/>
      <w:lang w:val="pt-BR" w:eastAsia="pt-BR" w:bidi="ar-SA"/>
    </w:rPr>
  </w:style>
  <w:style w:type="paragraph" w:styleId="Heading5">
    <w:name w:val="Heading 5"/>
    <w:basedOn w:val="Normal1"/>
    <w:next w:val="Normal1"/>
    <w:qFormat/>
    <w:pPr>
      <w:keepNext w:val="true"/>
      <w:keepLines/>
      <w:suppressAutoHyphens w:val="true"/>
      <w:spacing w:lineRule="auto" w:line="276" w:before="240" w:after="80"/>
      <w:textAlignment w:val="top"/>
      <w:outlineLvl w:val="4"/>
    </w:pPr>
    <w:rPr>
      <w:color w:val="666666"/>
      <w:w w:val="100"/>
      <w:position w:val="-1"/>
      <w:sz w:val="22"/>
      <w:szCs w:val="22"/>
      <w:effect w:val="none"/>
      <w:em w:val="none"/>
      <w:lang w:val="pt-BR" w:eastAsia="pt-BR" w:bidi="ar-SA"/>
    </w:rPr>
  </w:style>
  <w:style w:type="paragraph" w:styleId="Heading6">
    <w:name w:val="Heading 6"/>
    <w:basedOn w:val="Normal1"/>
    <w:next w:val="Normal1"/>
    <w:qFormat/>
    <w:pPr>
      <w:keepNext w:val="true"/>
      <w:keepLines/>
      <w:suppressAutoHyphens w:val="true"/>
      <w:spacing w:lineRule="auto" w:line="276" w:before="240" w:after="80"/>
      <w:textAlignment w:val="top"/>
      <w:outlineLvl w:val="5"/>
    </w:pPr>
    <w:rPr>
      <w:i/>
      <w:color w:val="666666"/>
      <w:w w:val="100"/>
      <w:position w:val="-1"/>
      <w:sz w:val="22"/>
      <w:szCs w:val="22"/>
      <w:effect w:val="none"/>
      <w:em w:val="none"/>
      <w:lang w:val="pt-BR" w:eastAsia="pt-BR" w:bidi="ar-SA"/>
    </w:rPr>
  </w:style>
  <w:style w:type="character" w:styleId="Fontepargpadro">
    <w:name w:val="Fonte parág. padrão"/>
    <w:qFormat/>
    <w:rPr>
      <w:w w:val="100"/>
      <w:position w:val="0"/>
      <w:sz w:val="22"/>
      <w:sz w:val="22"/>
      <w:effect w:val="none"/>
      <w:vertAlign w:val="baseline"/>
      <w:em w:val="none"/>
    </w:rPr>
  </w:style>
  <w:style w:type="character" w:styleId="CabealhoChar">
    <w:name w:val="Cabeçalho Char"/>
    <w:basedOn w:val="Fontepargpadro"/>
    <w:qFormat/>
    <w:rPr>
      <w:w w:val="100"/>
      <w:position w:val="0"/>
      <w:sz w:val="22"/>
      <w:sz w:val="22"/>
      <w:effect w:val="none"/>
      <w:vertAlign w:val="baseline"/>
      <w:em w:val="none"/>
    </w:rPr>
  </w:style>
  <w:style w:type="character" w:styleId="RodapChar">
    <w:name w:val="Rodapé Char"/>
    <w:basedOn w:val="Fontepargpadro"/>
    <w:qFormat/>
    <w:rPr>
      <w:w w:val="100"/>
      <w:position w:val="0"/>
      <w:sz w:val="22"/>
      <w:sz w:val="22"/>
      <w:effect w:val="none"/>
      <w:vertAlign w:val="baseline"/>
      <w:em w:val="none"/>
    </w:rPr>
  </w:style>
  <w:style w:type="character" w:styleId="Caracteresdenotaderodap">
    <w:name w:val="Caracteres de nota de rodapé"/>
    <w:qFormat/>
    <w:rPr>
      <w:vertAlign w:val="superscript"/>
    </w:rPr>
  </w:style>
  <w:style w:type="character" w:styleId="FootnoteReference">
    <w:name w:val="Footnote Reference"/>
    <w:rPr>
      <w:vertAlign w:val="superscript"/>
    </w:rPr>
  </w:style>
  <w:style w:type="character" w:styleId="Caracteresdenotadefim">
    <w:name w:val="Caracteres de nota de fim"/>
    <w:qFormat/>
    <w:rPr>
      <w:vertAlign w:val="superscript"/>
    </w:rPr>
  </w:style>
  <w:style w:type="character" w:styleId="EndnoteReference">
    <w:name w:val="Endnote Reference"/>
    <w:rPr>
      <w:vertAlign w:val="superscript"/>
    </w:rPr>
  </w:style>
  <w:style w:type="paragraph" w:styleId="Ttulo">
    <w:name w:val="Título"/>
    <w:basedOn w:val="Normal1"/>
    <w:next w:val="Normal1"/>
    <w:qFormat/>
    <w:pPr>
      <w:keepNext w:val="true"/>
      <w:keepLines/>
      <w:suppressAutoHyphens w:val="true"/>
      <w:spacing w:lineRule="auto" w:line="276" w:before="0" w:after="60"/>
      <w:textAlignment w:val="top"/>
      <w:outlineLvl w:val="0"/>
    </w:pPr>
    <w:rPr>
      <w:w w:val="100"/>
      <w:position w:val="-1"/>
      <w:sz w:val="52"/>
      <w:szCs w:val="52"/>
      <w:effect w:val="none"/>
      <w:em w:val="none"/>
      <w:lang w:val="pt-BR" w:eastAsia="pt-BR" w:bidi="ar-SA"/>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CabealhoeRodap">
    <w:name w:val="Cabeçalho e Rodapé"/>
    <w:basedOn w:val="Normal"/>
    <w:qFormat/>
    <w:pPr/>
    <w:rPr/>
  </w:style>
  <w:style w:type="paragraph" w:styleId="Header">
    <w:name w:val="Header"/>
    <w:basedOn w:val="Normal1"/>
    <w:qFormat/>
    <w:pPr>
      <w:tabs>
        <w:tab w:val="clear" w:pos="720"/>
        <w:tab w:val="center" w:pos="4252" w:leader="none"/>
        <w:tab w:val="right" w:pos="8504" w:leader="none"/>
      </w:tabs>
      <w:suppressAutoHyphens w:val="true"/>
      <w:spacing w:lineRule="auto" w:line="240"/>
      <w:textAlignment w:val="top"/>
      <w:outlineLvl w:val="0"/>
    </w:pPr>
    <w:rPr>
      <w:w w:val="100"/>
      <w:position w:val="-1"/>
      <w:sz w:val="22"/>
      <w:szCs w:val="22"/>
      <w:effect w:val="none"/>
      <w:em w:val="none"/>
      <w:lang w:val="pt-BR" w:eastAsia="pt-BR" w:bidi="ar-SA"/>
    </w:rPr>
  </w:style>
  <w:style w:type="paragraph" w:styleId="Footer">
    <w:name w:val="Footer"/>
    <w:basedOn w:val="Normal1"/>
    <w:qFormat/>
    <w:pPr>
      <w:tabs>
        <w:tab w:val="clear" w:pos="720"/>
        <w:tab w:val="center" w:pos="4252" w:leader="none"/>
        <w:tab w:val="right" w:pos="8504" w:leader="none"/>
      </w:tabs>
      <w:suppressAutoHyphens w:val="true"/>
      <w:spacing w:lineRule="auto" w:line="240"/>
      <w:textAlignment w:val="top"/>
      <w:outlineLvl w:val="0"/>
    </w:pPr>
    <w:rPr>
      <w:w w:val="100"/>
      <w:position w:val="-1"/>
      <w:sz w:val="22"/>
      <w:szCs w:val="22"/>
      <w:effect w:val="none"/>
      <w:em w:val="none"/>
      <w:lang w:val="pt-BR" w:eastAsia="pt-BR" w:bidi="ar-SA"/>
    </w:rPr>
  </w:style>
  <w:style w:type="paragraph" w:styleId="FootnoteText">
    <w:name w:val="Footnote Text"/>
    <w:basedOn w:val="Normal"/>
    <w:pPr/>
    <w:rPr/>
  </w:style>
  <w:style w:type="numbering" w:styleId="Semlista">
    <w:name w:val="Sem lista"/>
    <w:qFormat/>
  </w:style>
  <w:style w:type="table" w:default="1" w:styleId="TableNormal">
    <w:name w:val="TableNormal"/>
  </w:style>
  <w:style w:type="table" w:default="1" w:styleId="TableNormal">
    <w:name w:val="TableNormal"/>
  </w:style>
  <w:style w:type="table" w:styleId="Tabelanormal">
    <w:name w:val="Tabela normal"/>
    <w:qFormat/>
    <w:pPr>
      <w:ind w:rightChars="0"/>
      <w:spacing w:line="1" w:lineRule="atLeast"/>
    </w:pPr>
    <w:tblPr>
      <w:tblCellMar>
        <w:top w:w="0" w:type="dxa"/>
        <w:left w:w="108" w:type="dxa"/>
        <w:bottom w:w="0" w:type="dxa"/>
        <w:right w:w="108" w:type="dxa"/>
      </w:tblCellMar>
    </w:tblPr>
  </w:style>
  <w:style w:type="table" w:styleId="TableNormal">
    <w:name w:val="Table Normal"/>
    <w:qFormat/>
    <w:pPr>
      <w:ind w:rightChars="0"/>
      <w:spacing w:line="276" w:lineRule="auto"/>
    </w:pPr>
    <w:rPr>
      <w:lang w:val="pt-BR" w:eastAsia="pt-BR" w:bidi="ar-SA"/>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notes" Target="footnot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eUEbtdPRkKl4kg9/8pxGCrWRVVw==">CgMxLjA4AHIhMXMzbk00YXVYTHM3M0NhLU9WcnctalJmNVZMSFNDV0hC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Pages>12</Pages>
  <Words>3170</Words>
  <Characters>18882</Characters>
  <Paragraphs>66</Paragraphs>
  <CharactersWithSpaces>22010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ModifiedBy/>
  <dcterms:created xsi:type="dcterms:W3CDTF">2025-02-17T16:43:00Z</dcterms:created>
  <dcterms:modified xsi:type="dcterms:W3CDTF">2025-07-05T10:46:54Z</dcterms:modified>
</cp:coreProperties>
</file>

<file path=docProps/custom.xml><?xml version="1.0" encoding="utf-8"?>
<Properties xmlns="http://schemas.openxmlformats.org/officeDocument/2006/custom-properties" xmlns:vt="http://schemas.openxmlformats.org/officeDocument/2006/docPropsVTypes"/>
</file>