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15B0C3" w14:textId="77777777" w:rsidR="008A5431" w:rsidRDefault="008A5431"/>
    <w:p w14:paraId="482AFE42" w14:textId="77777777" w:rsidR="008A5431" w:rsidRDefault="008A5431">
      <w:pPr>
        <w:pStyle w:val="Ttulo3"/>
        <w:spacing w:before="0" w:after="0"/>
        <w:ind w:right="-137"/>
        <w:jc w:val="center"/>
        <w:rPr>
          <w:sz w:val="24"/>
          <w:szCs w:val="24"/>
        </w:rPr>
      </w:pPr>
      <w:bookmarkStart w:id="0" w:name="_heading=h.v58mdbjyabdy" w:colFirst="0" w:colLast="0"/>
      <w:bookmarkEnd w:id="0"/>
    </w:p>
    <w:p w14:paraId="34690684" w14:textId="4F2D7859" w:rsidR="008A5431" w:rsidRDefault="00957CB8">
      <w:pPr>
        <w:pStyle w:val="Ttulo3"/>
        <w:spacing w:before="0" w:after="0"/>
        <w:ind w:right="-137"/>
        <w:jc w:val="center"/>
        <w:rPr>
          <w:b w:val="0"/>
          <w:sz w:val="24"/>
          <w:szCs w:val="24"/>
        </w:rPr>
      </w:pPr>
      <w:bookmarkStart w:id="1" w:name="_heading=h.1wyxoxll9uh" w:colFirst="0" w:colLast="0"/>
      <w:bookmarkEnd w:id="1"/>
      <w:r>
        <w:rPr>
          <w:sz w:val="24"/>
          <w:szCs w:val="24"/>
        </w:rPr>
        <w:t xml:space="preserve">TRANSVERSALIDADE E INTERSECCIONALIDADE DE RAÇA </w:t>
      </w:r>
      <w:r w:rsidR="00673798">
        <w:rPr>
          <w:sz w:val="24"/>
          <w:szCs w:val="24"/>
        </w:rPr>
        <w:t xml:space="preserve">E </w:t>
      </w:r>
      <w:r>
        <w:rPr>
          <w:sz w:val="24"/>
          <w:szCs w:val="24"/>
        </w:rPr>
        <w:t>GÊNERO NO DESENVOLVIMENTO DE POLÍTICAS PÚBLICAS MUNICIPAIS:</w:t>
      </w:r>
      <w:r>
        <w:rPr>
          <w:b w:val="0"/>
          <w:sz w:val="24"/>
          <w:szCs w:val="24"/>
        </w:rPr>
        <w:t xml:space="preserve"> Estratégias de gestão no Programa “Bora Belém”</w:t>
      </w:r>
    </w:p>
    <w:p w14:paraId="4E755ABF" w14:textId="77777777" w:rsidR="00964CF6" w:rsidRPr="00964CF6" w:rsidRDefault="00964CF6" w:rsidP="00964CF6"/>
    <w:p w14:paraId="3C2BB5F1" w14:textId="77777777" w:rsidR="008A5431" w:rsidRDefault="00957CB8">
      <w:pPr>
        <w:pBdr>
          <w:left w:val="none" w:sz="0" w:space="23" w:color="000000"/>
        </w:pBdr>
        <w:shd w:val="clear" w:color="auto" w:fill="FFFFFF"/>
        <w:ind w:left="420" w:hanging="200"/>
        <w:jc w:val="right"/>
        <w:rPr>
          <w:b/>
          <w:sz w:val="24"/>
          <w:szCs w:val="24"/>
        </w:rPr>
      </w:pPr>
      <w:r>
        <w:rPr>
          <w:sz w:val="24"/>
          <w:szCs w:val="24"/>
        </w:rPr>
        <w:t xml:space="preserve">Thais Pires Almeida¹  </w:t>
      </w:r>
      <w:r>
        <w:rPr>
          <w:b/>
          <w:sz w:val="24"/>
          <w:szCs w:val="24"/>
        </w:rPr>
        <w:t xml:space="preserve"> </w:t>
      </w:r>
    </w:p>
    <w:p w14:paraId="73EFBD08" w14:textId="77777777" w:rsidR="008A5431" w:rsidRDefault="00957CB8">
      <w:pPr>
        <w:pBdr>
          <w:left w:val="none" w:sz="0" w:space="23" w:color="000000"/>
        </w:pBdr>
        <w:shd w:val="clear" w:color="auto" w:fill="FFFFFF"/>
        <w:ind w:left="420" w:hanging="200"/>
        <w:jc w:val="right"/>
        <w:rPr>
          <w:b/>
          <w:sz w:val="24"/>
          <w:szCs w:val="24"/>
        </w:rPr>
      </w:pPr>
      <w:r>
        <w:rPr>
          <w:sz w:val="24"/>
          <w:szCs w:val="24"/>
        </w:rPr>
        <w:t>Maria do Socorro Silva²</w:t>
      </w:r>
    </w:p>
    <w:p w14:paraId="4F33DDFB" w14:textId="77777777" w:rsidR="008A5431" w:rsidRDefault="00957CB8">
      <w:pPr>
        <w:pBdr>
          <w:left w:val="none" w:sz="0" w:space="23" w:color="000000"/>
        </w:pBdr>
        <w:shd w:val="clear" w:color="auto" w:fill="FFFFFF"/>
        <w:ind w:left="420" w:hanging="200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Maria Antonieta Rocha dos </w:t>
      </w:r>
      <w:r>
        <w:rPr>
          <w:sz w:val="24"/>
          <w:szCs w:val="24"/>
        </w:rPr>
        <w:t>Santos³</w:t>
      </w:r>
    </w:p>
    <w:p w14:paraId="13D7CC9D" w14:textId="77777777" w:rsidR="008A5431" w:rsidRDefault="008A5431">
      <w:pPr>
        <w:spacing w:line="240" w:lineRule="auto"/>
        <w:jc w:val="both"/>
        <w:rPr>
          <w:sz w:val="20"/>
          <w:szCs w:val="20"/>
        </w:rPr>
      </w:pPr>
    </w:p>
    <w:p w14:paraId="58D16220" w14:textId="77777777" w:rsidR="008A5431" w:rsidRDefault="00957CB8">
      <w:pPr>
        <w:spacing w:line="24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</w:t>
      </w:r>
      <w:r>
        <w:rPr>
          <w:b/>
          <w:sz w:val="20"/>
          <w:szCs w:val="20"/>
        </w:rPr>
        <w:t>Resumo</w:t>
      </w:r>
    </w:p>
    <w:p w14:paraId="73AE3D37" w14:textId="77777777" w:rsidR="008A5431" w:rsidRDefault="008A5431">
      <w:pPr>
        <w:spacing w:line="240" w:lineRule="auto"/>
        <w:jc w:val="both"/>
        <w:rPr>
          <w:sz w:val="20"/>
          <w:szCs w:val="20"/>
        </w:rPr>
      </w:pPr>
    </w:p>
    <w:p w14:paraId="7E6F4DC7" w14:textId="77777777" w:rsidR="008A5431" w:rsidRDefault="00957CB8">
      <w:pPr>
        <w:spacing w:line="240" w:lineRule="auto"/>
        <w:ind w:left="2835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presente artigo é resultado de pesquisa bibliográfica e documental para identificar em que medida a transversalidade, como instrumento de gestão e abordagem em políticas </w:t>
      </w:r>
      <w:r>
        <w:rPr>
          <w:sz w:val="20"/>
          <w:szCs w:val="20"/>
        </w:rPr>
        <w:t>públicas, está presente</w:t>
      </w:r>
      <w:r>
        <w:rPr>
          <w:color w:val="1F1F1F"/>
          <w:sz w:val="20"/>
          <w:szCs w:val="20"/>
        </w:rPr>
        <w:t xml:space="preserve"> em </w:t>
      </w:r>
      <w:r>
        <w:rPr>
          <w:color w:val="1F1F1F"/>
          <w:sz w:val="20"/>
          <w:szCs w:val="20"/>
          <w:highlight w:val="white"/>
        </w:rPr>
        <w:t>programas de transferência de renda, a partir do recorte de gênero e raça em uma experiência no Município de Belém–PA. O objetivo é situar a transversalidade e a interseccionalidad</w:t>
      </w:r>
      <w:r>
        <w:rPr>
          <w:color w:val="1F1F1F"/>
          <w:sz w:val="20"/>
          <w:szCs w:val="20"/>
        </w:rPr>
        <w:t>e</w:t>
      </w:r>
      <w:r>
        <w:rPr>
          <w:sz w:val="20"/>
          <w:szCs w:val="20"/>
        </w:rPr>
        <w:t xml:space="preserve"> como abordagem e ferramenta de análise, respect</w:t>
      </w:r>
      <w:r>
        <w:rPr>
          <w:sz w:val="20"/>
          <w:szCs w:val="20"/>
        </w:rPr>
        <w:t>ivamente, que possibilitam ampliar o olhar crítico às vulnerabilidades de diferentes grupos sociais. Partimos do pressuposto de que gênero, raça e território interseccionam opressões e quando formulados de modo transversal nas políticas públicas, possibili</w:t>
      </w:r>
      <w:r>
        <w:rPr>
          <w:sz w:val="20"/>
          <w:szCs w:val="20"/>
        </w:rPr>
        <w:t>tam ampliar a efetivação da dimensão ético-política do Serviço Social, no que diz respeito à diversidade, ao pluralismo e ao exercício profissional sem discriminar e/ou ser discriminado.</w:t>
      </w:r>
    </w:p>
    <w:p w14:paraId="0F07D397" w14:textId="77777777" w:rsidR="008A5431" w:rsidRDefault="008A5431">
      <w:pPr>
        <w:spacing w:line="240" w:lineRule="auto"/>
        <w:ind w:left="2835"/>
        <w:jc w:val="both"/>
        <w:rPr>
          <w:sz w:val="20"/>
          <w:szCs w:val="20"/>
        </w:rPr>
      </w:pPr>
    </w:p>
    <w:p w14:paraId="3A4D0AEB" w14:textId="77777777" w:rsidR="008A5431" w:rsidRPr="00673798" w:rsidRDefault="00957CB8">
      <w:pPr>
        <w:spacing w:line="240" w:lineRule="auto"/>
        <w:ind w:left="2835"/>
        <w:jc w:val="both"/>
        <w:rPr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Palavras-chave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: </w:t>
      </w:r>
      <w:r>
        <w:rPr>
          <w:sz w:val="20"/>
          <w:szCs w:val="20"/>
        </w:rPr>
        <w:t xml:space="preserve">Transversalidade. Interseccionalidade. Gênero. </w:t>
      </w:r>
      <w:proofErr w:type="spellStart"/>
      <w:r w:rsidRPr="00673798">
        <w:rPr>
          <w:sz w:val="20"/>
          <w:szCs w:val="20"/>
          <w:lang w:val="en-US"/>
        </w:rPr>
        <w:t>Raça</w:t>
      </w:r>
      <w:proofErr w:type="spellEnd"/>
      <w:r w:rsidRPr="00673798">
        <w:rPr>
          <w:sz w:val="20"/>
          <w:szCs w:val="20"/>
          <w:lang w:val="en-US"/>
        </w:rPr>
        <w:t>.</w:t>
      </w:r>
      <w:r w:rsidRPr="00673798">
        <w:rPr>
          <w:sz w:val="20"/>
          <w:szCs w:val="20"/>
          <w:lang w:val="en-US"/>
        </w:rPr>
        <w:t xml:space="preserve"> </w:t>
      </w:r>
      <w:proofErr w:type="spellStart"/>
      <w:r w:rsidRPr="00673798">
        <w:rPr>
          <w:sz w:val="20"/>
          <w:szCs w:val="20"/>
          <w:lang w:val="en-US"/>
        </w:rPr>
        <w:t>Serviço</w:t>
      </w:r>
      <w:proofErr w:type="spellEnd"/>
      <w:r w:rsidRPr="00673798">
        <w:rPr>
          <w:sz w:val="20"/>
          <w:szCs w:val="20"/>
          <w:lang w:val="en-US"/>
        </w:rPr>
        <w:t xml:space="preserve"> Social.</w:t>
      </w:r>
    </w:p>
    <w:p w14:paraId="38A8A2A7" w14:textId="77777777" w:rsidR="008A5431" w:rsidRPr="00673798" w:rsidRDefault="008A5431">
      <w:pPr>
        <w:spacing w:line="240" w:lineRule="auto"/>
        <w:ind w:left="2835"/>
        <w:jc w:val="both"/>
        <w:rPr>
          <w:sz w:val="20"/>
          <w:szCs w:val="20"/>
          <w:lang w:val="en-US"/>
        </w:rPr>
      </w:pPr>
    </w:p>
    <w:p w14:paraId="3874ACDF" w14:textId="77777777" w:rsidR="008A5431" w:rsidRPr="00673798" w:rsidRDefault="00957CB8">
      <w:pPr>
        <w:spacing w:line="240" w:lineRule="auto"/>
        <w:ind w:left="2835" w:right="14"/>
        <w:jc w:val="both"/>
        <w:rPr>
          <w:b/>
          <w:sz w:val="20"/>
          <w:szCs w:val="20"/>
          <w:lang w:val="en-US"/>
        </w:rPr>
      </w:pPr>
      <w:r w:rsidRPr="00673798">
        <w:rPr>
          <w:b/>
          <w:sz w:val="20"/>
          <w:szCs w:val="20"/>
          <w:lang w:val="en-US"/>
        </w:rPr>
        <w:t>Abstract</w:t>
      </w:r>
    </w:p>
    <w:p w14:paraId="6F18B66F" w14:textId="77777777" w:rsidR="008A5431" w:rsidRPr="00673798" w:rsidRDefault="008A5431">
      <w:pPr>
        <w:spacing w:line="240" w:lineRule="auto"/>
        <w:ind w:left="2835" w:right="14"/>
        <w:jc w:val="both"/>
        <w:rPr>
          <w:sz w:val="20"/>
          <w:szCs w:val="20"/>
          <w:lang w:val="en-US"/>
        </w:rPr>
      </w:pPr>
    </w:p>
    <w:p w14:paraId="221BAED8" w14:textId="77777777" w:rsidR="008A5431" w:rsidRPr="00673798" w:rsidRDefault="00957CB8" w:rsidP="00AF4781">
      <w:pPr>
        <w:spacing w:line="240" w:lineRule="auto"/>
        <w:ind w:left="2834"/>
        <w:jc w:val="both"/>
        <w:rPr>
          <w:color w:val="1F1F1F"/>
          <w:sz w:val="20"/>
          <w:szCs w:val="20"/>
          <w:shd w:val="clear" w:color="auto" w:fill="F8F9FA"/>
          <w:lang w:val="en-US"/>
        </w:rPr>
      </w:pPr>
      <w:r w:rsidRPr="00673798">
        <w:rPr>
          <w:color w:val="1F1F1F"/>
          <w:sz w:val="20"/>
          <w:szCs w:val="20"/>
          <w:shd w:val="clear" w:color="auto" w:fill="F8F9FA"/>
          <w:lang w:val="en-US"/>
        </w:rPr>
        <w:t xml:space="preserve">This article is the result of bibliographical and documentary research to identify the extent to which transversality, as a management instrument and approach to public policies, is present in income transfer programs, based on </w:t>
      </w:r>
      <w:r w:rsidRPr="00673798">
        <w:rPr>
          <w:color w:val="1F1F1F"/>
          <w:sz w:val="20"/>
          <w:szCs w:val="20"/>
          <w:shd w:val="clear" w:color="auto" w:fill="F8F9FA"/>
          <w:lang w:val="en-US"/>
        </w:rPr>
        <w:t xml:space="preserve">gender and race in an experience in the Municipality of </w:t>
      </w:r>
      <w:proofErr w:type="spellStart"/>
      <w:r w:rsidRPr="00673798">
        <w:rPr>
          <w:color w:val="1F1F1F"/>
          <w:sz w:val="20"/>
          <w:szCs w:val="20"/>
          <w:shd w:val="clear" w:color="auto" w:fill="F8F9FA"/>
          <w:lang w:val="en-US"/>
        </w:rPr>
        <w:t>Belém</w:t>
      </w:r>
      <w:proofErr w:type="spellEnd"/>
      <w:r w:rsidRPr="00673798">
        <w:rPr>
          <w:color w:val="1F1F1F"/>
          <w:sz w:val="20"/>
          <w:szCs w:val="20"/>
          <w:shd w:val="clear" w:color="auto" w:fill="F8F9FA"/>
          <w:lang w:val="en-US"/>
        </w:rPr>
        <w:t>–PA. The objective is to situate transversality and intersectionality as an approach and analysis tool, respectively, which make it possible to broaden a transversal perspective on the social mar</w:t>
      </w:r>
      <w:r w:rsidRPr="00673798">
        <w:rPr>
          <w:color w:val="1F1F1F"/>
          <w:sz w:val="20"/>
          <w:szCs w:val="20"/>
          <w:shd w:val="clear" w:color="auto" w:fill="F8F9FA"/>
          <w:lang w:val="en-US"/>
        </w:rPr>
        <w:t xml:space="preserve">kers that constitute vulnerabilities for different social groups. We start from the assumption that gender, race and territory intersect oppressions and when formulated in a transversal way in public </w:t>
      </w:r>
    </w:p>
    <w:p w14:paraId="1B0F6B50" w14:textId="77777777" w:rsidR="008A5431" w:rsidRPr="00673798" w:rsidRDefault="00957CB8" w:rsidP="00AF4781">
      <w:pPr>
        <w:spacing w:line="240" w:lineRule="auto"/>
        <w:ind w:left="2834"/>
        <w:jc w:val="both"/>
        <w:rPr>
          <w:color w:val="1F1F1F"/>
          <w:sz w:val="20"/>
          <w:szCs w:val="20"/>
          <w:shd w:val="clear" w:color="auto" w:fill="F8F9FA"/>
          <w:lang w:val="en-US"/>
        </w:rPr>
      </w:pPr>
      <w:r w:rsidRPr="00673798">
        <w:rPr>
          <w:color w:val="1F1F1F"/>
          <w:sz w:val="20"/>
          <w:szCs w:val="20"/>
          <w:shd w:val="clear" w:color="auto" w:fill="F8F9FA"/>
          <w:lang w:val="en-US"/>
        </w:rPr>
        <w:t xml:space="preserve">policies, they make it possible to expand the implementation of the ethical-political dimension of Social Service, with regard to diversity, pluralism and professional practice without discriminating and/or being </w:t>
      </w:r>
    </w:p>
    <w:p w14:paraId="1652F047" w14:textId="4614C041" w:rsidR="008A5431" w:rsidRPr="00673798" w:rsidRDefault="00957CB8" w:rsidP="00AF4781">
      <w:pPr>
        <w:spacing w:line="240" w:lineRule="auto"/>
        <w:ind w:left="2834"/>
        <w:jc w:val="both"/>
        <w:rPr>
          <w:color w:val="1F1F1F"/>
          <w:sz w:val="20"/>
          <w:szCs w:val="20"/>
          <w:shd w:val="clear" w:color="auto" w:fill="F8F9FA"/>
          <w:lang w:val="en-US"/>
        </w:rPr>
      </w:pPr>
      <w:r w:rsidRPr="00673798">
        <w:rPr>
          <w:color w:val="1F1F1F"/>
          <w:sz w:val="20"/>
          <w:szCs w:val="20"/>
          <w:shd w:val="clear" w:color="auto" w:fill="F8F9FA"/>
          <w:lang w:val="en-US"/>
        </w:rPr>
        <w:t>discriminated against.</w:t>
      </w:r>
    </w:p>
    <w:p w14:paraId="52F41D03" w14:textId="2143427B" w:rsidR="00D44E5D" w:rsidRPr="00673798" w:rsidRDefault="00957CB8" w:rsidP="00AF4781">
      <w:pPr>
        <w:spacing w:line="240" w:lineRule="auto"/>
        <w:ind w:left="2834"/>
        <w:jc w:val="both"/>
        <w:rPr>
          <w:color w:val="1F1F1F"/>
          <w:sz w:val="20"/>
          <w:szCs w:val="20"/>
          <w:shd w:val="clear" w:color="auto" w:fill="F8F9FA"/>
        </w:rPr>
      </w:pPr>
      <w:r w:rsidRPr="00673798">
        <w:rPr>
          <w:rFonts w:ascii="Times New Roman" w:eastAsia="Times New Roman" w:hAnsi="Times New Roman" w:cs="Times New Roman"/>
          <w:b/>
          <w:sz w:val="20"/>
          <w:szCs w:val="20"/>
          <w:lang w:val="en-US"/>
        </w:rPr>
        <w:t xml:space="preserve">Keywords: </w:t>
      </w:r>
      <w:r w:rsidRPr="00673798">
        <w:rPr>
          <w:color w:val="1F1F1F"/>
          <w:sz w:val="20"/>
          <w:szCs w:val="20"/>
          <w:shd w:val="clear" w:color="auto" w:fill="F8F9FA"/>
          <w:lang w:val="en-US"/>
        </w:rPr>
        <w:t>Transver</w:t>
      </w:r>
      <w:r w:rsidRPr="00673798">
        <w:rPr>
          <w:color w:val="1F1F1F"/>
          <w:sz w:val="20"/>
          <w:szCs w:val="20"/>
          <w:shd w:val="clear" w:color="auto" w:fill="F8F9FA"/>
          <w:lang w:val="en-US"/>
        </w:rPr>
        <w:t xml:space="preserve">sality. Intersectionality. </w:t>
      </w:r>
      <w:proofErr w:type="spellStart"/>
      <w:r>
        <w:rPr>
          <w:color w:val="1F1F1F"/>
          <w:sz w:val="20"/>
          <w:szCs w:val="20"/>
          <w:shd w:val="clear" w:color="auto" w:fill="F8F9FA"/>
        </w:rPr>
        <w:t>Gender</w:t>
      </w:r>
      <w:proofErr w:type="spellEnd"/>
      <w:r>
        <w:rPr>
          <w:color w:val="1F1F1F"/>
          <w:sz w:val="20"/>
          <w:szCs w:val="20"/>
          <w:shd w:val="clear" w:color="auto" w:fill="F8F9FA"/>
        </w:rPr>
        <w:t>. Race. Social Service.</w:t>
      </w:r>
    </w:p>
    <w:p w14:paraId="15E1F96C" w14:textId="77777777" w:rsidR="00D44E5D" w:rsidRDefault="00D44E5D" w:rsidP="00D44E5D">
      <w:pPr>
        <w:spacing w:line="308" w:lineRule="auto"/>
        <w:ind w:left="-141"/>
        <w:jc w:val="both"/>
        <w:rPr>
          <w:b/>
          <w:color w:val="000000" w:themeColor="text1"/>
          <w:sz w:val="14"/>
          <w:szCs w:val="14"/>
        </w:rPr>
      </w:pPr>
    </w:p>
    <w:p w14:paraId="0D6AD6A7" w14:textId="41849201" w:rsidR="00D44E5D" w:rsidRPr="00D44E5D" w:rsidRDefault="00D44E5D" w:rsidP="00D44E5D">
      <w:pPr>
        <w:spacing w:line="308" w:lineRule="auto"/>
        <w:ind w:left="-141"/>
        <w:jc w:val="both"/>
        <w:rPr>
          <w:color w:val="000000" w:themeColor="text1"/>
          <w:sz w:val="14"/>
          <w:szCs w:val="14"/>
          <w:shd w:val="clear" w:color="auto" w:fill="F8F9FA"/>
        </w:rPr>
      </w:pPr>
      <w:r w:rsidRPr="00D44E5D">
        <w:rPr>
          <w:b/>
          <w:color w:val="000000" w:themeColor="text1"/>
          <w:sz w:val="14"/>
          <w:szCs w:val="14"/>
        </w:rPr>
        <w:t>¹</w:t>
      </w:r>
      <w:r w:rsidRPr="00D44E5D">
        <w:rPr>
          <w:color w:val="000000" w:themeColor="text1"/>
          <w:sz w:val="14"/>
          <w:szCs w:val="14"/>
          <w:shd w:val="clear" w:color="auto" w:fill="F8F9FA"/>
        </w:rPr>
        <w:t>Graduanda em Serviço Social da UFPA. Bolsista no Projeto de extensão: “Vidas Negras Importam”: Formação Antirracista para Assistentes Sociais da Fundação Papa João XXIII</w:t>
      </w:r>
      <w:r>
        <w:rPr>
          <w:color w:val="000000" w:themeColor="text1"/>
          <w:sz w:val="14"/>
          <w:szCs w:val="14"/>
          <w:shd w:val="clear" w:color="auto" w:fill="F8F9FA"/>
        </w:rPr>
        <w:t xml:space="preserve"> </w:t>
      </w:r>
      <w:r w:rsidRPr="00D44E5D">
        <w:rPr>
          <w:color w:val="000000" w:themeColor="text1"/>
          <w:sz w:val="14"/>
          <w:szCs w:val="14"/>
          <w:shd w:val="clear" w:color="auto" w:fill="F8F9FA"/>
        </w:rPr>
        <w:t xml:space="preserve">(FUNPAPA/ Belém-PA/ UFPA, Brasil. E-mail: </w:t>
      </w:r>
      <w:hyperlink r:id="rId8">
        <w:r w:rsidRPr="00D44E5D">
          <w:rPr>
            <w:color w:val="000000" w:themeColor="text1"/>
            <w:sz w:val="14"/>
            <w:szCs w:val="14"/>
            <w:u w:val="single"/>
            <w:shd w:val="clear" w:color="auto" w:fill="F8F9FA"/>
          </w:rPr>
          <w:t>thaispires368@gmail.com</w:t>
        </w:r>
      </w:hyperlink>
    </w:p>
    <w:p w14:paraId="6499D0E1" w14:textId="77777777" w:rsidR="00673798" w:rsidRDefault="00D44E5D" w:rsidP="00673798">
      <w:pPr>
        <w:spacing w:line="308" w:lineRule="auto"/>
        <w:ind w:left="-141"/>
        <w:jc w:val="both"/>
        <w:rPr>
          <w:color w:val="000000" w:themeColor="text1"/>
          <w:sz w:val="14"/>
          <w:szCs w:val="14"/>
          <w:u w:val="single"/>
          <w:shd w:val="clear" w:color="auto" w:fill="F8F9FA"/>
        </w:rPr>
      </w:pPr>
      <w:r w:rsidRPr="00D44E5D">
        <w:rPr>
          <w:b/>
          <w:color w:val="000000" w:themeColor="text1"/>
          <w:sz w:val="14"/>
          <w:szCs w:val="14"/>
        </w:rPr>
        <w:t>²</w:t>
      </w:r>
      <w:r w:rsidRPr="00D44E5D">
        <w:rPr>
          <w:color w:val="000000" w:themeColor="text1"/>
          <w:sz w:val="14"/>
          <w:szCs w:val="14"/>
          <w:shd w:val="clear" w:color="auto" w:fill="F8F9FA"/>
        </w:rPr>
        <w:t xml:space="preserve">Graduanda em Serviço Social da UFPA. Bolsista do Programa Institucional de Bolsas de Iniciação Científica (PIBIC) do Grupo de Estudos, Pesquisas e Extensão em Serviço Social e Política Social na Amazônia - GEPSS/UFPA, Brasil. E-mail: </w:t>
      </w:r>
      <w:hyperlink r:id="rId9">
        <w:r w:rsidRPr="00D44E5D">
          <w:rPr>
            <w:color w:val="000000" w:themeColor="text1"/>
            <w:sz w:val="14"/>
            <w:szCs w:val="14"/>
            <w:u w:val="single"/>
            <w:shd w:val="clear" w:color="auto" w:fill="F8F9FA"/>
          </w:rPr>
          <w:t>mariascsilva.10@gmail.com</w:t>
        </w:r>
      </w:hyperlink>
    </w:p>
    <w:p w14:paraId="06D89309" w14:textId="0DA3F78D" w:rsidR="00D44E5D" w:rsidRPr="00673798" w:rsidRDefault="00D44E5D" w:rsidP="00673798">
      <w:pPr>
        <w:spacing w:line="308" w:lineRule="auto"/>
        <w:ind w:left="-141"/>
        <w:jc w:val="both"/>
        <w:rPr>
          <w:color w:val="000000" w:themeColor="text1"/>
          <w:sz w:val="14"/>
          <w:szCs w:val="14"/>
          <w:u w:val="single"/>
          <w:shd w:val="clear" w:color="auto" w:fill="F8F9FA"/>
        </w:rPr>
        <w:sectPr w:rsidR="00D44E5D" w:rsidRPr="00673798">
          <w:headerReference w:type="default" r:id="rId10"/>
          <w:footerReference w:type="default" r:id="rId11"/>
          <w:footerReference w:type="first" r:id="rId12"/>
          <w:pgSz w:w="11909" w:h="16834"/>
          <w:pgMar w:top="1701" w:right="1134" w:bottom="1134" w:left="1701" w:header="2267" w:footer="0" w:gutter="0"/>
          <w:pgNumType w:start="1"/>
          <w:cols w:space="720"/>
        </w:sectPr>
      </w:pPr>
      <w:r w:rsidRPr="00D44E5D">
        <w:rPr>
          <w:b/>
          <w:color w:val="000000" w:themeColor="text1"/>
          <w:sz w:val="14"/>
          <w:szCs w:val="14"/>
        </w:rPr>
        <w:t>³</w:t>
      </w:r>
      <w:r w:rsidRPr="00D44E5D">
        <w:rPr>
          <w:color w:val="000000" w:themeColor="text1"/>
          <w:sz w:val="14"/>
          <w:szCs w:val="14"/>
          <w:shd w:val="clear" w:color="auto" w:fill="F8F9FA"/>
        </w:rPr>
        <w:t xml:space="preserve">Doutora em Serviço Social, professora da Faculdade de Serviço Social, na Universidade Federal do Pará. Coordenadora do Grupo de estudos e pesquisas Lélia Gonzalez. E-mail: </w:t>
      </w:r>
      <w:hyperlink r:id="rId13">
        <w:r w:rsidRPr="00D44E5D">
          <w:rPr>
            <w:color w:val="000000" w:themeColor="text1"/>
            <w:sz w:val="14"/>
            <w:szCs w:val="14"/>
            <w:u w:val="single"/>
            <w:shd w:val="clear" w:color="auto" w:fill="F8F9FA"/>
          </w:rPr>
          <w:t>antonietars@ufpa.br</w:t>
        </w:r>
      </w:hyperlink>
      <w:r w:rsidRPr="00D44E5D">
        <w:rPr>
          <w:color w:val="EE0000"/>
          <w:sz w:val="14"/>
          <w:szCs w:val="14"/>
          <w:shd w:val="clear" w:color="auto" w:fill="F8F9FA"/>
        </w:rPr>
        <w:t xml:space="preserve"> </w:t>
      </w:r>
    </w:p>
    <w:p w14:paraId="61C1F7C8" w14:textId="77777777" w:rsidR="008A5431" w:rsidRDefault="008A5431">
      <w:pPr>
        <w:spacing w:line="240" w:lineRule="auto"/>
        <w:jc w:val="both"/>
        <w:rPr>
          <w:color w:val="1F1F1F"/>
          <w:sz w:val="20"/>
          <w:szCs w:val="20"/>
          <w:shd w:val="clear" w:color="auto" w:fill="F8F9FA"/>
        </w:rPr>
      </w:pPr>
    </w:p>
    <w:p w14:paraId="694B9609" w14:textId="77777777" w:rsidR="008A5431" w:rsidRDefault="00957CB8" w:rsidP="008D62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INTRODUÇÃO</w:t>
      </w:r>
    </w:p>
    <w:p w14:paraId="13C7C412" w14:textId="77777777" w:rsidR="008A5431" w:rsidRDefault="008A5431" w:rsidP="008D6213">
      <w:pPr>
        <w:pBdr>
          <w:top w:val="nil"/>
          <w:left w:val="nil"/>
          <w:bottom w:val="nil"/>
          <w:right w:val="nil"/>
          <w:between w:val="nil"/>
        </w:pBdr>
        <w:ind w:left="1080"/>
        <w:rPr>
          <w:color w:val="000000"/>
          <w:sz w:val="24"/>
          <w:szCs w:val="24"/>
        </w:rPr>
      </w:pPr>
    </w:p>
    <w:p w14:paraId="71B9901F" w14:textId="77777777" w:rsidR="008A5431" w:rsidRDefault="00957CB8" w:rsidP="008D62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 w:firstLine="8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Este artigo parte de uma pesquisa bibliográfica e documental, </w:t>
      </w:r>
      <w:r>
        <w:rPr>
          <w:sz w:val="24"/>
          <w:szCs w:val="24"/>
        </w:rPr>
        <w:t>para</w:t>
      </w:r>
      <w:r>
        <w:rPr>
          <w:color w:val="000000"/>
          <w:sz w:val="24"/>
          <w:szCs w:val="24"/>
        </w:rPr>
        <w:t xml:space="preserve"> compreender a transversalidade como conceito e prática que orienta as diretrizes de políticas públicas e se constitui enquanto abordagem e instrumento de gestão.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Tomamos como referência a </w:t>
      </w:r>
      <w:r>
        <w:rPr>
          <w:color w:val="000000"/>
          <w:sz w:val="24"/>
          <w:szCs w:val="24"/>
        </w:rPr>
        <w:t>experiência do Programa “Bora Belém” – um programa de renda mínima, de iniciativa da gestão municipal, em parceria com a gestão estadual, que atendeu entre 2021 e 2024, 18 mil famílias no Município de Belém, Estado do Pará</w:t>
      </w:r>
      <w:r>
        <w:rPr>
          <w:sz w:val="24"/>
          <w:szCs w:val="24"/>
        </w:rPr>
        <w:t>, e teve inicialmente, sua ação tr</w:t>
      </w:r>
      <w:r>
        <w:rPr>
          <w:sz w:val="24"/>
          <w:szCs w:val="24"/>
        </w:rPr>
        <w:t xml:space="preserve">ansversal ao Programa “Busca Ativa”, desenvolvido pela Secretaria Municipal de Educação/SEMEC. </w:t>
      </w:r>
      <w:r>
        <w:rPr>
          <w:color w:val="000000"/>
          <w:sz w:val="24"/>
          <w:szCs w:val="24"/>
        </w:rPr>
        <w:t> </w:t>
      </w:r>
    </w:p>
    <w:p w14:paraId="76DAEE31" w14:textId="77777777" w:rsidR="008A5431" w:rsidRDefault="00957CB8" w:rsidP="008D62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 w:firstLine="825"/>
        <w:jc w:val="both"/>
        <w:rPr>
          <w:sz w:val="24"/>
          <w:szCs w:val="24"/>
        </w:rPr>
      </w:pPr>
      <w:r>
        <w:rPr>
          <w:sz w:val="24"/>
          <w:szCs w:val="24"/>
        </w:rPr>
        <w:t>O</w:t>
      </w:r>
      <w:r>
        <w:rPr>
          <w:color w:val="000000"/>
          <w:sz w:val="24"/>
          <w:szCs w:val="24"/>
        </w:rPr>
        <w:t xml:space="preserve"> texto </w:t>
      </w:r>
      <w:r>
        <w:rPr>
          <w:sz w:val="24"/>
          <w:szCs w:val="24"/>
        </w:rPr>
        <w:t>está</w:t>
      </w:r>
      <w:r>
        <w:rPr>
          <w:color w:val="000000"/>
          <w:sz w:val="24"/>
          <w:szCs w:val="24"/>
        </w:rPr>
        <w:t xml:space="preserve"> organizado em três partes.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primeira aborda</w:t>
      </w:r>
      <w:r>
        <w:rPr>
          <w:color w:val="000000"/>
          <w:sz w:val="24"/>
          <w:szCs w:val="24"/>
        </w:rPr>
        <w:t xml:space="preserve"> o conceito de transversalidade como diretriz de políticas públicas no Brasil. </w:t>
      </w:r>
      <w:r>
        <w:rPr>
          <w:sz w:val="24"/>
          <w:szCs w:val="24"/>
        </w:rPr>
        <w:t>Na</w:t>
      </w:r>
      <w:r>
        <w:rPr>
          <w:color w:val="000000"/>
          <w:sz w:val="24"/>
          <w:szCs w:val="24"/>
        </w:rPr>
        <w:t xml:space="preserve"> segunda, estão algun</w:t>
      </w:r>
      <w:r>
        <w:rPr>
          <w:color w:val="000000"/>
          <w:sz w:val="24"/>
          <w:szCs w:val="24"/>
        </w:rPr>
        <w:t xml:space="preserve">s elementos que articulam a dimensão ético-política do Serviço Social como profissão </w:t>
      </w:r>
      <w:r>
        <w:rPr>
          <w:sz w:val="24"/>
          <w:szCs w:val="24"/>
        </w:rPr>
        <w:t>majoritária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nas</w:t>
      </w:r>
      <w:r>
        <w:rPr>
          <w:color w:val="000000"/>
          <w:sz w:val="24"/>
          <w:szCs w:val="24"/>
        </w:rPr>
        <w:t xml:space="preserve"> ações socioassistenciais da Política Nacional de Assistência Social. </w:t>
      </w:r>
      <w:r>
        <w:rPr>
          <w:sz w:val="24"/>
          <w:szCs w:val="24"/>
        </w:rPr>
        <w:t>N</w:t>
      </w:r>
      <w:r>
        <w:rPr>
          <w:color w:val="000000"/>
          <w:sz w:val="24"/>
          <w:szCs w:val="24"/>
        </w:rPr>
        <w:t>a terceira parte, algumas reflexões</w:t>
      </w:r>
      <w:r>
        <w:rPr>
          <w:sz w:val="24"/>
          <w:szCs w:val="24"/>
        </w:rPr>
        <w:t xml:space="preserve"> sobre como a </w:t>
      </w:r>
      <w:r>
        <w:rPr>
          <w:color w:val="000000"/>
          <w:sz w:val="24"/>
          <w:szCs w:val="24"/>
        </w:rPr>
        <w:t>transversalidade na gestão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a inter</w:t>
      </w:r>
      <w:r>
        <w:rPr>
          <w:color w:val="000000"/>
          <w:sz w:val="24"/>
          <w:szCs w:val="24"/>
        </w:rPr>
        <w:t xml:space="preserve">seccionalidade como olhar </w:t>
      </w:r>
      <w:r>
        <w:rPr>
          <w:sz w:val="24"/>
          <w:szCs w:val="24"/>
        </w:rPr>
        <w:t>crítico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na reprodução de</w:t>
      </w:r>
      <w:r>
        <w:rPr>
          <w:color w:val="000000"/>
          <w:sz w:val="24"/>
          <w:szCs w:val="24"/>
        </w:rPr>
        <w:t xml:space="preserve"> desigualdades</w:t>
      </w:r>
      <w:r>
        <w:rPr>
          <w:sz w:val="24"/>
          <w:szCs w:val="24"/>
        </w:rPr>
        <w:t xml:space="preserve">. Nas considerações, partimos da </w:t>
      </w:r>
      <w:r>
        <w:rPr>
          <w:color w:val="000000"/>
          <w:sz w:val="24"/>
          <w:szCs w:val="24"/>
        </w:rPr>
        <w:t xml:space="preserve">interseccionalidade, enquanto um campo de possibilidades para formulação, análise </w:t>
      </w:r>
      <w:r>
        <w:rPr>
          <w:sz w:val="24"/>
          <w:szCs w:val="24"/>
        </w:rPr>
        <w:t>em</w:t>
      </w:r>
      <w:r>
        <w:rPr>
          <w:color w:val="000000"/>
          <w:sz w:val="24"/>
          <w:szCs w:val="24"/>
        </w:rPr>
        <w:t xml:space="preserve"> programas sociais, a fim de compreender e melhor dimensionar os marcadores</w:t>
      </w:r>
      <w:r>
        <w:rPr>
          <w:color w:val="000000"/>
          <w:sz w:val="24"/>
          <w:szCs w:val="24"/>
        </w:rPr>
        <w:t xml:space="preserve"> sociais de raça e gênero.</w:t>
      </w:r>
    </w:p>
    <w:p w14:paraId="47F0D499" w14:textId="77777777" w:rsidR="008A5431" w:rsidRDefault="008A5431" w:rsidP="008D6213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3" w:right="14" w:firstLine="260"/>
        <w:jc w:val="both"/>
        <w:rPr>
          <w:sz w:val="24"/>
          <w:szCs w:val="24"/>
        </w:rPr>
      </w:pPr>
    </w:p>
    <w:p w14:paraId="7D18C2BA" w14:textId="77777777" w:rsidR="008A5431" w:rsidRDefault="00957CB8" w:rsidP="008D621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TRANSVERSALIDADE COMO ABORDAGEM E INSTRUMENTO DE GESTÃO NAS POLÍTICAS PÚBLICAS</w:t>
      </w:r>
    </w:p>
    <w:p w14:paraId="39F34EE9" w14:textId="77777777" w:rsidR="008A5431" w:rsidRDefault="008A54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270581" w14:textId="77777777" w:rsidR="008A5431" w:rsidRDefault="00957CB8">
      <w:pPr>
        <w:spacing w:line="360" w:lineRule="auto"/>
        <w:ind w:right="14" w:firstLine="85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O conceito de transversalidade encontra sua incorporação nas diretrizes da política pública federal, no Brasil,</w:t>
      </w:r>
      <w:r>
        <w:rPr>
          <w:sz w:val="24"/>
          <w:szCs w:val="24"/>
        </w:rPr>
        <w:t xml:space="preserve"> em</w:t>
      </w:r>
      <w:r>
        <w:rPr>
          <w:color w:val="000000"/>
          <w:sz w:val="24"/>
          <w:szCs w:val="24"/>
        </w:rPr>
        <w:t xml:space="preserve"> 2003, especialmente no que diz respeito às ações de políticas públicas voltadas para mulheres, negros, pessoas com deficiência, crianças, adolescentes e jovens</w:t>
      </w:r>
      <w:r>
        <w:rPr>
          <w:sz w:val="24"/>
          <w:szCs w:val="24"/>
        </w:rPr>
        <w:t xml:space="preserve"> (Natalino, 2009). </w:t>
      </w:r>
    </w:p>
    <w:p w14:paraId="620AFCEE" w14:textId="77777777" w:rsidR="008A5431" w:rsidRDefault="008A5431">
      <w:pPr>
        <w:spacing w:line="360" w:lineRule="auto"/>
        <w:ind w:right="14" w:firstLine="825"/>
        <w:jc w:val="both"/>
        <w:rPr>
          <w:sz w:val="24"/>
          <w:szCs w:val="24"/>
        </w:rPr>
      </w:pPr>
    </w:p>
    <w:p w14:paraId="5A9612D9" w14:textId="77777777" w:rsidR="008A5431" w:rsidRDefault="008A5431">
      <w:pPr>
        <w:spacing w:line="360" w:lineRule="auto"/>
        <w:ind w:right="14" w:firstLine="825"/>
        <w:jc w:val="both"/>
        <w:rPr>
          <w:sz w:val="24"/>
          <w:szCs w:val="24"/>
        </w:rPr>
      </w:pPr>
    </w:p>
    <w:p w14:paraId="4A5DE73F" w14:textId="77777777" w:rsidR="008A5431" w:rsidRDefault="008A5431">
      <w:pPr>
        <w:spacing w:line="360" w:lineRule="auto"/>
        <w:ind w:right="14" w:firstLine="825"/>
        <w:jc w:val="both"/>
        <w:rPr>
          <w:sz w:val="24"/>
          <w:szCs w:val="24"/>
        </w:rPr>
      </w:pPr>
    </w:p>
    <w:p w14:paraId="09064C32" w14:textId="77777777" w:rsidR="00D44E5D" w:rsidRDefault="00D44E5D">
      <w:pPr>
        <w:spacing w:line="360" w:lineRule="auto"/>
        <w:ind w:right="14" w:firstLine="825"/>
        <w:jc w:val="both"/>
        <w:rPr>
          <w:color w:val="000000"/>
          <w:sz w:val="24"/>
          <w:szCs w:val="24"/>
        </w:rPr>
      </w:pPr>
    </w:p>
    <w:p w14:paraId="0F7D429E" w14:textId="192A5B89" w:rsidR="008A5431" w:rsidRDefault="00957CB8">
      <w:pPr>
        <w:spacing w:line="360" w:lineRule="auto"/>
        <w:ind w:right="14" w:firstLine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Para o autor, a transversalidade nas políticas públicas tem sido um term</w:t>
      </w:r>
      <w:r>
        <w:rPr>
          <w:color w:val="000000"/>
          <w:sz w:val="24"/>
          <w:szCs w:val="24"/>
        </w:rPr>
        <w:t>o utilizado para direcionar o tratamento de temas emergentes na agenda pública até então situados na divisão burocrático-departamental de ministérios, secretarias e outros órgãos de governo. Quando aplicado a políticas para grupos populacionais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específicos</w:t>
      </w:r>
      <w:r>
        <w:rPr>
          <w:color w:val="000000"/>
          <w:sz w:val="24"/>
          <w:szCs w:val="24"/>
        </w:rPr>
        <w:t>, por exemplo, o conceito compreende ações, cujo objetivo é tratar determinada situação enfrentada por um ou mais destes grupos, articulando diversos órgãos setoriais, níveis da Federação ou mesmo setores da sociedade na sua formulação e/ou execução.</w:t>
      </w:r>
    </w:p>
    <w:p w14:paraId="53715BFF" w14:textId="77777777" w:rsidR="008A5431" w:rsidRDefault="00957CB8">
      <w:pPr>
        <w:spacing w:line="360" w:lineRule="auto"/>
        <w:ind w:right="14" w:firstLine="8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É pos</w:t>
      </w:r>
      <w:r>
        <w:rPr>
          <w:sz w:val="24"/>
          <w:szCs w:val="24"/>
        </w:rPr>
        <w:t>sível</w:t>
      </w:r>
      <w:r>
        <w:rPr>
          <w:color w:val="000000"/>
          <w:sz w:val="24"/>
          <w:szCs w:val="24"/>
        </w:rPr>
        <w:t xml:space="preserve"> afirmar que a transversalidade se constitui em eixo de adequação da gestão pública, enquanto estratégia conceitual e </w:t>
      </w:r>
      <w:r>
        <w:rPr>
          <w:sz w:val="24"/>
          <w:szCs w:val="24"/>
        </w:rPr>
        <w:t>operacional,</w:t>
      </w:r>
      <w:r>
        <w:rPr>
          <w:color w:val="000000"/>
          <w:sz w:val="24"/>
          <w:szCs w:val="24"/>
        </w:rPr>
        <w:t xml:space="preserve"> na busca de incorporar múltiplos dimensionamentos de questões relativas às relações de gênero e raciais. </w:t>
      </w:r>
      <w:r>
        <w:rPr>
          <w:sz w:val="24"/>
          <w:szCs w:val="24"/>
        </w:rPr>
        <w:t>Para Silva (201</w:t>
      </w:r>
      <w:r>
        <w:rPr>
          <w:sz w:val="24"/>
          <w:szCs w:val="24"/>
        </w:rPr>
        <w:t xml:space="preserve">1), </w:t>
      </w:r>
      <w:r>
        <w:rPr>
          <w:color w:val="000000"/>
          <w:sz w:val="24"/>
          <w:szCs w:val="24"/>
        </w:rPr>
        <w:t>os avanços na especificação do que seria uma abordagem transversal são pouco promissores, dado que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se apresenta sem evidenciar diferenças significativas em relação a outras perspectivas existentes no âmbito de uma concepção reformista. </w:t>
      </w:r>
    </w:p>
    <w:p w14:paraId="3EE3331B" w14:textId="77777777" w:rsidR="008A5431" w:rsidRDefault="00957CB8" w:rsidP="00CF226D">
      <w:pPr>
        <w:spacing w:line="360" w:lineRule="auto"/>
        <w:ind w:right="14" w:firstLine="825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Nesse contexto,</w:t>
      </w:r>
      <w:r>
        <w:rPr>
          <w:color w:val="000000"/>
          <w:sz w:val="24"/>
          <w:szCs w:val="24"/>
        </w:rPr>
        <w:t xml:space="preserve"> as demandas por igualdade de oportunidades, respeito às diferenças e acesso a direitos, constituem grande parte do público alvo da Política de Assistência Social, um lugar sócio-ocupacional dos/das profissionais de Serviço Social que possibilita de um lad</w:t>
      </w:r>
      <w:r>
        <w:rPr>
          <w:color w:val="000000"/>
          <w:sz w:val="24"/>
          <w:szCs w:val="24"/>
        </w:rPr>
        <w:t>o, refletir sobre transversalidade como abordagem inscrita nas Políticas Públicas, e a relação do Serviço Social em sua dimensão ético-política e técnico-operativa afirmada na tolerância, diversidade 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pluralismo no campo democrático </w:t>
      </w:r>
      <w:r>
        <w:rPr>
          <w:sz w:val="24"/>
          <w:szCs w:val="24"/>
        </w:rPr>
        <w:t xml:space="preserve">(Barroco, 2012). </w:t>
      </w:r>
    </w:p>
    <w:p w14:paraId="2D2C7B1C" w14:textId="77777777" w:rsidR="008A5431" w:rsidRDefault="008A5431" w:rsidP="00CF226D">
      <w:pPr>
        <w:spacing w:line="360" w:lineRule="auto"/>
        <w:ind w:left="23" w:right="14" w:firstLine="260"/>
        <w:jc w:val="both"/>
        <w:rPr>
          <w:b/>
          <w:sz w:val="24"/>
          <w:szCs w:val="24"/>
        </w:rPr>
      </w:pPr>
    </w:p>
    <w:p w14:paraId="1E7BB505" w14:textId="69B82373" w:rsidR="008A5431" w:rsidRDefault="00957CB8" w:rsidP="00CF226D">
      <w:pPr>
        <w:pBdr>
          <w:top w:val="nil"/>
          <w:left w:val="nil"/>
          <w:bottom w:val="nil"/>
          <w:right w:val="nil"/>
          <w:between w:val="nil"/>
        </w:pBdr>
        <w:ind w:left="720" w:right="14" w:hanging="294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3. </w:t>
      </w:r>
      <w:r>
        <w:rPr>
          <w:b/>
          <w:color w:val="000000"/>
          <w:sz w:val="24"/>
          <w:szCs w:val="24"/>
        </w:rPr>
        <w:t>DIREITO A TER DIREITOS</w:t>
      </w:r>
      <w:r>
        <w:rPr>
          <w:b/>
          <w:sz w:val="24"/>
          <w:szCs w:val="24"/>
        </w:rPr>
        <w:t>:</w:t>
      </w:r>
      <w:r>
        <w:rPr>
          <w:b/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>O entrelaçamento de raça e gênero nas famílias usuárias da Política de Assistência Socia</w:t>
      </w:r>
      <w:r w:rsidR="00CF226D">
        <w:rPr>
          <w:sz w:val="24"/>
          <w:szCs w:val="24"/>
        </w:rPr>
        <w:t>l</w:t>
      </w:r>
      <w:r>
        <w:rPr>
          <w:sz w:val="24"/>
          <w:szCs w:val="24"/>
        </w:rPr>
        <w:t xml:space="preserve"> </w:t>
      </w:r>
    </w:p>
    <w:p w14:paraId="0ADC3E1C" w14:textId="77777777" w:rsidR="008A5431" w:rsidRDefault="008A5431" w:rsidP="00CF226D">
      <w:pPr>
        <w:pBdr>
          <w:top w:val="nil"/>
          <w:left w:val="nil"/>
          <w:bottom w:val="nil"/>
          <w:right w:val="nil"/>
          <w:between w:val="nil"/>
        </w:pBdr>
        <w:ind w:right="14"/>
        <w:jc w:val="both"/>
        <w:rPr>
          <w:sz w:val="24"/>
          <w:szCs w:val="24"/>
        </w:rPr>
      </w:pPr>
    </w:p>
    <w:p w14:paraId="3E4781FA" w14:textId="77777777" w:rsidR="008A5431" w:rsidRDefault="00957CB8" w:rsidP="00CF226D">
      <w:pPr>
        <w:spacing w:line="360" w:lineRule="auto"/>
        <w:ind w:right="14" w:firstLine="8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Constituição Federal (CF) de 1988, em seu Art. </w:t>
      </w:r>
      <w:r>
        <w:rPr>
          <w:sz w:val="24"/>
          <w:szCs w:val="24"/>
        </w:rPr>
        <w:t>204,</w:t>
      </w:r>
      <w:r>
        <w:rPr>
          <w:color w:val="000000"/>
          <w:sz w:val="24"/>
          <w:szCs w:val="24"/>
        </w:rPr>
        <w:t xml:space="preserve"> estabelece que as ações de Governo na área da Assistência Social serão realizadas c</w:t>
      </w:r>
      <w:r>
        <w:rPr>
          <w:color w:val="000000"/>
          <w:sz w:val="24"/>
          <w:szCs w:val="24"/>
        </w:rPr>
        <w:t xml:space="preserve">om recursos do orçamento da Seguridade Social, conforme previsto no Art. 194, parágrafo 1º, inciso III da CF. A Lei Orgânica da Assistência Social – LOAS (Lei </w:t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C27B4E8" wp14:editId="3A53DC6F">
            <wp:simplePos x="0" y="0"/>
            <wp:positionH relativeFrom="column">
              <wp:posOffset>893925</wp:posOffset>
            </wp:positionH>
            <wp:positionV relativeFrom="paragraph">
              <wp:posOffset>2190750</wp:posOffset>
            </wp:positionV>
            <wp:extent cx="3969601" cy="828818"/>
            <wp:effectExtent l="0" t="0" r="0" b="0"/>
            <wp:wrapNone/>
            <wp:docPr id="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l="17673" t="98286" r="19182" b="-7604"/>
                    <a:stretch>
                      <a:fillRect/>
                    </a:stretch>
                  </pic:blipFill>
                  <pic:spPr>
                    <a:xfrm>
                      <a:off x="0" y="0"/>
                      <a:ext cx="3969601" cy="828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8522A70" w14:textId="77777777" w:rsidR="008A5431" w:rsidRDefault="008A5431">
      <w:pPr>
        <w:spacing w:line="360" w:lineRule="auto"/>
        <w:ind w:right="14" w:firstLine="850"/>
        <w:jc w:val="both"/>
        <w:rPr>
          <w:sz w:val="24"/>
          <w:szCs w:val="24"/>
        </w:rPr>
      </w:pPr>
    </w:p>
    <w:p w14:paraId="6332E3A0" w14:textId="77777777" w:rsidR="008A5431" w:rsidRDefault="008A5431">
      <w:pPr>
        <w:spacing w:line="360" w:lineRule="auto"/>
        <w:ind w:right="14" w:firstLine="850"/>
        <w:jc w:val="both"/>
        <w:rPr>
          <w:sz w:val="24"/>
          <w:szCs w:val="24"/>
        </w:rPr>
      </w:pPr>
    </w:p>
    <w:p w14:paraId="32536245" w14:textId="77777777" w:rsidR="008A5431" w:rsidRDefault="00957CB8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8.742 de 07 de dezembro de 1993) dispõe sobre a organização da Assistência com diretrizes qua</w:t>
      </w:r>
      <w:r>
        <w:rPr>
          <w:color w:val="000000"/>
          <w:sz w:val="24"/>
          <w:szCs w:val="24"/>
        </w:rPr>
        <w:t>nto</w:t>
      </w:r>
      <w:r>
        <w:rPr>
          <w:sz w:val="24"/>
          <w:szCs w:val="24"/>
        </w:rPr>
        <w:t xml:space="preserve"> à </w:t>
      </w:r>
      <w:r>
        <w:rPr>
          <w:color w:val="000000"/>
          <w:sz w:val="24"/>
          <w:szCs w:val="24"/>
        </w:rPr>
        <w:t>descentralização político-administrativa, participação da população e primazia da responsabilidade do estado. Sua origem constitucional se funda na universalização da Assistência Social como direito do cidadão e dever do Estado.</w:t>
      </w:r>
    </w:p>
    <w:p w14:paraId="43EDAF2F" w14:textId="62470832" w:rsidR="008A5431" w:rsidRDefault="00F84915" w:rsidP="00F84915">
      <w:pPr>
        <w:spacing w:line="360" w:lineRule="auto"/>
        <w:ind w:right="1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</w:t>
      </w:r>
      <w:r w:rsidR="00AF4781">
        <w:rPr>
          <w:color w:val="000000"/>
          <w:sz w:val="24"/>
          <w:szCs w:val="24"/>
        </w:rPr>
        <w:t xml:space="preserve">    </w:t>
      </w:r>
      <w:r>
        <w:rPr>
          <w:color w:val="000000"/>
          <w:sz w:val="24"/>
          <w:szCs w:val="24"/>
        </w:rPr>
        <w:t xml:space="preserve"> No entanto,</w:t>
      </w:r>
      <w:r w:rsidR="00CF226D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“a implementação revelou uma acentuada tendência à focalização, seletividade e fragmentação, comprometendo o princípio de universalidade, continuidade e sistematicidade das ações”</w:t>
      </w:r>
      <w:r>
        <w:rPr>
          <w:sz w:val="24"/>
          <w:szCs w:val="24"/>
        </w:rPr>
        <w:t xml:space="preserve"> (Da Mota, 2017, p.186).</w:t>
      </w:r>
    </w:p>
    <w:p w14:paraId="106667CF" w14:textId="10615035" w:rsidR="008A5431" w:rsidRDefault="00F84915" w:rsidP="00F84915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Para organizar e coordenar a oferta de serviços, programas e benefícios da Assistência Social no Brasil, garantindo proteção social, independente de contribuição previdenciária, foi criado em 2005, o Sistema Único de Assistência Social - SUAS, por meio da Resolução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de Conselho Nacional de Assistência Social-CNAS. Em 2011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o SUAS foi sancionado na forma da Lei 12.435 de 08 de junho de 2011.</w:t>
      </w:r>
    </w:p>
    <w:p w14:paraId="43A9197C" w14:textId="655B0227" w:rsidR="008A5431" w:rsidRDefault="00AF4781" w:rsidP="00AF4781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</w:t>
      </w:r>
      <w:proofErr w:type="gramStart"/>
      <w:r w:rsidR="00957CB8">
        <w:rPr>
          <w:color w:val="000000"/>
          <w:sz w:val="24"/>
          <w:szCs w:val="24"/>
        </w:rPr>
        <w:t xml:space="preserve">As/os assistentes </w:t>
      </w:r>
      <w:r w:rsidR="00957CB8">
        <w:rPr>
          <w:sz w:val="24"/>
          <w:szCs w:val="24"/>
        </w:rPr>
        <w:t>s</w:t>
      </w:r>
      <w:r w:rsidR="00957CB8">
        <w:rPr>
          <w:color w:val="000000"/>
          <w:sz w:val="24"/>
          <w:szCs w:val="24"/>
        </w:rPr>
        <w:t>ociais</w:t>
      </w:r>
      <w:proofErr w:type="gramEnd"/>
      <w:r w:rsidR="00957CB8">
        <w:rPr>
          <w:sz w:val="24"/>
          <w:szCs w:val="24"/>
        </w:rPr>
        <w:t xml:space="preserve"> </w:t>
      </w:r>
      <w:r w:rsidR="00957CB8">
        <w:rPr>
          <w:color w:val="000000"/>
          <w:sz w:val="24"/>
          <w:szCs w:val="24"/>
        </w:rPr>
        <w:t>constituem parte dos profissionais que operam o sistema de garantia de direitos e o SUA</w:t>
      </w:r>
      <w:r w:rsidR="00957CB8">
        <w:rPr>
          <w:color w:val="000000"/>
          <w:sz w:val="24"/>
          <w:szCs w:val="24"/>
        </w:rPr>
        <w:t xml:space="preserve">S. São profissionais que </w:t>
      </w:r>
      <w:r w:rsidR="00957CB8">
        <w:rPr>
          <w:sz w:val="24"/>
          <w:szCs w:val="24"/>
        </w:rPr>
        <w:t>têm</w:t>
      </w:r>
      <w:r w:rsidR="00957CB8">
        <w:rPr>
          <w:color w:val="000000"/>
          <w:sz w:val="24"/>
          <w:szCs w:val="24"/>
        </w:rPr>
        <w:t xml:space="preserve"> sua dimensão ético-política, fundamentada no Código de Ética-CE de 1993, que</w:t>
      </w:r>
      <w:r w:rsidR="00957CB8">
        <w:rPr>
          <w:sz w:val="24"/>
          <w:szCs w:val="24"/>
        </w:rPr>
        <w:t xml:space="preserve">, </w:t>
      </w:r>
      <w:r w:rsidR="00957CB8">
        <w:rPr>
          <w:color w:val="000000"/>
          <w:sz w:val="24"/>
          <w:szCs w:val="24"/>
        </w:rPr>
        <w:t>em 2011, incorpora alterações significativas. Destaca-se a inclusão do conceito de "identidade de gênero" no Princípio Fundamental XI, que estabelece</w:t>
      </w:r>
      <w:r w:rsidR="00957CB8">
        <w:rPr>
          <w:color w:val="000000"/>
          <w:sz w:val="24"/>
          <w:szCs w:val="24"/>
        </w:rPr>
        <w:t xml:space="preserve">: “O exercício do Serviço </w:t>
      </w:r>
      <w:r w:rsidR="00957CB8">
        <w:rPr>
          <w:sz w:val="24"/>
          <w:szCs w:val="24"/>
        </w:rPr>
        <w:t>Social,</w:t>
      </w:r>
      <w:r w:rsidR="00957CB8">
        <w:rPr>
          <w:color w:val="000000"/>
          <w:sz w:val="24"/>
          <w:szCs w:val="24"/>
        </w:rPr>
        <w:t xml:space="preserve"> sem ser discriminado/a, nem discriminar, por questões de inserção de classe social, gênero, etnia, religião, nacionalidade, orientação sexual, identidade de gênero, idade ou condição física”. </w:t>
      </w:r>
    </w:p>
    <w:p w14:paraId="140A0244" w14:textId="429D75FF" w:rsidR="00F84915" w:rsidRDefault="00AF4781" w:rsidP="00F84915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  </w:t>
      </w:r>
      <w:r w:rsidR="00957CB8">
        <w:rPr>
          <w:color w:val="000000"/>
          <w:sz w:val="24"/>
          <w:szCs w:val="24"/>
        </w:rPr>
        <w:t>Esse princípio reforça o comp</w:t>
      </w:r>
      <w:r w:rsidR="00957CB8">
        <w:rPr>
          <w:color w:val="000000"/>
          <w:sz w:val="24"/>
          <w:szCs w:val="24"/>
        </w:rPr>
        <w:t>romisso ético dos/das profissionais com a igualdade e o respeito à diversidade.</w:t>
      </w:r>
      <w:r w:rsidR="00957CB8">
        <w:rPr>
          <w:sz w:val="24"/>
          <w:szCs w:val="24"/>
        </w:rPr>
        <w:t xml:space="preserve"> </w:t>
      </w:r>
      <w:r w:rsidR="00957CB8">
        <w:rPr>
          <w:color w:val="000000"/>
          <w:sz w:val="24"/>
          <w:szCs w:val="24"/>
        </w:rPr>
        <w:t>Barroco (2012)</w:t>
      </w:r>
      <w:r w:rsidR="00957CB8">
        <w:rPr>
          <w:sz w:val="24"/>
          <w:szCs w:val="24"/>
        </w:rPr>
        <w:t xml:space="preserve"> </w:t>
      </w:r>
      <w:r w:rsidR="00957CB8">
        <w:rPr>
          <w:color w:val="000000"/>
          <w:sz w:val="24"/>
          <w:szCs w:val="24"/>
        </w:rPr>
        <w:t>considera</w:t>
      </w:r>
      <w:r w:rsidR="00957CB8">
        <w:rPr>
          <w:sz w:val="24"/>
          <w:szCs w:val="24"/>
        </w:rPr>
        <w:t xml:space="preserve"> que o </w:t>
      </w:r>
      <w:r w:rsidR="00957CB8">
        <w:rPr>
          <w:color w:val="000000"/>
          <w:sz w:val="24"/>
          <w:szCs w:val="24"/>
        </w:rPr>
        <w:t>preconceito e discriminação s</w:t>
      </w:r>
      <w:r w:rsidR="00957CB8">
        <w:rPr>
          <w:sz w:val="24"/>
          <w:szCs w:val="24"/>
        </w:rPr>
        <w:t xml:space="preserve">ão </w:t>
      </w:r>
      <w:r w:rsidR="00957CB8">
        <w:rPr>
          <w:color w:val="000000"/>
          <w:sz w:val="24"/>
          <w:szCs w:val="24"/>
        </w:rPr>
        <w:t xml:space="preserve">formas antiéticas de se relacionar com as diferenças sociais e individuais. As </w:t>
      </w:r>
      <w:r w:rsidR="00957CB8">
        <w:rPr>
          <w:sz w:val="24"/>
          <w:szCs w:val="24"/>
        </w:rPr>
        <w:t>i</w:t>
      </w:r>
      <w:r w:rsidR="00957CB8">
        <w:rPr>
          <w:color w:val="000000"/>
          <w:sz w:val="24"/>
          <w:szCs w:val="24"/>
        </w:rPr>
        <w:t>ntervenções profissionais desenca</w:t>
      </w:r>
      <w:r w:rsidR="00957CB8">
        <w:rPr>
          <w:color w:val="000000"/>
          <w:sz w:val="24"/>
          <w:szCs w:val="24"/>
        </w:rPr>
        <w:t xml:space="preserve">deadas por diversas formas de atendimento, ao excluir ou discriminar os usuários, </w:t>
      </w:r>
      <w:r w:rsidR="00F84915">
        <w:rPr>
          <w:color w:val="000000"/>
          <w:sz w:val="24"/>
          <w:szCs w:val="24"/>
        </w:rPr>
        <w:t xml:space="preserve">impedindo o seu acesso aos serviços, ou limitando a sua autonomia, caracterizam submissão </w:t>
      </w:r>
      <w:r w:rsidR="00F84915">
        <w:rPr>
          <w:sz w:val="24"/>
          <w:szCs w:val="24"/>
        </w:rPr>
        <w:t>à</w:t>
      </w:r>
      <w:r w:rsidR="00F84915">
        <w:rPr>
          <w:color w:val="000000"/>
          <w:sz w:val="24"/>
          <w:szCs w:val="24"/>
        </w:rPr>
        <w:t xml:space="preserve"> situação de desrespeito e de autoritarismo.</w:t>
      </w:r>
    </w:p>
    <w:p w14:paraId="4943871C" w14:textId="5F05AB5D" w:rsidR="008A5431" w:rsidRDefault="008A5431">
      <w:pPr>
        <w:spacing w:line="360" w:lineRule="auto"/>
        <w:ind w:right="14" w:firstLine="850"/>
        <w:jc w:val="both"/>
        <w:rPr>
          <w:color w:val="000000"/>
          <w:sz w:val="24"/>
          <w:szCs w:val="24"/>
        </w:rPr>
      </w:pPr>
    </w:p>
    <w:p w14:paraId="6D677CE3" w14:textId="7E64C1BA" w:rsidR="008A5431" w:rsidRDefault="008A5431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EFF23" w14:textId="6EE97DB0" w:rsidR="008A5431" w:rsidRDefault="00F84915" w:rsidP="00F84915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  Gracyelle Costa (2017) problematiza como</w:t>
      </w:r>
      <w:r>
        <w:rPr>
          <w:i/>
          <w:color w:val="000000"/>
          <w:sz w:val="24"/>
          <w:szCs w:val="24"/>
        </w:rPr>
        <w:t xml:space="preserve"> a</w:t>
      </w:r>
      <w:r>
        <w:rPr>
          <w:color w:val="000000"/>
          <w:sz w:val="24"/>
          <w:szCs w:val="24"/>
        </w:rPr>
        <w:t xml:space="preserve"> Assistência Social, agora “profissionalizada”, dialoga com o debate étnico-racial e de gênero? Como </w:t>
      </w:r>
      <w:r>
        <w:rPr>
          <w:sz w:val="24"/>
          <w:szCs w:val="24"/>
        </w:rPr>
        <w:t>pensar a transversalidade</w:t>
      </w:r>
      <w:r>
        <w:rPr>
          <w:color w:val="000000"/>
          <w:sz w:val="24"/>
          <w:szCs w:val="24"/>
        </w:rPr>
        <w:t xml:space="preserve"> deste debate no SUAS?</w:t>
      </w:r>
      <w:r>
        <w:rPr>
          <w:sz w:val="24"/>
          <w:szCs w:val="24"/>
        </w:rPr>
        <w:t xml:space="preserve"> (</w:t>
      </w:r>
      <w:r>
        <w:rPr>
          <w:color w:val="000000"/>
          <w:sz w:val="24"/>
          <w:szCs w:val="24"/>
        </w:rPr>
        <w:t xml:space="preserve">Costa, 2017, p. 231). A </w:t>
      </w:r>
      <w:r>
        <w:rPr>
          <w:sz w:val="24"/>
          <w:szCs w:val="24"/>
        </w:rPr>
        <w:t>autora,</w:t>
      </w:r>
      <w:r>
        <w:rPr>
          <w:color w:val="000000"/>
          <w:sz w:val="24"/>
          <w:szCs w:val="24"/>
        </w:rPr>
        <w:t xml:space="preserve"> no resultado da sua pesquisa, conclui que “o entrelaçamento” de raça/etnia e gênero, quando observado na vida das famílias e dos usuários da Política de Assistência Social, ainda é pouco abordado.  Ainda assim, reconhece que as relações étnicas- raciais “teimam em passar ao largo quando não citadas apenas de forma pontual” (Idem, p. 227).</w:t>
      </w:r>
    </w:p>
    <w:p w14:paraId="43FEA021" w14:textId="77777777" w:rsidR="008A5431" w:rsidRDefault="00957CB8">
      <w:pPr>
        <w:spacing w:line="360" w:lineRule="auto"/>
        <w:ind w:right="1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Maria Antonieta Rocha dos Santos (202</w:t>
      </w:r>
      <w:r>
        <w:rPr>
          <w:sz w:val="24"/>
          <w:szCs w:val="24"/>
        </w:rPr>
        <w:t>1</w:t>
      </w:r>
      <w:r>
        <w:rPr>
          <w:color w:val="000000"/>
          <w:sz w:val="24"/>
          <w:szCs w:val="24"/>
        </w:rPr>
        <w:t>) ao afirmar que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“a intersecção entre gênero, raça/etnia e outras categorias do pensamento social crítico estão presentes nas práticas dos/das </w:t>
      </w:r>
      <w:r>
        <w:rPr>
          <w:sz w:val="24"/>
          <w:szCs w:val="24"/>
        </w:rPr>
        <w:t>A</w:t>
      </w:r>
      <w:r>
        <w:rPr>
          <w:color w:val="000000"/>
          <w:sz w:val="24"/>
          <w:szCs w:val="24"/>
        </w:rPr>
        <w:t xml:space="preserve">ssistentes </w:t>
      </w:r>
      <w:r>
        <w:rPr>
          <w:sz w:val="24"/>
          <w:szCs w:val="24"/>
        </w:rPr>
        <w:t>S</w:t>
      </w:r>
      <w:r>
        <w:rPr>
          <w:color w:val="000000"/>
          <w:sz w:val="24"/>
          <w:szCs w:val="24"/>
        </w:rPr>
        <w:t>ociais e nos arranjos institucionais,</w:t>
      </w:r>
      <w:r>
        <w:rPr>
          <w:color w:val="000000"/>
          <w:sz w:val="24"/>
          <w:szCs w:val="24"/>
        </w:rPr>
        <w:t xml:space="preserve"> porém não são apreendidas de modo interseccional</w:t>
      </w:r>
      <w:r>
        <w:rPr>
          <w:sz w:val="24"/>
          <w:szCs w:val="24"/>
        </w:rPr>
        <w:t>[...]” (Santos, 2001, p. 145). </w:t>
      </w:r>
    </w:p>
    <w:p w14:paraId="1A51F798" w14:textId="77777777" w:rsidR="008A5431" w:rsidRDefault="00957CB8">
      <w:pPr>
        <w:spacing w:line="360" w:lineRule="auto"/>
        <w:ind w:right="1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 xml:space="preserve">Esse </w:t>
      </w:r>
      <w:r>
        <w:rPr>
          <w:sz w:val="24"/>
          <w:szCs w:val="24"/>
          <w:highlight w:val="white"/>
        </w:rPr>
        <w:t xml:space="preserve">“não lugar” da interseccionalidade, segundo a autora, reduz o olhar e hierarquiza opressões de gênero, raça e classe. O compromisso com a </w:t>
      </w:r>
      <w:r>
        <w:rPr>
          <w:color w:val="000000"/>
          <w:sz w:val="24"/>
          <w:szCs w:val="24"/>
          <w:highlight w:val="white"/>
        </w:rPr>
        <w:t xml:space="preserve">inclusão da pauta dos direitos das mulheres na agenda de políticas públicas do Brasil, requer </w:t>
      </w:r>
      <w:r>
        <w:rPr>
          <w:sz w:val="24"/>
          <w:szCs w:val="24"/>
          <w:highlight w:val="white"/>
        </w:rPr>
        <w:t>revisitar a</w:t>
      </w:r>
      <w:r>
        <w:rPr>
          <w:color w:val="000000"/>
          <w:sz w:val="24"/>
          <w:szCs w:val="24"/>
          <w:highlight w:val="white"/>
        </w:rPr>
        <w:t xml:space="preserve"> forte influência da IV Conferência Mundial sobre a Mulher (Pequim, 1995). Schwartz (2003)</w:t>
      </w:r>
      <w:r>
        <w:rPr>
          <w:sz w:val="24"/>
          <w:szCs w:val="24"/>
          <w:highlight w:val="white"/>
        </w:rPr>
        <w:t xml:space="preserve">, </w:t>
      </w:r>
      <w:r>
        <w:rPr>
          <w:color w:val="000000"/>
          <w:sz w:val="24"/>
          <w:szCs w:val="24"/>
          <w:highlight w:val="white"/>
        </w:rPr>
        <w:t xml:space="preserve">ao analisar seus impactos nas políticas </w:t>
      </w:r>
      <w:r>
        <w:rPr>
          <w:color w:val="000000"/>
          <w:sz w:val="24"/>
          <w:szCs w:val="24"/>
        </w:rPr>
        <w:t>públicas brasileira</w:t>
      </w:r>
      <w:r>
        <w:rPr>
          <w:color w:val="000000"/>
          <w:sz w:val="24"/>
          <w:szCs w:val="24"/>
        </w:rPr>
        <w:t>s</w:t>
      </w:r>
      <w:r>
        <w:rPr>
          <w:color w:val="000000"/>
          <w:sz w:val="24"/>
          <w:szCs w:val="24"/>
          <w:highlight w:val="white"/>
        </w:rPr>
        <w:t>, pontua que representou “a expressão e o fortalecimento dos movimentos femininos e das organizações não-governamentais envolvidas na defesa dos direitos humanos das mulheres”</w:t>
      </w:r>
      <w:r>
        <w:rPr>
          <w:sz w:val="24"/>
          <w:szCs w:val="24"/>
          <w:highlight w:val="white"/>
        </w:rPr>
        <w:t xml:space="preserve"> (Schwartz, </w:t>
      </w:r>
      <w:proofErr w:type="gramStart"/>
      <w:r>
        <w:rPr>
          <w:sz w:val="24"/>
          <w:szCs w:val="24"/>
          <w:highlight w:val="white"/>
        </w:rPr>
        <w:t>2003,p.</w:t>
      </w:r>
      <w:proofErr w:type="gramEnd"/>
      <w:r>
        <w:rPr>
          <w:sz w:val="24"/>
          <w:szCs w:val="24"/>
          <w:highlight w:val="white"/>
        </w:rPr>
        <w:t>1). </w:t>
      </w:r>
    </w:p>
    <w:p w14:paraId="55944162" w14:textId="77777777" w:rsidR="008A5431" w:rsidRDefault="00957CB8">
      <w:pPr>
        <w:spacing w:line="360" w:lineRule="auto"/>
        <w:ind w:right="14" w:firstLine="8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Constituinte de 1988, o Movimento Negro focou a luta </w:t>
      </w:r>
      <w:r>
        <w:rPr>
          <w:color w:val="000000"/>
          <w:sz w:val="24"/>
          <w:szCs w:val="24"/>
        </w:rPr>
        <w:t>contra o racismo e a discriminação racial, tensionando para o reconhecimento e combate ao racismo, enquanto tecnologia de poder que por sua conformação histórica, opera a raça a partir de dois registros básicos que se entrecruzam e complementam. Ou seja, c</w:t>
      </w:r>
      <w:r>
        <w:rPr>
          <w:color w:val="000000"/>
          <w:sz w:val="24"/>
          <w:szCs w:val="24"/>
        </w:rPr>
        <w:t xml:space="preserve">omo característica biológica na qual a identidade é atribuída por um traço físico, como a cor da pele, e como característica </w:t>
      </w:r>
    </w:p>
    <w:p w14:paraId="683C37B5" w14:textId="77777777" w:rsidR="008A5431" w:rsidRDefault="00957CB8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étnico-cultural quando a identidade se associa a lugar de origem, religião ou outros costumes (Almeida, 2019, p. 30-31). </w:t>
      </w:r>
    </w:p>
    <w:p w14:paraId="08C78498" w14:textId="77777777" w:rsidR="00F84915" w:rsidRDefault="00957CB8">
      <w:pPr>
        <w:spacing w:line="360" w:lineRule="auto"/>
        <w:ind w:right="14" w:firstLine="82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Para as </w:t>
      </w:r>
      <w:r>
        <w:rPr>
          <w:color w:val="000000"/>
          <w:sz w:val="24"/>
          <w:szCs w:val="24"/>
        </w:rPr>
        <w:t xml:space="preserve">Políticas de Igualdade racial no Brasil, a III Conferência Mundial Contra o Racismo, Discriminação Racial, Xenofobia e Intolerâncias Correlatas, também conhecida como Conferência de Durban (2001), teve um impacto </w:t>
      </w:r>
    </w:p>
    <w:p w14:paraId="0812F5DF" w14:textId="77777777" w:rsidR="00F84915" w:rsidRDefault="00F84915">
      <w:pPr>
        <w:spacing w:line="360" w:lineRule="auto"/>
        <w:ind w:right="14" w:firstLine="825"/>
        <w:jc w:val="both"/>
        <w:rPr>
          <w:color w:val="000000"/>
          <w:sz w:val="24"/>
          <w:szCs w:val="24"/>
        </w:rPr>
      </w:pPr>
    </w:p>
    <w:p w14:paraId="69320094" w14:textId="6377DAD4" w:rsidR="008A5431" w:rsidRDefault="00957CB8" w:rsidP="00630B81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significativo no movimento negro. Um Mome</w:t>
      </w:r>
      <w:r>
        <w:rPr>
          <w:color w:val="000000"/>
          <w:sz w:val="24"/>
          <w:szCs w:val="24"/>
        </w:rPr>
        <w:t xml:space="preserve">nto do reconhecimento pelo Estado brasileiro, da existência do racismo como um problema que necessita de políticas públicas. </w:t>
      </w:r>
    </w:p>
    <w:p w14:paraId="3E4D2833" w14:textId="77777777" w:rsidR="008A5431" w:rsidRDefault="00957CB8">
      <w:pPr>
        <w:shd w:val="clear" w:color="auto" w:fill="FFFFFF"/>
        <w:spacing w:line="360" w:lineRule="auto"/>
        <w:ind w:firstLine="85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Portanto, a </w:t>
      </w:r>
      <w:r>
        <w:rPr>
          <w:color w:val="000000"/>
          <w:sz w:val="24"/>
          <w:szCs w:val="24"/>
        </w:rPr>
        <w:t>luta por direitos, no sentido do tratamento igual para todos, e, reconhecimento da diferença, como a constatação das e</w:t>
      </w:r>
      <w:r>
        <w:rPr>
          <w:color w:val="000000"/>
          <w:sz w:val="24"/>
          <w:szCs w:val="24"/>
        </w:rPr>
        <w:t xml:space="preserve">specificidades dos grupos e indivíduos, traz para o campo das políticas públicas, onde o Serviço Social </w:t>
      </w:r>
      <w:r>
        <w:rPr>
          <w:sz w:val="24"/>
          <w:szCs w:val="24"/>
        </w:rPr>
        <w:t xml:space="preserve">tem sua dimensão técnico-operativa, o desafio de incluir na sua formação profissional uma </w:t>
      </w:r>
      <w:r>
        <w:rPr>
          <w:color w:val="000000"/>
          <w:sz w:val="24"/>
          <w:szCs w:val="24"/>
        </w:rPr>
        <w:t>compreensão de que, gênero e raça são marcadores sociais que e</w:t>
      </w:r>
      <w:r>
        <w:rPr>
          <w:color w:val="000000"/>
          <w:sz w:val="24"/>
          <w:szCs w:val="24"/>
        </w:rPr>
        <w:t>stão inscritos de modo transversal nessas políticas</w:t>
      </w:r>
      <w:r>
        <w:rPr>
          <w:sz w:val="24"/>
          <w:szCs w:val="24"/>
        </w:rPr>
        <w:t xml:space="preserve">. </w:t>
      </w:r>
    </w:p>
    <w:p w14:paraId="6AA4CF08" w14:textId="5A6F3358" w:rsidR="008A5431" w:rsidRDefault="00957CB8" w:rsidP="00F84915">
      <w:pPr>
        <w:shd w:val="clear" w:color="auto" w:fill="FFFFFF"/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Para pensar as mulheres negras, </w:t>
      </w:r>
      <w:r>
        <w:rPr>
          <w:color w:val="000000"/>
          <w:sz w:val="24"/>
          <w:szCs w:val="24"/>
        </w:rPr>
        <w:t>a relevância de Lélia Gonzalez (1935-1994), como uma das fundadoras do Movimento Negro Unificado (MNU) em 1978. Uma ativista e intelectual negra</w:t>
      </w:r>
      <w:r>
        <w:rPr>
          <w:sz w:val="24"/>
          <w:szCs w:val="24"/>
        </w:rPr>
        <w:t xml:space="preserve">, cujo </w:t>
      </w:r>
      <w:r>
        <w:rPr>
          <w:color w:val="000000"/>
          <w:sz w:val="24"/>
          <w:szCs w:val="24"/>
        </w:rPr>
        <w:t xml:space="preserve">pensamento trilhou </w:t>
      </w:r>
      <w:r>
        <w:rPr>
          <w:color w:val="000000"/>
          <w:sz w:val="24"/>
          <w:szCs w:val="24"/>
        </w:rPr>
        <w:t>um caminho de centralidade à exclusão das mulheres negras que não pode ser entendida apenas pelo prisma do feminismo hegemônico. Ela desafiou a visão eurocêntrica do feminismo, enfatizando a necessidade de um feminismo afro-latino-americano que valorizasse</w:t>
      </w:r>
      <w:r>
        <w:rPr>
          <w:color w:val="000000"/>
          <w:sz w:val="24"/>
          <w:szCs w:val="24"/>
        </w:rPr>
        <w:t xml:space="preserve"> os saberes e experiências das mulheres negras e indígenas. Sua importância se funda no ativismo e intelectualidade que a tornou integrante da assessoria política do Instituto de Pesquisas da Cultura Negra</w:t>
      </w:r>
      <w:r>
        <w:rPr>
          <w:sz w:val="24"/>
          <w:szCs w:val="24"/>
        </w:rPr>
        <w:t xml:space="preserve">, </w:t>
      </w:r>
      <w:r>
        <w:rPr>
          <w:color w:val="000000"/>
          <w:sz w:val="24"/>
          <w:szCs w:val="24"/>
        </w:rPr>
        <w:t>com participação no debate e formulação de políti</w:t>
      </w:r>
      <w:r>
        <w:rPr>
          <w:color w:val="000000"/>
          <w:sz w:val="24"/>
          <w:szCs w:val="24"/>
        </w:rPr>
        <w:t>cas públicas, a partir da Constituinte.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777A2C0B" w14:textId="77777777" w:rsidR="00F84915" w:rsidRDefault="00F84915" w:rsidP="00F84915">
      <w:pPr>
        <w:shd w:val="clear" w:color="auto" w:fill="FFFFFF"/>
        <w:spacing w:line="360" w:lineRule="auto"/>
        <w:ind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A76608" w14:textId="77777777" w:rsidR="008A5431" w:rsidRDefault="00957CB8">
      <w:pPr>
        <w:shd w:val="clear" w:color="auto" w:fill="FFFFFF"/>
        <w:spacing w:line="240" w:lineRule="auto"/>
        <w:ind w:left="2160"/>
        <w:jc w:val="both"/>
        <w:rPr>
          <w:color w:val="000000"/>
          <w:sz w:val="20"/>
          <w:szCs w:val="20"/>
          <w:highlight w:val="white"/>
        </w:rPr>
      </w:pPr>
      <w:r>
        <w:rPr>
          <w:color w:val="000000"/>
          <w:sz w:val="20"/>
          <w:szCs w:val="20"/>
          <w:highlight w:val="white"/>
        </w:rPr>
        <w:t xml:space="preserve">às </w:t>
      </w:r>
      <w:r>
        <w:rPr>
          <w:i/>
          <w:color w:val="000000"/>
          <w:sz w:val="20"/>
          <w:szCs w:val="20"/>
          <w:highlight w:val="white"/>
        </w:rPr>
        <w:t>amefricanas</w:t>
      </w:r>
      <w:r>
        <w:rPr>
          <w:color w:val="000000"/>
          <w:sz w:val="20"/>
          <w:szCs w:val="20"/>
          <w:highlight w:val="white"/>
        </w:rPr>
        <w:t xml:space="preserve"> da chamada América Latina e do Brasil em particular, nossa percepção descobre uma grande resistência ao feminismo. É como se ele fosse estranho para elas[...] que sabem mais de solidariedade que de competição, de coletivismo do que de individualismo. Ness</w:t>
      </w:r>
      <w:r>
        <w:rPr>
          <w:color w:val="000000"/>
          <w:sz w:val="20"/>
          <w:szCs w:val="20"/>
          <w:highlight w:val="white"/>
        </w:rPr>
        <w:t>e contexto, há muito o que aprender (e refletir) com essas mulheres que, do abismo do seu anonimato, tem dado provas eloquentes de sabedoria. Por tudo isso, evidencia-se a nossa responsabilidade quanto aos nossos modos de organização e quanto ao destino qu</w:t>
      </w:r>
      <w:r>
        <w:rPr>
          <w:color w:val="000000"/>
          <w:sz w:val="20"/>
          <w:szCs w:val="20"/>
          <w:highlight w:val="white"/>
        </w:rPr>
        <w:t>e queremos dar ao nosso movimento (Gonzalez, 2020, p. 269). </w:t>
      </w:r>
    </w:p>
    <w:p w14:paraId="640231F9" w14:textId="77777777" w:rsidR="008A5431" w:rsidRDefault="008A5431">
      <w:pPr>
        <w:shd w:val="clear" w:color="auto" w:fill="FFFFFF"/>
        <w:spacing w:line="240" w:lineRule="auto"/>
        <w:ind w:left="2160" w:firstLine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343FAF8" w14:textId="6BA9BD17" w:rsidR="008A5431" w:rsidRDefault="00630B81" w:rsidP="00630B81">
      <w:pPr>
        <w:shd w:val="clear" w:color="auto" w:fill="FFFFFF"/>
        <w:spacing w:line="360" w:lineRule="auto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     Ao reivindicar as diferenças que atravessam os corpos de mulheres negras, que ela intitula </w:t>
      </w:r>
      <w:r>
        <w:rPr>
          <w:i/>
          <w:color w:val="000000"/>
          <w:sz w:val="24"/>
          <w:szCs w:val="24"/>
        </w:rPr>
        <w:t xml:space="preserve">amefricanas, </w:t>
      </w:r>
      <w:r>
        <w:rPr>
          <w:color w:val="000000"/>
          <w:sz w:val="24"/>
          <w:szCs w:val="24"/>
        </w:rPr>
        <w:t xml:space="preserve">a autora explicita </w:t>
      </w:r>
      <w:r>
        <w:rPr>
          <w:sz w:val="24"/>
          <w:szCs w:val="24"/>
        </w:rPr>
        <w:t>a crítica</w:t>
      </w:r>
      <w:r>
        <w:rPr>
          <w:color w:val="000000"/>
          <w:sz w:val="24"/>
          <w:szCs w:val="24"/>
        </w:rPr>
        <w:t xml:space="preserve"> </w:t>
      </w:r>
      <w:r>
        <w:rPr>
          <w:sz w:val="24"/>
          <w:szCs w:val="24"/>
        </w:rPr>
        <w:t xml:space="preserve">à </w:t>
      </w:r>
      <w:r>
        <w:rPr>
          <w:color w:val="000000"/>
          <w:sz w:val="24"/>
          <w:szCs w:val="24"/>
        </w:rPr>
        <w:t xml:space="preserve">exploração econômica e </w:t>
      </w:r>
      <w:r>
        <w:rPr>
          <w:sz w:val="24"/>
          <w:szCs w:val="24"/>
        </w:rPr>
        <w:t xml:space="preserve">à </w:t>
      </w:r>
      <w:r>
        <w:rPr>
          <w:color w:val="000000"/>
          <w:sz w:val="24"/>
          <w:szCs w:val="24"/>
        </w:rPr>
        <w:t>subordinação racial e sexual. </w:t>
      </w:r>
    </w:p>
    <w:p w14:paraId="21FFC9F2" w14:textId="77777777" w:rsidR="008A5431" w:rsidRDefault="008A5431">
      <w:pPr>
        <w:ind w:right="14"/>
        <w:jc w:val="both"/>
        <w:rPr>
          <w:b/>
          <w:sz w:val="24"/>
          <w:szCs w:val="24"/>
        </w:rPr>
      </w:pPr>
    </w:p>
    <w:p w14:paraId="6CF31830" w14:textId="77777777" w:rsidR="008A5431" w:rsidRDefault="00957CB8">
      <w:pPr>
        <w:ind w:left="708" w:right="1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24"/>
          <w:szCs w:val="24"/>
        </w:rPr>
        <w:t xml:space="preserve">4. TRANSVERSALIDADE E INTERSECCIONALIDADE: </w:t>
      </w:r>
      <w:r>
        <w:rPr>
          <w:sz w:val="24"/>
          <w:szCs w:val="24"/>
        </w:rPr>
        <w:t>Raça, gênero e a experiência de estágio supervisionado no “Bora Belém” e “Busca Ativa Escolar”, em Belém-PA</w:t>
      </w:r>
    </w:p>
    <w:p w14:paraId="44F3CA05" w14:textId="77777777" w:rsidR="008A5431" w:rsidRDefault="00957CB8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579A00E6" w14:textId="15838E20" w:rsidR="008A5431" w:rsidRDefault="00630B81" w:rsidP="00630B81">
      <w:pPr>
        <w:spacing w:line="360" w:lineRule="auto"/>
        <w:ind w:right="14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      A partir do desenho da PNAS/SUAS</w:t>
      </w:r>
      <w:r>
        <w:rPr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e dos programas de transferência de renda, a exemplo do “Bolsa Família”</w:t>
      </w:r>
      <w:r>
        <w:rPr>
          <w:color w:val="000000"/>
        </w:rPr>
        <w:t xml:space="preserve"> é possível afirmar uma perspe</w:t>
      </w:r>
      <w:r>
        <w:t xml:space="preserve">ctiva </w:t>
      </w:r>
      <w:r>
        <w:rPr>
          <w:color w:val="000000"/>
        </w:rPr>
        <w:t xml:space="preserve">de gestão transversal. Ao atualizar e aprimorar a gestão de condicionalidades do Programa Bolsa Família (PBF), o Ministério do Desenvolvimento e Assistência Social, Família e Combate </w:t>
      </w:r>
      <w:r>
        <w:t xml:space="preserve">à </w:t>
      </w:r>
      <w:r>
        <w:rPr>
          <w:color w:val="000000"/>
        </w:rPr>
        <w:t>Fome-MDS reafirma que  </w:t>
      </w:r>
    </w:p>
    <w:p w14:paraId="4A2164A6" w14:textId="77777777" w:rsidR="008A5431" w:rsidRDefault="00957C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0"/>
        <w:jc w:val="both"/>
        <w:rPr>
          <w:color w:val="000000"/>
          <w:sz w:val="18"/>
          <w:szCs w:val="18"/>
        </w:rPr>
      </w:pPr>
      <w:r>
        <w:rPr>
          <w:color w:val="000000"/>
          <w:sz w:val="20"/>
          <w:szCs w:val="20"/>
        </w:rPr>
        <w:t> </w:t>
      </w:r>
    </w:p>
    <w:p w14:paraId="7E1F201F" w14:textId="77777777" w:rsidR="008A5431" w:rsidRDefault="00957CB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0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as condicionalidades do PBF, </w:t>
      </w:r>
      <w:r w:rsidRPr="00F84915">
        <w:rPr>
          <w:color w:val="000000"/>
          <w:sz w:val="20"/>
          <w:szCs w:val="20"/>
        </w:rPr>
        <w:t>previstas no art. 10 da Lei nº 14.601, de 19 de junho de 2023, são, antes de tudo</w:t>
      </w:r>
      <w:r w:rsidRPr="00F84915">
        <w:rPr>
          <w:sz w:val="20"/>
          <w:szCs w:val="20"/>
          <w:shd w:val="clear" w:color="auto" w:fill="FFFFFF" w:themeFill="background1"/>
        </w:rPr>
        <w:t>, responsabilidades do poder público, o qual deve ofertar serviços nas áreas de saúde, educação e assistência social</w:t>
      </w:r>
      <w:r>
        <w:rPr>
          <w:color w:val="000000"/>
          <w:sz w:val="20"/>
          <w:szCs w:val="20"/>
        </w:rPr>
        <w:t xml:space="preserve"> às crianças, adolescentes, mulheres e pessoas gestantes beneficiárias(os) do Programa Bolsa Família [...] em seus territórios (grifos nossos). (Portaria MDS nº 1.058, de 18 de fevereiro de 2025). </w:t>
      </w:r>
    </w:p>
    <w:p w14:paraId="0B205414" w14:textId="77777777" w:rsidR="008A5431" w:rsidRDefault="008A543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560"/>
        <w:jc w:val="both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5AD52199" w14:textId="53032C23" w:rsidR="008A5431" w:rsidRDefault="00957CB8" w:rsidP="00F849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40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É sob essa perspectiva que o programa "Bora </w:t>
      </w:r>
      <w:r>
        <w:rPr>
          <w:color w:val="000000"/>
          <w:sz w:val="24"/>
          <w:szCs w:val="24"/>
          <w:highlight w:val="white"/>
        </w:rPr>
        <w:t>Belém", foi criado para combater a pobreza e a extrema pobreza, em especial durante a pandemia de COVID-19. Instituído pela Lei n.º 9.665, de 11 de janeiro de 2021 e coordenado pela F</w:t>
      </w:r>
      <w:r w:rsidR="00F84915">
        <w:rPr>
          <w:color w:val="000000"/>
          <w:sz w:val="24"/>
          <w:szCs w:val="24"/>
          <w:highlight w:val="white"/>
        </w:rPr>
        <w:t>UNPAPA</w:t>
      </w:r>
      <w:r>
        <w:rPr>
          <w:color w:val="000000"/>
          <w:sz w:val="24"/>
          <w:szCs w:val="24"/>
          <w:highlight w:val="white"/>
        </w:rPr>
        <w:t xml:space="preserve"> (Fundação Papa João XXII)</w:t>
      </w:r>
      <w:r>
        <w:rPr>
          <w:sz w:val="24"/>
          <w:szCs w:val="24"/>
          <w:highlight w:val="white"/>
        </w:rPr>
        <w:t xml:space="preserve"> - </w:t>
      </w:r>
      <w:r>
        <w:rPr>
          <w:color w:val="000000"/>
          <w:sz w:val="24"/>
          <w:szCs w:val="24"/>
          <w:highlight w:val="white"/>
        </w:rPr>
        <w:t>órgão gestor da Política de Assistênci</w:t>
      </w:r>
      <w:r>
        <w:rPr>
          <w:color w:val="000000"/>
          <w:sz w:val="24"/>
          <w:szCs w:val="24"/>
          <w:highlight w:val="white"/>
        </w:rPr>
        <w:t xml:space="preserve">a social no Município de Belém, integra os princípios do “Bolsa Família” ao </w:t>
      </w:r>
      <w:r w:rsidR="00F84915">
        <w:rPr>
          <w:color w:val="000000"/>
          <w:sz w:val="24"/>
          <w:szCs w:val="24"/>
          <w:highlight w:val="white"/>
        </w:rPr>
        <w:t>dispor</w:t>
      </w:r>
      <w:r>
        <w:rPr>
          <w:color w:val="000000"/>
          <w:sz w:val="24"/>
          <w:szCs w:val="24"/>
          <w:highlight w:val="white"/>
        </w:rPr>
        <w:t xml:space="preserve"> sobre a concessão de um benefício assistencial destinado </w:t>
      </w:r>
      <w:r>
        <w:rPr>
          <w:sz w:val="24"/>
          <w:szCs w:val="24"/>
          <w:highlight w:val="white"/>
        </w:rPr>
        <w:t xml:space="preserve">aos que se encontrem em situação de pobreza, extrema pobreza e vulnerabilidade </w:t>
      </w:r>
      <w:r>
        <w:rPr>
          <w:color w:val="000000"/>
          <w:sz w:val="24"/>
          <w:szCs w:val="24"/>
          <w:highlight w:val="white"/>
        </w:rPr>
        <w:t>social agravados pela crise da Covid-</w:t>
      </w:r>
      <w:r>
        <w:rPr>
          <w:color w:val="000000"/>
          <w:sz w:val="24"/>
          <w:szCs w:val="24"/>
          <w:highlight w:val="white"/>
        </w:rPr>
        <w:t>19. Destinado a famílias em situação de pobreza extrema, com renda per capita de até R$ 89 por mês, e famílias pobres, com renda entre R$ 89,01 e R$ 179, atendeu, entre 2021 e 2025 (quando foi extinto), em média, 18 mil famílias, sendo 16 mil delas constit</w:t>
      </w:r>
      <w:r>
        <w:rPr>
          <w:color w:val="000000"/>
          <w:sz w:val="24"/>
          <w:szCs w:val="24"/>
          <w:highlight w:val="white"/>
        </w:rPr>
        <w:t>uídas como “famílias monoparentais femininas”.  </w:t>
      </w:r>
    </w:p>
    <w:p w14:paraId="79949960" w14:textId="48EBF2EE" w:rsidR="00F84915" w:rsidRDefault="00957CB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" w:firstLine="8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Sua execução contou com ações transversais por meio do programa “Busca Ativa Escolar”, de iniciativa do UNICEF. Com a parceria da União Nacional dos Dirigentes Municipais de Educação (UNDIME), o apoio do Col</w:t>
      </w:r>
      <w:r>
        <w:rPr>
          <w:color w:val="000000"/>
          <w:sz w:val="24"/>
          <w:szCs w:val="24"/>
        </w:rPr>
        <w:t xml:space="preserve">egiado Nacional de Gestores Municipais de Assistência Social (CONGEMAS) e do Conselho Nacional de Secretarias Municipais de Saúde (CONONASEMS), o Programa “Busca Ativa” em Belém, coordenado pela Secretaria Municipal de </w:t>
      </w:r>
    </w:p>
    <w:p w14:paraId="6AFA858C" w14:textId="77777777" w:rsidR="00F84915" w:rsidRDefault="00F84915" w:rsidP="00F84915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"/>
        <w:jc w:val="both"/>
        <w:rPr>
          <w:color w:val="000000"/>
          <w:sz w:val="24"/>
          <w:szCs w:val="24"/>
        </w:rPr>
      </w:pPr>
    </w:p>
    <w:p w14:paraId="739966E7" w14:textId="494852CE" w:rsidR="008A5431" w:rsidRPr="00D44E5D" w:rsidRDefault="00F84915" w:rsidP="00D44E5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5"/>
        <w:jc w:val="both"/>
        <w:rPr>
          <w:sz w:val="20"/>
          <w:szCs w:val="20"/>
        </w:rPr>
      </w:pPr>
      <w:r>
        <w:rPr>
          <w:color w:val="000000"/>
          <w:sz w:val="24"/>
          <w:szCs w:val="24"/>
        </w:rPr>
        <w:t xml:space="preserve">Educação, fez parte da primeira edição do “Bora Belém” – realizada de 2022 a 2024. </w:t>
      </w:r>
      <w:r>
        <w:rPr>
          <w:color w:val="000000"/>
          <w:sz w:val="20"/>
          <w:szCs w:val="20"/>
        </w:rPr>
        <w:t> </w:t>
      </w:r>
    </w:p>
    <w:p w14:paraId="1E05A8EF" w14:textId="53A66334" w:rsidR="008A5431" w:rsidRDefault="00D44E5D" w:rsidP="00D44E5D">
      <w:pPr>
        <w:spacing w:line="360" w:lineRule="auto"/>
        <w:ind w:right="14"/>
        <w:jc w:val="both"/>
        <w:rPr>
          <w:sz w:val="24"/>
          <w:szCs w:val="24"/>
        </w:rPr>
      </w:pPr>
      <w:r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        </w:t>
      </w:r>
      <w:r w:rsidR="00630B81">
        <w:rPr>
          <w:rFonts w:ascii="Quattrocento Sans" w:eastAsia="Quattrocento Sans" w:hAnsi="Quattrocento Sans" w:cs="Quattrocento Sans"/>
          <w:color w:val="000000"/>
          <w:sz w:val="20"/>
          <w:szCs w:val="20"/>
        </w:rPr>
        <w:t xml:space="preserve">  </w:t>
      </w:r>
      <w:r>
        <w:rPr>
          <w:sz w:val="24"/>
          <w:szCs w:val="24"/>
        </w:rPr>
        <w:t>O “Busca Ativa Escolar”, iniciou com visitas domiciliares às famílias inscritas no Cadastro Único, e que estavam em não cumprimento das condicionalidades do Programa Bolsa Família”, tornando-se campo de estágio supervisionado em Serviço Social, inicialmente no âmbito da disciplina de Supervisão de Estágio do Curso de Serviço Social da Universidade Federal do Pará (2022). A partir das visitas domiciliares realizadas com acompanhamento técnico, os debates em sala de aula, tiveram como foco principal, o lugar destinado às mulheres negras - a periferia da cidade de Belém. Mulheres negras periféricas, são, portanto, parte da população que ocupa um espaço, marcado pelo racismo ambiental, manifestado na falta de acesso a bens e serviços, a exemplo do saneamento, do posto de saúde, do CRAS que nem sempre está próximo da/o cidadã/</w:t>
      </w:r>
      <w:r w:rsidR="008D6213">
        <w:rPr>
          <w:sz w:val="24"/>
          <w:szCs w:val="24"/>
        </w:rPr>
        <w:t>ao</w:t>
      </w:r>
      <w:r>
        <w:rPr>
          <w:sz w:val="24"/>
          <w:szCs w:val="24"/>
        </w:rPr>
        <w:t xml:space="preserve">. </w:t>
      </w:r>
    </w:p>
    <w:p w14:paraId="5A2E8C4C" w14:textId="6F916D5F" w:rsidR="008A5431" w:rsidRDefault="00630B81" w:rsidP="00630B81">
      <w:pPr>
        <w:spacing w:line="360" w:lineRule="auto"/>
        <w:ind w:right="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Para Maria Amália </w:t>
      </w:r>
      <w:proofErr w:type="spellStart"/>
      <w:r>
        <w:rPr>
          <w:sz w:val="24"/>
          <w:szCs w:val="24"/>
        </w:rPr>
        <w:t>Faller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Vitale</w:t>
      </w:r>
      <w:proofErr w:type="spellEnd"/>
      <w:r>
        <w:rPr>
          <w:sz w:val="24"/>
          <w:szCs w:val="24"/>
        </w:rPr>
        <w:t xml:space="preserve"> (2002, p. 49)</w:t>
      </w:r>
      <w:r>
        <w:rPr>
          <w:sz w:val="24"/>
          <w:szCs w:val="24"/>
          <w:highlight w:val="white"/>
        </w:rPr>
        <w:t>,</w:t>
      </w:r>
      <w:r>
        <w:rPr>
          <w:color w:val="FF0000"/>
          <w:sz w:val="24"/>
          <w:szCs w:val="24"/>
          <w:highlight w:val="white"/>
        </w:rPr>
        <w:t xml:space="preserve"> </w:t>
      </w:r>
      <w:r>
        <w:rPr>
          <w:sz w:val="24"/>
          <w:szCs w:val="24"/>
        </w:rPr>
        <w:t>ao se vincular monoparentalidade e feminino, fortalece-se a ideia de que as mulheres (e não os homens) são responsáveis pelas famílias?”. Ainda nessa direção, Milena Furghestti Machado &amp; Charles Henrique Voos (2022),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 xml:space="preserve">argumentam que a maioria das mulheres, “chefes de famílias”, assumem todas as despesas com os filhos e a casa, sem ter condições financeiras. Não acessam plano de saúde, nem qualificação profissional, subordinada à informalidade, sem moradia própria e alimentação adequada. </w:t>
      </w:r>
    </w:p>
    <w:p w14:paraId="46C937A5" w14:textId="75490405" w:rsidR="008A5431" w:rsidRDefault="00630B81" w:rsidP="00630B81">
      <w:pPr>
        <w:spacing w:line="360" w:lineRule="auto"/>
        <w:ind w:right="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Segundo o IBGE, em 2018, 45% das famílias brasileiras eram constituídas por famílias monoparentais femininas. Isso significa um pouco menos que a metade das mulheres do país. Assim, ressalta-se a importância de ferramentas que possam dar visibilidade às intersecções de raça, etnia, gênero e classe.</w:t>
      </w:r>
    </w:p>
    <w:p w14:paraId="0F5BDFDD" w14:textId="51DB5569" w:rsidR="008D6213" w:rsidRDefault="00957CB8">
      <w:pPr>
        <w:spacing w:line="360" w:lineRule="auto"/>
        <w:ind w:right="14" w:firstLine="85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</w:t>
      </w:r>
      <w:proofErr w:type="spellStart"/>
      <w:r>
        <w:rPr>
          <w:sz w:val="24"/>
          <w:szCs w:val="24"/>
        </w:rPr>
        <w:t>Kimberlé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Crenshaw</w:t>
      </w:r>
      <w:proofErr w:type="spellEnd"/>
      <w:r>
        <w:rPr>
          <w:sz w:val="24"/>
          <w:szCs w:val="24"/>
        </w:rPr>
        <w:t xml:space="preserve"> (2022), a interseccionalidade refere-se à forma como as diferentes categorias de identidade (raça, gênero, classe, orientação sexual, etc.) interagem e se sobrepõem, criando sistemas de opressão distintos e especí</w:t>
      </w:r>
      <w:r>
        <w:rPr>
          <w:sz w:val="24"/>
          <w:szCs w:val="24"/>
        </w:rPr>
        <w:t xml:space="preserve">ficos para cada grupo. Essa realidade, associada à “feminização da </w:t>
      </w:r>
    </w:p>
    <w:p w14:paraId="30688E55" w14:textId="578B201D" w:rsidR="008A5431" w:rsidRDefault="00957CB8" w:rsidP="00630B81">
      <w:pPr>
        <w:spacing w:line="360" w:lineRule="auto"/>
        <w:ind w:right="1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pobreza”, ratifica o argumento de Crenshaw (2002), quando afirma que raça, classe e gênero se entrecruzam para produzir desigualdades. Na experiência de mulheres negras, as desigualdades e</w:t>
      </w:r>
      <w:r>
        <w:rPr>
          <w:sz w:val="24"/>
          <w:szCs w:val="24"/>
        </w:rPr>
        <w:t xml:space="preserve"> injustiças sociais não podem ser compreendidas apenas através das lentes do feminismo ou do antirracismo, mas sim pela combinação de ambos. </w:t>
      </w:r>
    </w:p>
    <w:p w14:paraId="3629211B" w14:textId="77777777" w:rsidR="008A5431" w:rsidRDefault="00957CB8">
      <w:pPr>
        <w:spacing w:before="65" w:line="360" w:lineRule="auto"/>
        <w:ind w:right="11" w:firstLine="850"/>
        <w:jc w:val="both"/>
        <w:rPr>
          <w:sz w:val="24"/>
          <w:szCs w:val="24"/>
        </w:rPr>
      </w:pPr>
      <w:r>
        <w:rPr>
          <w:sz w:val="24"/>
          <w:szCs w:val="24"/>
        </w:rPr>
        <w:t>Para o IPEA (2017), a falta de recursos, tempo, rede de apoio, além do preconceito, pressão social e problemas emo</w:t>
      </w:r>
      <w:r>
        <w:rPr>
          <w:sz w:val="24"/>
          <w:szCs w:val="24"/>
        </w:rPr>
        <w:t xml:space="preserve">cionais e psíquicos, são algumas das agruras que atravessam corpos e mentes de mulheres negras no Brasil. </w:t>
      </w:r>
    </w:p>
    <w:p w14:paraId="188D72CD" w14:textId="510C2816" w:rsidR="008A5431" w:rsidRPr="00F84915" w:rsidRDefault="00957CB8" w:rsidP="00F84915">
      <w:pPr>
        <w:spacing w:line="360" w:lineRule="auto"/>
        <w:ind w:right="14" w:firstLine="8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Na gestão transversal do “Bora Belém" e “Busca Ativa Escolar”, foi possível observar </w:t>
      </w:r>
      <w:r>
        <w:rPr>
          <w:sz w:val="24"/>
          <w:szCs w:val="24"/>
        </w:rPr>
        <w:t xml:space="preserve">que a </w:t>
      </w:r>
      <w:r>
        <w:rPr>
          <w:color w:val="000000"/>
          <w:sz w:val="24"/>
          <w:szCs w:val="24"/>
        </w:rPr>
        <w:t>proposta ganhou vida em vários bairros de Belém,</w:t>
      </w:r>
      <w:r w:rsidR="00F84915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com incentivo ao retorno escolar, atividades pedagógicas acerca de prevenção à violência de gênero e enfrentamento a</w:t>
      </w:r>
      <w:r>
        <w:rPr>
          <w:color w:val="000000"/>
          <w:sz w:val="24"/>
          <w:szCs w:val="24"/>
        </w:rPr>
        <w:t xml:space="preserve">o racismo, além de implementar a Lei da Escuta Protegida, com a criação de um comitê intersetorial para o atendimento de crianças e adolescentes vítimas ou testemunhas de violência (Unicef, 2024). </w:t>
      </w:r>
      <w:r>
        <w:rPr>
          <w:color w:val="1F1F1F"/>
          <w:sz w:val="24"/>
          <w:szCs w:val="24"/>
        </w:rPr>
        <w:t>Essa e</w:t>
      </w:r>
      <w:r>
        <w:rPr>
          <w:sz w:val="24"/>
          <w:szCs w:val="24"/>
        </w:rPr>
        <w:t>xperiência refletiu a estratégia de fortalecimento da</w:t>
      </w:r>
      <w:r>
        <w:rPr>
          <w:sz w:val="24"/>
          <w:szCs w:val="24"/>
        </w:rPr>
        <w:t xml:space="preserve"> transversalidade, sob uma perspectiva de garantia de direitos integrais de crianças, adolescentes e famílias. </w:t>
      </w:r>
    </w:p>
    <w:p w14:paraId="74F540B7" w14:textId="29803C04" w:rsidR="00F84915" w:rsidRPr="00D44E5D" w:rsidRDefault="00957CB8" w:rsidP="00D44E5D">
      <w:pPr>
        <w:spacing w:line="360" w:lineRule="auto"/>
        <w:ind w:right="14" w:firstLine="8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Embora não haja dados específicos das ações dos programas sobre raça/ cor, o gráfico abaixo mostra que 90,5% dos beneficiários do programa “Bora</w:t>
      </w:r>
      <w:r>
        <w:rPr>
          <w:color w:val="000000"/>
          <w:sz w:val="24"/>
          <w:szCs w:val="24"/>
        </w:rPr>
        <w:t xml:space="preserve"> Belém”, são mulheres.</w:t>
      </w:r>
    </w:p>
    <w:p w14:paraId="64EC3D9F" w14:textId="77777777" w:rsidR="008A5431" w:rsidRDefault="00957CB8">
      <w:pPr>
        <w:spacing w:line="360" w:lineRule="auto"/>
        <w:ind w:right="14" w:firstLine="720"/>
        <w:jc w:val="both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Figura 1 -</w:t>
      </w:r>
      <w:r>
        <w:rPr>
          <w:color w:val="000000"/>
          <w:sz w:val="24"/>
          <w:szCs w:val="24"/>
        </w:rPr>
        <w:t xml:space="preserve"> Referência familiar das famílias do Bora Belém, por sexo</w:t>
      </w:r>
      <w:r>
        <w:rPr>
          <w:sz w:val="24"/>
          <w:szCs w:val="24"/>
        </w:rPr>
        <w:t>.</w:t>
      </w:r>
    </w:p>
    <w:p w14:paraId="45588525" w14:textId="3A14EE8C" w:rsidR="00F84915" w:rsidRDefault="00D44E5D">
      <w:pPr>
        <w:spacing w:line="360" w:lineRule="auto"/>
        <w:ind w:right="14" w:firstLine="720"/>
        <w:jc w:val="both"/>
      </w:pPr>
      <w:r>
        <w:rPr>
          <w:noProof/>
        </w:rPr>
        <w:drawing>
          <wp:inline distT="0" distB="0" distL="114300" distR="114300" wp14:anchorId="50104A06" wp14:editId="77337225">
            <wp:extent cx="4161155" cy="2352675"/>
            <wp:effectExtent l="19050" t="19050" r="10795" b="28575"/>
            <wp:docPr id="54357875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r="922"/>
                    <a:stretch>
                      <a:fillRect/>
                    </a:stretch>
                  </pic:blipFill>
                  <pic:spPr>
                    <a:xfrm>
                      <a:off x="0" y="0"/>
                      <a:ext cx="4164052" cy="2354313"/>
                    </a:xfrm>
                    <a:prstGeom prst="rect">
                      <a:avLst/>
                    </a:prstGeom>
                    <a:ln w="12700">
                      <a:solidFill>
                        <a:srgbClr val="D9D9D9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14:paraId="6A6456BD" w14:textId="263CACDD" w:rsidR="00F84915" w:rsidRDefault="008D6213">
      <w:pPr>
        <w:spacing w:line="360" w:lineRule="auto"/>
        <w:ind w:right="14" w:firstLine="720"/>
        <w:jc w:val="both"/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Fonte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:  </w:t>
      </w:r>
      <w:r>
        <w:rPr>
          <w:sz w:val="18"/>
          <w:szCs w:val="18"/>
        </w:rPr>
        <w:t>RMA Central do Cadastro Único</w:t>
      </w:r>
    </w:p>
    <w:p w14:paraId="20185B66" w14:textId="77777777" w:rsidR="00D44E5D" w:rsidRDefault="00D44E5D" w:rsidP="00D44E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 w:firstLine="708"/>
        <w:jc w:val="both"/>
      </w:pPr>
    </w:p>
    <w:p w14:paraId="0E600E92" w14:textId="77777777" w:rsidR="008D6213" w:rsidRDefault="008D6213" w:rsidP="00D44E5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4" w:firstLine="708"/>
        <w:jc w:val="both"/>
      </w:pPr>
    </w:p>
    <w:p w14:paraId="2FFE3224" w14:textId="4C290513" w:rsidR="008A5431" w:rsidRPr="00F84915" w:rsidRDefault="00630B81" w:rsidP="00630B8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14"/>
        <w:jc w:val="both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   </w:t>
      </w:r>
      <w:r>
        <w:rPr>
          <w:color w:val="000000"/>
          <w:sz w:val="24"/>
          <w:szCs w:val="24"/>
        </w:rPr>
        <w:t xml:space="preserve">Ao relacionar os dados do gráfico com a experiência de campo de estágio em Serviço Social, realizada pela UFPA, pode-se considerar uma equivalência quanto </w:t>
      </w:r>
      <w:r>
        <w:rPr>
          <w:sz w:val="24"/>
          <w:szCs w:val="24"/>
        </w:rPr>
        <w:t>à</w:t>
      </w:r>
      <w:r>
        <w:rPr>
          <w:color w:val="000000"/>
          <w:sz w:val="24"/>
          <w:szCs w:val="24"/>
        </w:rPr>
        <w:t xml:space="preserve"> “Síntese de Indicadores Sociais” /IBGE (2019), ao apontar que 51,7% das pessoas abaixo da linha da pobreza eram mulheres e 48,3% homens. No cruzamento com as informações sobre gênero e cor ou raça, os dados indicam que mulheres pretas ou pardas, representaram 28,7% da população e estão entre os 39,8% dos extremamente pobres e 38,1% dos pobres. Esses </w:t>
      </w:r>
      <w:r>
        <w:rPr>
          <w:sz w:val="24"/>
          <w:szCs w:val="24"/>
        </w:rPr>
        <w:t>dados revelam</w:t>
      </w:r>
      <w:r>
        <w:rPr>
          <w:color w:val="000000"/>
          <w:sz w:val="24"/>
          <w:szCs w:val="24"/>
        </w:rPr>
        <w:t xml:space="preserve"> a importância de uma abordagem transversal nas políticas públicas, que considere a interseccionalidade de raça e gênero como uma expressão das desigualdades e injustiças sociais. </w:t>
      </w:r>
    </w:p>
    <w:p w14:paraId="45D65656" w14:textId="46EFE0BE" w:rsidR="008A5431" w:rsidRDefault="00957CB8" w:rsidP="008D6213">
      <w:pPr>
        <w:spacing w:line="360" w:lineRule="auto"/>
        <w:ind w:right="14" w:firstLine="85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A complexidade das questões </w:t>
      </w:r>
      <w:r>
        <w:rPr>
          <w:sz w:val="24"/>
          <w:szCs w:val="24"/>
        </w:rPr>
        <w:t>relativas à</w:t>
      </w:r>
      <w:r>
        <w:rPr>
          <w:color w:val="000000"/>
          <w:sz w:val="24"/>
          <w:szCs w:val="24"/>
        </w:rPr>
        <w:t xml:space="preserve"> discriminação racial como </w:t>
      </w:r>
      <w:r>
        <w:rPr>
          <w:color w:val="000000"/>
          <w:sz w:val="24"/>
          <w:szCs w:val="24"/>
          <w:highlight w:val="white"/>
        </w:rPr>
        <w:t>“a atribuição de tratamento diferenciado a membros de grupos racialmente identificados” [que] tem como requisito fundante o poder que forja o racismo (Almeida, 2019, p. 32). A discriminação de gênero engendra</w:t>
      </w:r>
      <w:r>
        <w:rPr>
          <w:sz w:val="24"/>
          <w:szCs w:val="24"/>
          <w:highlight w:val="white"/>
        </w:rPr>
        <w:t xml:space="preserve"> políticas públicas q</w:t>
      </w:r>
      <w:r>
        <w:rPr>
          <w:sz w:val="24"/>
          <w:szCs w:val="24"/>
          <w:highlight w:val="white"/>
        </w:rPr>
        <w:t xml:space="preserve">ue não consideram as necessidades e experiências específicas de mulheres negras, perpetuando desigualdades. </w:t>
      </w:r>
      <w:r>
        <w:rPr>
          <w:sz w:val="24"/>
          <w:szCs w:val="24"/>
        </w:rPr>
        <w:t>Nesse sentido, ressalta-se a importância de uma gestão transversal, com a pertinência de um olhar interseccional para identificar e intervir nos div</w:t>
      </w:r>
      <w:r>
        <w:rPr>
          <w:sz w:val="24"/>
          <w:szCs w:val="24"/>
        </w:rPr>
        <w:t>ersos sistemas que interagem para promover desigualdades sociais, raciais e de gênero.</w:t>
      </w:r>
    </w:p>
    <w:p w14:paraId="4ABAF11E" w14:textId="77777777" w:rsidR="008A5431" w:rsidRDefault="008A5431" w:rsidP="00F84915">
      <w:pPr>
        <w:ind w:right="14" w:firstLine="720"/>
        <w:jc w:val="both"/>
        <w:rPr>
          <w:sz w:val="24"/>
          <w:szCs w:val="24"/>
        </w:rPr>
      </w:pPr>
    </w:p>
    <w:p w14:paraId="00C0D781" w14:textId="77777777" w:rsidR="008A5431" w:rsidRDefault="00957CB8" w:rsidP="00F84915">
      <w:pPr>
        <w:ind w:left="708" w:right="14" w:hanging="425"/>
        <w:jc w:val="both"/>
        <w:rPr>
          <w:b/>
          <w:color w:val="000000"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5. </w:t>
      </w:r>
      <w:r>
        <w:rPr>
          <w:b/>
          <w:color w:val="000000"/>
          <w:sz w:val="24"/>
          <w:szCs w:val="24"/>
        </w:rPr>
        <w:t>CONSIDERAÇÕES FINAIS</w:t>
      </w:r>
    </w:p>
    <w:p w14:paraId="70F84D83" w14:textId="77777777" w:rsidR="00F84915" w:rsidRDefault="00F84915" w:rsidP="00F84915">
      <w:pPr>
        <w:ind w:left="708" w:right="14" w:hanging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C48E79" w14:textId="77777777" w:rsidR="00D44E5D" w:rsidRDefault="00F84915" w:rsidP="00F84915">
      <w:pPr>
        <w:spacing w:line="360" w:lineRule="auto"/>
        <w:ind w:right="1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Ao trazer a </w:t>
      </w:r>
      <w:r>
        <w:rPr>
          <w:color w:val="000000"/>
          <w:sz w:val="24"/>
          <w:szCs w:val="24"/>
        </w:rPr>
        <w:t>transversalidade como abordagem que possibilita a gestão pública incorporar as p</w:t>
      </w:r>
      <w:r>
        <w:rPr>
          <w:sz w:val="24"/>
          <w:szCs w:val="24"/>
        </w:rPr>
        <w:t xml:space="preserve">erspectivas dos sujeitos e temas estratégicos na agenda de governos, coloca-se em questão a articulação de frentes de ação em busca de soluções integrais, visando enfrentar problemas complexos que refletem dimensionamentos necessários à “questão social” nas políticas públicas. Os desafios práticos estão desde a formulação </w:t>
      </w:r>
      <w:r>
        <w:rPr>
          <w:color w:val="000000"/>
          <w:sz w:val="24"/>
          <w:szCs w:val="24"/>
        </w:rPr>
        <w:t xml:space="preserve">até a avaliação de </w:t>
      </w:r>
      <w:r>
        <w:rPr>
          <w:sz w:val="24"/>
          <w:szCs w:val="24"/>
        </w:rPr>
        <w:t>políticas</w:t>
      </w:r>
      <w:r>
        <w:rPr>
          <w:color w:val="000000"/>
          <w:sz w:val="24"/>
          <w:szCs w:val="24"/>
        </w:rPr>
        <w:t xml:space="preserve"> públicas</w:t>
      </w:r>
      <w:r>
        <w:rPr>
          <w:sz w:val="24"/>
          <w:szCs w:val="24"/>
        </w:rPr>
        <w:t xml:space="preserve">, com elaboração de instrumentos que possibilitem visualizar os resultados, como </w:t>
      </w:r>
    </w:p>
    <w:p w14:paraId="533C80BE" w14:textId="77777777" w:rsidR="00D44E5D" w:rsidRDefault="00D44E5D" w:rsidP="00F84915">
      <w:pPr>
        <w:spacing w:line="360" w:lineRule="auto"/>
        <w:ind w:right="14"/>
        <w:jc w:val="both"/>
        <w:rPr>
          <w:sz w:val="24"/>
          <w:szCs w:val="24"/>
        </w:rPr>
      </w:pPr>
    </w:p>
    <w:p w14:paraId="0832E185" w14:textId="77777777" w:rsidR="008D6213" w:rsidRDefault="008D6213" w:rsidP="00F84915">
      <w:pPr>
        <w:spacing w:line="360" w:lineRule="auto"/>
        <w:ind w:right="14"/>
        <w:jc w:val="both"/>
        <w:rPr>
          <w:sz w:val="24"/>
          <w:szCs w:val="24"/>
        </w:rPr>
      </w:pPr>
    </w:p>
    <w:p w14:paraId="1309AEE4" w14:textId="77777777" w:rsidR="00630B81" w:rsidRDefault="00630B81" w:rsidP="00F84915">
      <w:pPr>
        <w:spacing w:line="360" w:lineRule="auto"/>
        <w:ind w:right="14"/>
        <w:jc w:val="both"/>
        <w:rPr>
          <w:sz w:val="24"/>
          <w:szCs w:val="24"/>
        </w:rPr>
      </w:pPr>
      <w:bookmarkStart w:id="2" w:name="_Hlk202441827"/>
    </w:p>
    <w:p w14:paraId="17A5E00C" w14:textId="5CB47C19" w:rsidR="008A5431" w:rsidRDefault="00957CB8" w:rsidP="00F84915">
      <w:pPr>
        <w:spacing w:line="360" w:lineRule="auto"/>
        <w:ind w:right="14"/>
        <w:jc w:val="both"/>
        <w:rPr>
          <w:sz w:val="24"/>
          <w:szCs w:val="24"/>
        </w:rPr>
      </w:pPr>
      <w:r>
        <w:rPr>
          <w:sz w:val="24"/>
          <w:szCs w:val="24"/>
        </w:rPr>
        <w:t>elementos importantes, quer quanto à incidência sobre a questão em</w:t>
      </w:r>
      <w:r>
        <w:rPr>
          <w:sz w:val="24"/>
          <w:szCs w:val="24"/>
        </w:rPr>
        <w:t xml:space="preserve"> foco, quanto sobre os sujeitos e temas priorizados</w:t>
      </w:r>
      <w:bookmarkEnd w:id="2"/>
      <w:r>
        <w:rPr>
          <w:sz w:val="24"/>
          <w:szCs w:val="24"/>
        </w:rPr>
        <w:t>.</w:t>
      </w:r>
    </w:p>
    <w:p w14:paraId="12ED151D" w14:textId="42914853" w:rsidR="008A5431" w:rsidRDefault="00957CB8" w:rsidP="00F84915">
      <w:pPr>
        <w:spacing w:line="360" w:lineRule="auto"/>
        <w:ind w:right="14" w:firstLine="8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efeitos que adquirem as políticas sociais e suas condicionalidades e centralidade sociofamiliar criam fardos e responsabilidades excessivas, impostas de modo desproporcional à mulher, particularmente </w:t>
      </w:r>
      <w:r>
        <w:rPr>
          <w:sz w:val="24"/>
          <w:szCs w:val="24"/>
        </w:rPr>
        <w:t>às mulheres negras. Assim, as desigualdades e injustiças sociais não podem ser compreendidas apenas através das lentes do feminismo ou do antirracismo, mas sim pela combinação de ambos, sob uma base comum, o anticapitalismo.</w:t>
      </w:r>
    </w:p>
    <w:p w14:paraId="2C4FC178" w14:textId="77777777" w:rsidR="008A5431" w:rsidRDefault="00957CB8">
      <w:pPr>
        <w:spacing w:line="360" w:lineRule="auto"/>
        <w:ind w:right="14" w:firstLine="850"/>
        <w:jc w:val="both"/>
        <w:rPr>
          <w:sz w:val="24"/>
          <w:szCs w:val="24"/>
        </w:rPr>
      </w:pPr>
      <w:r>
        <w:rPr>
          <w:sz w:val="24"/>
          <w:szCs w:val="24"/>
        </w:rPr>
        <w:t>As ações do SUAS e demais polít</w:t>
      </w:r>
      <w:r>
        <w:rPr>
          <w:sz w:val="24"/>
          <w:szCs w:val="24"/>
        </w:rPr>
        <w:t>icas públicas requerem uma atenção transversal e interseccional, de um campo como o Serviço Social, cujo perfil profissional é exercido por mais de 95% de mulheres, e, que o Norte do país, tem maioria de assistentes sociais negras/os (Simões, 2012).</w:t>
      </w:r>
    </w:p>
    <w:p w14:paraId="0ABDDA76" w14:textId="77777777" w:rsidR="008A5431" w:rsidRDefault="00957CB8">
      <w:pPr>
        <w:spacing w:line="360" w:lineRule="auto"/>
        <w:ind w:right="14" w:firstLine="850"/>
        <w:jc w:val="both"/>
        <w:rPr>
          <w:sz w:val="24"/>
          <w:szCs w:val="24"/>
        </w:rPr>
      </w:pPr>
      <w:r>
        <w:rPr>
          <w:sz w:val="24"/>
          <w:szCs w:val="24"/>
        </w:rPr>
        <w:t>Consid</w:t>
      </w:r>
      <w:r>
        <w:rPr>
          <w:sz w:val="24"/>
          <w:szCs w:val="24"/>
        </w:rPr>
        <w:t>era-se, assim, a abordagem transversal e a interseccionalidade, campos de possibilidades para a ampliação e efetividade de políticas para mulheres negras em suas experiências individuais e coletivas. Singularidades que são muitas vezes homogeneizadas nos a</w:t>
      </w:r>
      <w:r>
        <w:rPr>
          <w:sz w:val="24"/>
          <w:szCs w:val="24"/>
        </w:rPr>
        <w:t>tuais modelos de gestão e operacionalização dos serviços frente aos, ainda, insuficientes dimensionamentos da questão social.</w:t>
      </w:r>
    </w:p>
    <w:p w14:paraId="30728762" w14:textId="77777777" w:rsidR="008A5431" w:rsidRDefault="008A5431">
      <w:pPr>
        <w:spacing w:line="240" w:lineRule="auto"/>
        <w:ind w:left="23" w:right="14" w:firstLine="2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4C07C04" w14:textId="77777777" w:rsidR="008A5431" w:rsidRDefault="00957CB8">
      <w:pPr>
        <w:spacing w:line="360" w:lineRule="auto"/>
        <w:rPr>
          <w:sz w:val="24"/>
          <w:szCs w:val="24"/>
        </w:rPr>
      </w:pPr>
      <w:r>
        <w:rPr>
          <w:b/>
          <w:sz w:val="24"/>
          <w:szCs w:val="24"/>
        </w:rPr>
        <w:t xml:space="preserve">REFERÊNCIAS </w:t>
      </w:r>
    </w:p>
    <w:p w14:paraId="57626EE2" w14:textId="77777777" w:rsidR="008A5431" w:rsidRDefault="00957CB8">
      <w:pPr>
        <w:spacing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ALMEIDA, Sílvio Luiz de. Racismo estrutural. Coleção Feminismos Plurais. Ed. Pólen, 2019.</w:t>
      </w:r>
    </w:p>
    <w:p w14:paraId="7644AE3D" w14:textId="77777777" w:rsidR="008A5431" w:rsidRDefault="008A54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DD47B5" w14:textId="77777777" w:rsidR="008A5431" w:rsidRDefault="00957CB8">
      <w:pPr>
        <w:spacing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BARROCO, Maria Lucia </w:t>
      </w:r>
      <w:r>
        <w:rPr>
          <w:color w:val="000000"/>
          <w:sz w:val="24"/>
          <w:szCs w:val="24"/>
        </w:rPr>
        <w:t>Silva. Código de Ética do(a) Assistente Social comentado; CFESS (Org.). São Paulo: Cortez, 2012.</w:t>
      </w:r>
    </w:p>
    <w:p w14:paraId="1B14B3D0" w14:textId="77777777" w:rsidR="008A5431" w:rsidRDefault="008A5431">
      <w:pPr>
        <w:spacing w:line="240" w:lineRule="auto"/>
        <w:rPr>
          <w:sz w:val="24"/>
          <w:szCs w:val="24"/>
        </w:rPr>
      </w:pPr>
    </w:p>
    <w:p w14:paraId="0442E9DD" w14:textId="77777777" w:rsidR="008A5431" w:rsidRDefault="00957CB8">
      <w:pPr>
        <w:spacing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BELÉM. 2021. Lei nº 9.665, de 11 de janeiro de 2021. Institui o Programa de Renda Cidadã “Bora Belém” Para Enfrentamento da Pobreza, Extrema Pobreza. Belém, 1</w:t>
      </w:r>
      <w:r>
        <w:rPr>
          <w:color w:val="000000"/>
          <w:sz w:val="24"/>
          <w:szCs w:val="24"/>
        </w:rPr>
        <w:t>1 jan. 2021.</w:t>
      </w:r>
    </w:p>
    <w:p w14:paraId="161278B6" w14:textId="77777777" w:rsidR="008A5431" w:rsidRDefault="008A54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DADA526" w14:textId="70518D22" w:rsidR="008A5431" w:rsidRDefault="00957CB8">
      <w:pPr>
        <w:spacing w:line="240" w:lineRule="auto"/>
        <w:ind w:left="23"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BRASI</w:t>
      </w:r>
      <w:r w:rsidR="008D6213">
        <w:rPr>
          <w:color w:val="000000"/>
          <w:sz w:val="24"/>
          <w:szCs w:val="24"/>
        </w:rPr>
        <w:t xml:space="preserve">l </w:t>
      </w:r>
      <w:r>
        <w:rPr>
          <w:color w:val="000000"/>
          <w:sz w:val="24"/>
          <w:szCs w:val="24"/>
        </w:rPr>
        <w:t xml:space="preserve">Portaria </w:t>
      </w:r>
      <w:proofErr w:type="gramStart"/>
      <w:r>
        <w:rPr>
          <w:color w:val="000000"/>
          <w:sz w:val="24"/>
          <w:szCs w:val="24"/>
        </w:rPr>
        <w:t>MDS  nº</w:t>
      </w:r>
      <w:proofErr w:type="gramEnd"/>
      <w:r>
        <w:rPr>
          <w:color w:val="000000"/>
          <w:sz w:val="24"/>
          <w:szCs w:val="24"/>
        </w:rPr>
        <w:t xml:space="preserve"> 1.058, de 18 de fevereiro de 2025. Nova Portaria de Gestão de Condicionalidades do Programa Bolsa Família. In:informe Bolsa Família.</w:t>
      </w:r>
    </w:p>
    <w:p w14:paraId="69A58422" w14:textId="77777777" w:rsidR="008A5431" w:rsidRDefault="00957CB8">
      <w:pPr>
        <w:spacing w:before="237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BRASIL. Código de Ética do Assistente Social. Lei 8662/ 93 de regulamentação da profi</w:t>
      </w:r>
      <w:r>
        <w:rPr>
          <w:color w:val="000000"/>
          <w:sz w:val="24"/>
          <w:szCs w:val="24"/>
        </w:rPr>
        <w:t>ssão, 10ª Ed. Ver. E atual. Brasília: CFESS, 2011.</w:t>
      </w:r>
    </w:p>
    <w:p w14:paraId="4165987E" w14:textId="230252CE" w:rsidR="008A5431" w:rsidRDefault="00957CB8" w:rsidP="00D44E5D">
      <w:pPr>
        <w:spacing w:before="238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COSTA, </w:t>
      </w:r>
      <w:proofErr w:type="spellStart"/>
      <w:r>
        <w:rPr>
          <w:color w:val="000000"/>
          <w:sz w:val="24"/>
          <w:szCs w:val="24"/>
        </w:rPr>
        <w:t>Gracyelle</w:t>
      </w:r>
      <w:proofErr w:type="spellEnd"/>
      <w:r>
        <w:rPr>
          <w:color w:val="000000"/>
          <w:sz w:val="24"/>
          <w:szCs w:val="24"/>
        </w:rPr>
        <w:t xml:space="preserve">. "Assistência Social, no enlace entre a cor e gênero dos (as) que dela necessitam." </w:t>
      </w:r>
      <w:r>
        <w:rPr>
          <w:i/>
          <w:color w:val="000000"/>
          <w:sz w:val="24"/>
          <w:szCs w:val="24"/>
        </w:rPr>
        <w:t xml:space="preserve">O social em questão </w:t>
      </w:r>
      <w:r>
        <w:rPr>
          <w:color w:val="000000"/>
          <w:sz w:val="24"/>
          <w:szCs w:val="24"/>
        </w:rPr>
        <w:t>20.38 (2017): 227-245.</w:t>
      </w:r>
      <w:r w:rsidR="00D44E5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682DE12" w14:textId="77777777" w:rsidR="008A5431" w:rsidRDefault="008A5431" w:rsidP="00F84915">
      <w:pPr>
        <w:spacing w:before="4" w:line="240" w:lineRule="auto"/>
        <w:ind w:right="13"/>
        <w:rPr>
          <w:sz w:val="24"/>
          <w:szCs w:val="24"/>
        </w:rPr>
      </w:pPr>
    </w:p>
    <w:p w14:paraId="258E305B" w14:textId="77777777" w:rsidR="008A5431" w:rsidRDefault="00957CB8">
      <w:pPr>
        <w:spacing w:before="4" w:line="240" w:lineRule="auto"/>
        <w:ind w:left="23" w:right="1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CRENSHAW, Kimberlé, DOCUMENTO PARA O ENCONTRO DE </w:t>
      </w:r>
      <w:r>
        <w:rPr>
          <w:color w:val="000000"/>
          <w:sz w:val="24"/>
          <w:szCs w:val="24"/>
        </w:rPr>
        <w:t>ESPECIALISTAS EM ASPECTOS DA DISCRIMINA«ÃO RACIAL RELATIVOS AO GÊNERO. Revista Estudos Feministas. Florianópolis –SC, 2002.</w:t>
      </w:r>
    </w:p>
    <w:p w14:paraId="5AE1E867" w14:textId="77777777" w:rsidR="008A5431" w:rsidRDefault="00957CB8">
      <w:pPr>
        <w:spacing w:before="239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MOTA</w:t>
      </w:r>
      <w:r>
        <w:rPr>
          <w:color w:val="000000"/>
          <w:sz w:val="24"/>
          <w:szCs w:val="24"/>
        </w:rPr>
        <w:t>, Ana Elizabete Simões. O mito da assistência social: ensaios sobre Estado, política e sociedade. Cortez Editora, 2017. </w:t>
      </w:r>
    </w:p>
    <w:p w14:paraId="279D8CFD" w14:textId="77777777" w:rsidR="008A5431" w:rsidRDefault="00957CB8">
      <w:pPr>
        <w:spacing w:before="239" w:line="240" w:lineRule="auto"/>
        <w:ind w:lef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GONZALE</w:t>
      </w:r>
      <w:r>
        <w:rPr>
          <w:color w:val="000000"/>
          <w:sz w:val="24"/>
          <w:szCs w:val="24"/>
        </w:rPr>
        <w:t>Z, Lélia. Por um feminismo afro-</w:t>
      </w:r>
      <w:r>
        <w:rPr>
          <w:sz w:val="24"/>
          <w:szCs w:val="24"/>
        </w:rPr>
        <w:t>latino-americano</w:t>
      </w:r>
      <w:r>
        <w:rPr>
          <w:color w:val="000000"/>
          <w:sz w:val="24"/>
          <w:szCs w:val="24"/>
        </w:rPr>
        <w:t>: ensaios, intervenções e diálogos. 1. ed. Rio de Janeiro. Zahar,2020. </w:t>
      </w:r>
    </w:p>
    <w:p w14:paraId="62368A05" w14:textId="77777777" w:rsidR="008A5431" w:rsidRDefault="00957CB8">
      <w:pPr>
        <w:spacing w:before="239" w:line="240" w:lineRule="auto"/>
        <w:ind w:left="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INSTITUTO BRASILEIRO DE GEOGRAFIA E ESTATÍSTICA – IBGE. Síntese de indicadores sociais: uma análise das condições de vida da população b</w:t>
      </w:r>
      <w:r>
        <w:rPr>
          <w:color w:val="000000"/>
          <w:sz w:val="24"/>
          <w:szCs w:val="24"/>
        </w:rPr>
        <w:t>rasileira, 2020.</w:t>
      </w:r>
      <w:r>
        <w:rPr>
          <w:sz w:val="24"/>
          <w:szCs w:val="24"/>
        </w:rPr>
        <w:t xml:space="preserve">Disponível em: </w:t>
      </w:r>
      <w:r>
        <w:rPr>
          <w:color w:val="000000"/>
          <w:sz w:val="24"/>
          <w:szCs w:val="24"/>
        </w:rPr>
        <w:t xml:space="preserve">Acesso em 14 </w:t>
      </w:r>
      <w:r>
        <w:rPr>
          <w:sz w:val="24"/>
          <w:szCs w:val="24"/>
        </w:rPr>
        <w:t>junho</w:t>
      </w:r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5</w:t>
      </w:r>
      <w:r>
        <w:rPr>
          <w:color w:val="000000"/>
          <w:sz w:val="24"/>
          <w:szCs w:val="24"/>
        </w:rPr>
        <w:t>.</w:t>
      </w:r>
    </w:p>
    <w:p w14:paraId="6159BFED" w14:textId="77777777" w:rsidR="008A5431" w:rsidRDefault="00957CB8">
      <w:pPr>
        <w:spacing w:before="239" w:line="240" w:lineRule="auto"/>
        <w:ind w:left="2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MACHADO, Milena </w:t>
      </w:r>
      <w:proofErr w:type="gramStart"/>
      <w:r>
        <w:rPr>
          <w:sz w:val="24"/>
          <w:szCs w:val="24"/>
        </w:rPr>
        <w:t xml:space="preserve">Furghestti;   </w:t>
      </w:r>
      <w:proofErr w:type="gramEnd"/>
      <w:r>
        <w:rPr>
          <w:sz w:val="24"/>
          <w:szCs w:val="24"/>
        </w:rPr>
        <w:t>VOOS, Charles Henrique.</w:t>
      </w:r>
      <w:r>
        <w:rPr>
          <w:color w:val="434343"/>
          <w:sz w:val="24"/>
          <w:szCs w:val="24"/>
        </w:rPr>
        <w:t xml:space="preserve"> </w:t>
      </w:r>
      <w:r>
        <w:rPr>
          <w:sz w:val="24"/>
          <w:szCs w:val="24"/>
        </w:rPr>
        <w:t xml:space="preserve">A família monoparental feminina e a necessidade de políticas públicas específicas. Monumenta. Revista de Estudos Interdisciplinares. v. 3. n. 6. </w:t>
      </w:r>
      <w:proofErr w:type="gramStart"/>
      <w:r>
        <w:rPr>
          <w:sz w:val="24"/>
          <w:szCs w:val="24"/>
        </w:rPr>
        <w:t>J</w:t>
      </w:r>
      <w:r>
        <w:rPr>
          <w:sz w:val="24"/>
          <w:szCs w:val="24"/>
        </w:rPr>
        <w:t>ul.</w:t>
      </w:r>
      <w:proofErr w:type="gramEnd"/>
      <w:r>
        <w:rPr>
          <w:sz w:val="24"/>
          <w:szCs w:val="24"/>
        </w:rPr>
        <w:t xml:space="preserve"> a Dez, 2022.</w:t>
      </w:r>
    </w:p>
    <w:p w14:paraId="4B24C655" w14:textId="77777777" w:rsidR="008A5431" w:rsidRDefault="00957CB8">
      <w:pPr>
        <w:spacing w:before="239" w:line="240" w:lineRule="auto"/>
        <w:ind w:left="23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 xml:space="preserve">NATALINO, Marco Antônio Carvalho. Avanços e desafios da transversalidade nas políticas públicas federais voltadas para minorias. In: BRASIL. IPEA. Brasil em desenvolvimento: Estado, planejamento e políticas públicas. Brasília: IPEA, 2009. </w:t>
      </w:r>
      <w:r>
        <w:rPr>
          <w:sz w:val="24"/>
          <w:szCs w:val="24"/>
          <w:highlight w:val="white"/>
        </w:rPr>
        <w:t>Acesso em: 26 de junho 2025.</w:t>
      </w:r>
    </w:p>
    <w:p w14:paraId="5CD97F8C" w14:textId="77777777" w:rsidR="008A5431" w:rsidRDefault="00957CB8">
      <w:pPr>
        <w:spacing w:before="239" w:line="240" w:lineRule="auto"/>
        <w:ind w:lef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SANTOS, Maria Antonieta Rocha dos. “Interseccionalidade(s): um não lugar na formação em serviço social”. Tese (doutorado) - Universidade Federal de Santa Catarina, 2001. URI: </w:t>
      </w:r>
      <w:hyperlink r:id="rId16">
        <w:r w:rsidR="008A5431">
          <w:rPr>
            <w:color w:val="000000"/>
            <w:sz w:val="24"/>
            <w:szCs w:val="24"/>
            <w:u w:val="single"/>
          </w:rPr>
          <w:t>https://repositorio.ufsc.br</w:t>
        </w:r>
      </w:hyperlink>
      <w:r>
        <w:rPr>
          <w:color w:val="000000"/>
          <w:sz w:val="24"/>
          <w:szCs w:val="24"/>
        </w:rPr>
        <w:t> </w:t>
      </w:r>
    </w:p>
    <w:p w14:paraId="1EFF0171" w14:textId="77777777" w:rsidR="008A5431" w:rsidRDefault="00957CB8">
      <w:pPr>
        <w:spacing w:before="240" w:line="240" w:lineRule="auto"/>
        <w:ind w:left="23" w:right="2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SCHWA</w:t>
      </w:r>
      <w:r>
        <w:rPr>
          <w:color w:val="000000"/>
          <w:sz w:val="24"/>
          <w:szCs w:val="24"/>
        </w:rPr>
        <w:t>RTZ, R. M. P. B. Beijing muito mais do que palavras: a IV Conferência Mundial sobre a mulher das Nações Unidas e as políticas públicas no Brasil. In: Simpósio Nacional de História. João Pessoa-PB, 2003.</w:t>
      </w:r>
    </w:p>
    <w:p w14:paraId="37E70EE3" w14:textId="77777777" w:rsidR="008A5431" w:rsidRDefault="00957CB8">
      <w:pPr>
        <w:spacing w:before="240" w:line="240" w:lineRule="auto"/>
        <w:ind w:left="23" w:right="2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Silva, Tatiana. Gestão Da Transversalidade Em Polític</w:t>
      </w:r>
      <w:r>
        <w:rPr>
          <w:sz w:val="24"/>
          <w:szCs w:val="24"/>
        </w:rPr>
        <w:t>as Públicas. XXXV ENANPAD. Rio de janeiro, 04 a 07 de setembro, 2011. Acesso junho 2025</w:t>
      </w:r>
    </w:p>
    <w:p w14:paraId="3632F534" w14:textId="77777777" w:rsidR="008A5431" w:rsidRDefault="008A54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F5A474" w14:textId="77777777" w:rsidR="008A5431" w:rsidRDefault="00957CB8">
      <w:pPr>
        <w:spacing w:line="240" w:lineRule="auto"/>
        <w:ind w:left="23"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>SIMÕES, P. Assistentes sociais no Brasil: um estudo a partir das PNADs”. Rio de Janeiro: E-PAPERS, FAPERJ, 2012.</w:t>
      </w:r>
    </w:p>
    <w:p w14:paraId="79B2EACD" w14:textId="77777777" w:rsidR="008A5431" w:rsidRDefault="00957CB8">
      <w:pPr>
        <w:spacing w:before="239" w:line="240" w:lineRule="auto"/>
        <w:ind w:left="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UNICEF para cada Criança, </w:t>
      </w:r>
      <w:proofErr w:type="gramStart"/>
      <w:r>
        <w:rPr>
          <w:color w:val="000000"/>
          <w:sz w:val="24"/>
          <w:szCs w:val="24"/>
        </w:rPr>
        <w:t>Dezembro</w:t>
      </w:r>
      <w:proofErr w:type="gramEnd"/>
      <w:r>
        <w:rPr>
          <w:color w:val="000000"/>
          <w:sz w:val="24"/>
          <w:szCs w:val="24"/>
        </w:rPr>
        <w:t xml:space="preserve">, 2024. </w:t>
      </w:r>
      <w:r w:rsidRPr="00673798">
        <w:rPr>
          <w:color w:val="000000"/>
          <w:sz w:val="24"/>
          <w:szCs w:val="24"/>
          <w:lang w:val="en-US"/>
        </w:rPr>
        <w:t xml:space="preserve">In: </w:t>
      </w:r>
      <w:hyperlink r:id="rId17">
        <w:r w:rsidR="008A5431" w:rsidRPr="00673798">
          <w:rPr>
            <w:color w:val="000000"/>
            <w:sz w:val="24"/>
            <w:szCs w:val="24"/>
            <w:u w:val="single"/>
            <w:lang w:val="en-US"/>
          </w:rPr>
          <w:t xml:space="preserve">https://www.unicef.org/brazil/ </w:t>
        </w:r>
      </w:hyperlink>
      <w:r w:rsidRPr="00673798">
        <w:rPr>
          <w:color w:val="000000"/>
          <w:sz w:val="24"/>
          <w:szCs w:val="24"/>
          <w:lang w:val="en-US"/>
        </w:rPr>
        <w:t xml:space="preserve">. </w:t>
      </w:r>
      <w:r>
        <w:rPr>
          <w:color w:val="000000"/>
          <w:sz w:val="24"/>
          <w:szCs w:val="24"/>
        </w:rPr>
        <w:t xml:space="preserve">Acesso em </w:t>
      </w:r>
      <w:proofErr w:type="gramStart"/>
      <w:r>
        <w:rPr>
          <w:color w:val="000000"/>
          <w:sz w:val="24"/>
          <w:szCs w:val="24"/>
        </w:rPr>
        <w:t>Maio</w:t>
      </w:r>
      <w:proofErr w:type="gramEnd"/>
      <w:r>
        <w:rPr>
          <w:color w:val="000000"/>
          <w:sz w:val="24"/>
          <w:szCs w:val="24"/>
        </w:rPr>
        <w:t>, 2025. </w:t>
      </w:r>
    </w:p>
    <w:p w14:paraId="36CB45B8" w14:textId="0C570C4C" w:rsidR="008A5431" w:rsidRPr="00F84915" w:rsidRDefault="00957CB8" w:rsidP="00F84915">
      <w:pPr>
        <w:spacing w:before="239" w:line="240" w:lineRule="auto"/>
        <w:ind w:left="2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 Estatísticas Sociais, 2023.Disponível</w:t>
      </w:r>
      <w:r>
        <w:rPr>
          <w:color w:val="000000"/>
          <w:sz w:val="24"/>
          <w:szCs w:val="24"/>
        </w:rPr>
        <w:tab/>
        <w:t xml:space="preserve">em </w:t>
      </w:r>
      <w:hyperlink r:id="rId18">
        <w:r w:rsidR="008A5431">
          <w:rPr>
            <w:color w:val="000000"/>
            <w:sz w:val="24"/>
            <w:szCs w:val="24"/>
            <w:u w:val="single"/>
          </w:rPr>
          <w:t>https://agenciadenoticias.ibge.gov.br/agencia-noticias/2012-</w:t>
        </w:r>
      </w:hyperlink>
    </w:p>
    <w:p w14:paraId="2F3E64E2" w14:textId="77777777" w:rsidR="008A5431" w:rsidRDefault="008A5431">
      <w:pPr>
        <w:spacing w:line="240" w:lineRule="auto"/>
        <w:ind w:left="23" w:right="16"/>
        <w:jc w:val="both"/>
        <w:rPr>
          <w:sz w:val="24"/>
          <w:szCs w:val="24"/>
        </w:rPr>
      </w:pPr>
    </w:p>
    <w:p w14:paraId="2C358478" w14:textId="6792AD2B" w:rsidR="008A5431" w:rsidRPr="00D44E5D" w:rsidRDefault="00957CB8" w:rsidP="00D44E5D">
      <w:pPr>
        <w:spacing w:line="240" w:lineRule="auto"/>
        <w:ind w:left="23" w:right="1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color w:val="000000"/>
          <w:sz w:val="24"/>
          <w:szCs w:val="24"/>
        </w:rPr>
        <w:t xml:space="preserve">VITALE, Maria Amália </w:t>
      </w:r>
      <w:proofErr w:type="spellStart"/>
      <w:r>
        <w:rPr>
          <w:color w:val="000000"/>
          <w:sz w:val="24"/>
          <w:szCs w:val="24"/>
        </w:rPr>
        <w:t>Faller</w:t>
      </w:r>
      <w:proofErr w:type="spellEnd"/>
      <w:r>
        <w:rPr>
          <w:color w:val="000000"/>
          <w:sz w:val="24"/>
          <w:szCs w:val="24"/>
        </w:rPr>
        <w:t xml:space="preserve">. Famílias monoparentais: indagações. In: Revista Serviço Social &amp; Sociedade nº 71Especial Famílias. São Paulo: Cortez, 2002.  </w:t>
      </w:r>
    </w:p>
    <w:sectPr w:rsidR="008A5431" w:rsidRPr="00D44E5D">
      <w:footerReference w:type="default" r:id="rId19"/>
      <w:pgSz w:w="11909" w:h="16834"/>
      <w:pgMar w:top="1701" w:right="1134" w:bottom="1134" w:left="2267" w:header="226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773C89" w14:textId="77777777" w:rsidR="00957CB8" w:rsidRDefault="00957CB8">
      <w:pPr>
        <w:spacing w:line="240" w:lineRule="auto"/>
      </w:pPr>
      <w:r>
        <w:separator/>
      </w:r>
    </w:p>
  </w:endnote>
  <w:endnote w:type="continuationSeparator" w:id="0">
    <w:p w14:paraId="2B6BCAA0" w14:textId="77777777" w:rsidR="00957CB8" w:rsidRDefault="00957CB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D854404-8632-43AA-A104-BF206BDC353B}"/>
    <w:embedItalic r:id="rId2" w:fontKey="{FC47FE7A-7823-4B09-BC93-305CED01F19E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6AA2B431-B29E-48B5-8C56-35B283D51E2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C62E9FB-D57D-4193-939F-636E635DAA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D0F4A05-50C8-4A44-B4B3-C1061A6A2A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1440C" w14:textId="6D390AE1" w:rsidR="008A5431" w:rsidRDefault="008A5431">
    <w:pPr>
      <w:spacing w:line="308" w:lineRule="auto"/>
      <w:ind w:left="-141"/>
      <w:jc w:val="both"/>
      <w:rPr>
        <w:color w:val="1F1F1F"/>
        <w:sz w:val="14"/>
        <w:szCs w:val="14"/>
        <w:shd w:val="clear" w:color="auto" w:fill="F8F9FA"/>
      </w:rPr>
    </w:pPr>
  </w:p>
  <w:p w14:paraId="71AC4810" w14:textId="5C7A6FBC" w:rsidR="008A5431" w:rsidRDefault="00D44E5D">
    <w:pPr>
      <w:spacing w:line="308" w:lineRule="auto"/>
      <w:ind w:left="-141"/>
      <w:jc w:val="both"/>
      <w:rPr>
        <w:color w:val="1F1F1F"/>
        <w:sz w:val="14"/>
        <w:szCs w:val="14"/>
        <w:shd w:val="clear" w:color="auto" w:fill="F8F9FA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6F689DCD" wp14:editId="5EE5BC83">
          <wp:simplePos x="0" y="0"/>
          <wp:positionH relativeFrom="page">
            <wp:align>center</wp:align>
          </wp:positionH>
          <wp:positionV relativeFrom="paragraph">
            <wp:posOffset>15875</wp:posOffset>
          </wp:positionV>
          <wp:extent cx="3969385" cy="828675"/>
          <wp:effectExtent l="0" t="0" r="0" b="9525"/>
          <wp:wrapNone/>
          <wp:docPr id="207043719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7825" t="90681" r="19031"/>
                  <a:stretch>
                    <a:fillRect/>
                  </a:stretch>
                </pic:blipFill>
                <pic:spPr>
                  <a:xfrm>
                    <a:off x="0" y="0"/>
                    <a:ext cx="3969385" cy="828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955877E" w14:textId="72EDDE54" w:rsidR="008A5431" w:rsidRDefault="008A5431">
    <w:pPr>
      <w:spacing w:line="308" w:lineRule="auto"/>
      <w:ind w:left="-141"/>
      <w:jc w:val="both"/>
      <w:rPr>
        <w:color w:val="1F1F1F"/>
        <w:sz w:val="14"/>
        <w:szCs w:val="14"/>
        <w:shd w:val="clear" w:color="auto" w:fill="F8F9FA"/>
      </w:rPr>
    </w:pPr>
  </w:p>
  <w:p w14:paraId="613BEC60" w14:textId="67E522F1" w:rsidR="008A5431" w:rsidRDefault="008A5431">
    <w:pPr>
      <w:spacing w:line="308" w:lineRule="auto"/>
      <w:ind w:left="-141"/>
      <w:jc w:val="both"/>
      <w:rPr>
        <w:color w:val="1F1F1F"/>
        <w:sz w:val="14"/>
        <w:szCs w:val="14"/>
        <w:shd w:val="clear" w:color="auto" w:fill="F8F9FA"/>
      </w:rPr>
    </w:pPr>
  </w:p>
  <w:p w14:paraId="52E8059A" w14:textId="77777777" w:rsidR="008A5431" w:rsidRDefault="008A54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8B092" w14:textId="77777777" w:rsidR="008A5431" w:rsidRDefault="00957CB8">
    <w:pPr>
      <w:rPr>
        <w:sz w:val="20"/>
        <w:szCs w:val="20"/>
      </w:rPr>
    </w:pPr>
    <w:r>
      <w:rPr>
        <w:sz w:val="20"/>
        <w:szCs w:val="20"/>
      </w:rPr>
      <w:t xml:space="preserve">Graduanda em Serviço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5FC8D" w14:textId="77777777" w:rsidR="008A5431" w:rsidRDefault="00957CB8">
    <w:r>
      <w:rPr>
        <w:noProof/>
      </w:rPr>
      <w:drawing>
        <wp:anchor distT="0" distB="0" distL="0" distR="0" simplePos="0" relativeHeight="251660288" behindDoc="0" locked="0" layoutInCell="1" hidden="0" allowOverlap="1" wp14:anchorId="4BBEA5B3" wp14:editId="6BE7A7FB">
          <wp:simplePos x="0" y="0"/>
          <wp:positionH relativeFrom="column">
            <wp:posOffset>766763</wp:posOffset>
          </wp:positionH>
          <wp:positionV relativeFrom="paragraph">
            <wp:posOffset>-535351</wp:posOffset>
          </wp:positionV>
          <wp:extent cx="3969601" cy="828818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7825" t="90681" r="19031"/>
                  <a:stretch>
                    <a:fillRect/>
                  </a:stretch>
                </pic:blipFill>
                <pic:spPr>
                  <a:xfrm>
                    <a:off x="0" y="0"/>
                    <a:ext cx="3969601" cy="828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D086C2" w14:textId="77777777" w:rsidR="00957CB8" w:rsidRDefault="00957CB8">
      <w:pPr>
        <w:spacing w:line="240" w:lineRule="auto"/>
      </w:pPr>
      <w:r>
        <w:separator/>
      </w:r>
    </w:p>
  </w:footnote>
  <w:footnote w:type="continuationSeparator" w:id="0">
    <w:p w14:paraId="3AA84751" w14:textId="77777777" w:rsidR="00957CB8" w:rsidRDefault="00957CB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BEEC41" w14:textId="77777777" w:rsidR="008A5431" w:rsidRDefault="00957CB8">
    <w:pPr>
      <w:rPr>
        <w:sz w:val="24"/>
        <w:szCs w:val="24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7B7D870A" wp14:editId="3BCF5306">
          <wp:simplePos x="0" y="0"/>
          <wp:positionH relativeFrom="page">
            <wp:posOffset>-210185</wp:posOffset>
          </wp:positionH>
          <wp:positionV relativeFrom="paragraph">
            <wp:posOffset>-1687195</wp:posOffset>
          </wp:positionV>
          <wp:extent cx="7839075" cy="1981118"/>
          <wp:effectExtent l="0" t="0" r="0" b="635"/>
          <wp:wrapNone/>
          <wp:docPr id="733438051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t="-621" r="-957" b="82187"/>
                  <a:stretch>
                    <a:fillRect/>
                  </a:stretch>
                </pic:blipFill>
                <pic:spPr>
                  <a:xfrm>
                    <a:off x="0" y="0"/>
                    <a:ext cx="7839075" cy="1981118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A80209"/>
    <w:multiLevelType w:val="multilevel"/>
    <w:tmpl w:val="9D26407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5431"/>
    <w:rsid w:val="00062C61"/>
    <w:rsid w:val="003C7AF6"/>
    <w:rsid w:val="003F20CB"/>
    <w:rsid w:val="004058D9"/>
    <w:rsid w:val="00630B81"/>
    <w:rsid w:val="00673798"/>
    <w:rsid w:val="008A5431"/>
    <w:rsid w:val="008D6213"/>
    <w:rsid w:val="00957CB8"/>
    <w:rsid w:val="00964CF6"/>
    <w:rsid w:val="00A302C4"/>
    <w:rsid w:val="00AE1EC9"/>
    <w:rsid w:val="00AF4781"/>
    <w:rsid w:val="00CF226D"/>
    <w:rsid w:val="00D44E5D"/>
    <w:rsid w:val="00EE1F5A"/>
    <w:rsid w:val="00F16CA1"/>
    <w:rsid w:val="00F8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0C87FA5"/>
  <w15:docId w15:val="{0114316A-930E-487C-BFF4-9D4085298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abealho">
    <w:name w:val="header"/>
    <w:basedOn w:val="Normal"/>
    <w:link w:val="CabealhoChar"/>
    <w:uiPriority w:val="99"/>
    <w:unhideWhenUsed/>
    <w:rsid w:val="00F84915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84915"/>
  </w:style>
  <w:style w:type="paragraph" w:styleId="Rodap">
    <w:name w:val="footer"/>
    <w:basedOn w:val="Normal"/>
    <w:link w:val="RodapChar"/>
    <w:uiPriority w:val="99"/>
    <w:unhideWhenUsed/>
    <w:rsid w:val="00F84915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84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haispires368@gmail.com" TargetMode="External"/><Relationship Id="rId13" Type="http://schemas.openxmlformats.org/officeDocument/2006/relationships/hyperlink" Target="mailto:antonie@ufpa.br" TargetMode="External"/><Relationship Id="rId18" Type="http://schemas.openxmlformats.org/officeDocument/2006/relationships/hyperlink" Target="https://agenciadenoticias.ibge.gov.br/agencia-noticias/2012-agencia-de-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www.unicef.org/brazil/%20comunicados-de-imprensa/belem-avanca-na-protecao-e-garantia-de-direitos-de-criancas-e-adolescent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epositorio.ufsc.br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1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mailto:mariascsilva.10@gmail.com" TargetMode="External"/><Relationship Id="rId1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YoyCIOVa0qtKk2cmiz71a5XUMQ==">CgMxLjAyDmgudjU4bWRianlhYmR5Mg1oLjF3eXhveGxsOXVoOAByITFVWlNZYjNVSk45elNOLUJ1SEFDdXd0WXN1eVg0ZVUxdQ==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3983</Words>
  <Characters>21514</Characters>
  <Application>Microsoft Office Word</Application>
  <DocSecurity>0</DocSecurity>
  <Lines>179</Lines>
  <Paragraphs>50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Gabriela Borja</dc:creator>
  <cp:lastModifiedBy>Thais Pires</cp:lastModifiedBy>
  <cp:revision>2</cp:revision>
  <dcterms:created xsi:type="dcterms:W3CDTF">2025-07-05T00:27:00Z</dcterms:created>
  <dcterms:modified xsi:type="dcterms:W3CDTF">2025-07-05T00:27:00Z</dcterms:modified>
</cp:coreProperties>
</file>