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E352A" w14:textId="77777777" w:rsidR="00606E35" w:rsidRDefault="00606E35" w:rsidP="004F776F">
      <w:pPr>
        <w:spacing w:line="360" w:lineRule="auto"/>
        <w:jc w:val="center"/>
        <w:rPr>
          <w:rFonts w:eastAsia="Times New Roman"/>
          <w:b/>
          <w:bCs/>
          <w:sz w:val="24"/>
          <w:szCs w:val="24"/>
        </w:rPr>
      </w:pPr>
    </w:p>
    <w:p w14:paraId="226B7108" w14:textId="2539317C" w:rsidR="004F776F" w:rsidRPr="009D304B" w:rsidRDefault="00A92F3E" w:rsidP="00A92F3E">
      <w:pPr>
        <w:spacing w:line="240" w:lineRule="auto"/>
        <w:jc w:val="center"/>
        <w:rPr>
          <w:sz w:val="28"/>
          <w:szCs w:val="28"/>
        </w:rPr>
      </w:pPr>
      <w:r w:rsidRPr="00C82D9F">
        <w:rPr>
          <w:rFonts w:eastAsia="Times New Roman"/>
          <w:b/>
          <w:bCs/>
          <w:sz w:val="24"/>
          <w:szCs w:val="24"/>
        </w:rPr>
        <w:t>SUBDIAGNÓSTICO DE MENINAS AUTISTAS</w:t>
      </w:r>
      <w:r w:rsidR="008D295D">
        <w:rPr>
          <w:rFonts w:eastAsia="Times New Roman"/>
          <w:b/>
          <w:bCs/>
          <w:sz w:val="24"/>
          <w:szCs w:val="24"/>
        </w:rPr>
        <w:t xml:space="preserve"> E </w:t>
      </w:r>
      <w:r w:rsidR="008D295D" w:rsidRPr="00C82D9F">
        <w:rPr>
          <w:rFonts w:eastAsia="Times New Roman"/>
          <w:b/>
          <w:bCs/>
          <w:sz w:val="24"/>
          <w:szCs w:val="24"/>
        </w:rPr>
        <w:t>VIOLÊNCIA EPISTÊMICA</w:t>
      </w:r>
      <w:r w:rsidR="005E7207" w:rsidRPr="009D304B">
        <w:rPr>
          <w:rFonts w:eastAsia="Times New Roman"/>
          <w:sz w:val="24"/>
          <w:szCs w:val="24"/>
        </w:rPr>
        <w:t xml:space="preserve">: proposta </w:t>
      </w:r>
      <w:r>
        <w:rPr>
          <w:rFonts w:eastAsia="Times New Roman"/>
          <w:sz w:val="24"/>
          <w:szCs w:val="24"/>
        </w:rPr>
        <w:t xml:space="preserve">de medida </w:t>
      </w:r>
      <w:r w:rsidR="0077070D">
        <w:rPr>
          <w:rFonts w:eastAsia="Times New Roman"/>
          <w:sz w:val="24"/>
          <w:szCs w:val="24"/>
        </w:rPr>
        <w:t>cautelar educacional</w:t>
      </w:r>
      <w:r>
        <w:rPr>
          <w:rFonts w:eastAsia="Times New Roman"/>
          <w:sz w:val="24"/>
          <w:szCs w:val="24"/>
        </w:rPr>
        <w:t xml:space="preserve"> </w:t>
      </w:r>
      <w:r w:rsidR="005E7207" w:rsidRPr="009D304B">
        <w:rPr>
          <w:rFonts w:eastAsia="Times New Roman"/>
          <w:sz w:val="24"/>
          <w:szCs w:val="24"/>
        </w:rPr>
        <w:t>no Maranhão</w:t>
      </w:r>
    </w:p>
    <w:p w14:paraId="0EDBFC3A" w14:textId="77777777" w:rsidR="004F776F" w:rsidRPr="004F0844" w:rsidRDefault="004F776F" w:rsidP="004F776F">
      <w:pPr>
        <w:spacing w:line="240" w:lineRule="auto"/>
        <w:ind w:left="2835"/>
        <w:jc w:val="both"/>
        <w:rPr>
          <w:b/>
        </w:rPr>
      </w:pPr>
    </w:p>
    <w:p w14:paraId="7878B3F7" w14:textId="77777777" w:rsidR="004F0844" w:rsidRPr="004F0844" w:rsidRDefault="004F0844" w:rsidP="007F0487">
      <w:pPr>
        <w:spacing w:line="360" w:lineRule="auto"/>
        <w:jc w:val="right"/>
        <w:rPr>
          <w:sz w:val="24"/>
          <w:szCs w:val="24"/>
        </w:rPr>
      </w:pPr>
      <w:r w:rsidRPr="004F0844">
        <w:rPr>
          <w:sz w:val="24"/>
          <w:szCs w:val="24"/>
        </w:rPr>
        <w:t>Matheus Barros de Carvalho</w:t>
      </w:r>
      <w:r w:rsidRPr="004F0844">
        <w:rPr>
          <w:sz w:val="24"/>
          <w:szCs w:val="24"/>
          <w:vertAlign w:val="superscript"/>
        </w:rPr>
        <w:footnoteReference w:id="1"/>
      </w:r>
    </w:p>
    <w:p w14:paraId="2867F904" w14:textId="77777777" w:rsidR="005C4655" w:rsidRPr="004F0844" w:rsidRDefault="005C4655" w:rsidP="004F776F">
      <w:pPr>
        <w:spacing w:line="240" w:lineRule="auto"/>
        <w:ind w:left="2835"/>
        <w:jc w:val="both"/>
        <w:rPr>
          <w:b/>
        </w:rPr>
      </w:pPr>
    </w:p>
    <w:p w14:paraId="37C8CDEB" w14:textId="77777777" w:rsidR="004F776F" w:rsidRDefault="004F776F" w:rsidP="004F776F">
      <w:pPr>
        <w:spacing w:line="240" w:lineRule="auto"/>
        <w:ind w:left="2835"/>
        <w:jc w:val="both"/>
        <w:rPr>
          <w:b/>
          <w:sz w:val="20"/>
          <w:szCs w:val="20"/>
        </w:rPr>
      </w:pPr>
      <w:r>
        <w:rPr>
          <w:b/>
          <w:sz w:val="20"/>
          <w:szCs w:val="20"/>
        </w:rPr>
        <w:t>Resumo</w:t>
      </w:r>
    </w:p>
    <w:p w14:paraId="2D908471" w14:textId="14677A79" w:rsidR="004F776F" w:rsidRDefault="007073D6" w:rsidP="004F776F">
      <w:pPr>
        <w:spacing w:line="240" w:lineRule="auto"/>
        <w:ind w:left="2835"/>
        <w:jc w:val="both"/>
        <w:rPr>
          <w:sz w:val="20"/>
          <w:szCs w:val="20"/>
        </w:rPr>
      </w:pPr>
      <w:r w:rsidRPr="007073D6">
        <w:rPr>
          <w:sz w:val="20"/>
          <w:szCs w:val="20"/>
        </w:rPr>
        <w:t xml:space="preserve">O subdiagnóstico de meninas autistas </w:t>
      </w:r>
      <w:r w:rsidR="00AE5089">
        <w:rPr>
          <w:sz w:val="20"/>
          <w:szCs w:val="20"/>
        </w:rPr>
        <w:t>relaciona</w:t>
      </w:r>
      <w:r w:rsidRPr="007073D6">
        <w:rPr>
          <w:sz w:val="20"/>
          <w:szCs w:val="20"/>
        </w:rPr>
        <w:t xml:space="preserve"> critérios clínicos androcêntricos e invisibilidade das manifestações femininas do transtorno. Essas barreiras estruturais geram atrasos no acesso à educação, saúde e proteção social. Este artigo propõe a criação da Medida Cautelar Administrativa de Inclusão Educacional, instrumento jurídico que assegura, no estado do Maranhão, a designação provisória de mediadores escolares durante a fase de suspeita diagnóstica do Transtorno do Espectro Autista (TEA). Com abordagem qualitativa, a pesquisa articula revisão bibliográfica, análise normativa e estudo de caso estadual. A proposta se ancora em fundamentos constitucionais, na jurisprudência do TJMA e em experiências normativas locais. Para sua viabilidade, sugere-se a criação do Fundo Estadual de Apoio à Pessoa Autista (FEAPA), sem aumento de carga tributária. Conclui-se que o apoio antecipado promove inclusão escolar, reduz a judicialização e assegura proteção integral às meninas </w:t>
      </w:r>
      <w:proofErr w:type="spellStart"/>
      <w:r w:rsidRPr="007073D6">
        <w:rPr>
          <w:sz w:val="20"/>
          <w:szCs w:val="20"/>
        </w:rPr>
        <w:t>neurodivergentes</w:t>
      </w:r>
      <w:proofErr w:type="spellEnd"/>
      <w:r w:rsidR="00E63ED9">
        <w:rPr>
          <w:sz w:val="20"/>
          <w:szCs w:val="20"/>
        </w:rPr>
        <w:t>.</w:t>
      </w:r>
    </w:p>
    <w:p w14:paraId="1C35B540" w14:textId="58161442"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5E7207" w:rsidRPr="009E5108">
        <w:rPr>
          <w:sz w:val="20"/>
          <w:szCs w:val="20"/>
        </w:rPr>
        <w:t>Autismo. Gênero. Subdiagnóstico</w:t>
      </w:r>
      <w:r w:rsidRPr="0027594F">
        <w:rPr>
          <w:sz w:val="20"/>
          <w:szCs w:val="20"/>
          <w:lang w:val="en-US"/>
        </w:rPr>
        <w:t>.</w:t>
      </w:r>
    </w:p>
    <w:p w14:paraId="537715B1" w14:textId="77777777" w:rsidR="004F776F" w:rsidRPr="00324ED8" w:rsidRDefault="004F776F" w:rsidP="004F776F">
      <w:pPr>
        <w:spacing w:line="240" w:lineRule="auto"/>
        <w:ind w:left="2835"/>
        <w:jc w:val="both"/>
        <w:rPr>
          <w:sz w:val="20"/>
          <w:szCs w:val="20"/>
          <w:lang w:val="en-US"/>
        </w:rPr>
      </w:pPr>
    </w:p>
    <w:p w14:paraId="1A87FF0B"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1652BB4B" w14:textId="68536C6A" w:rsidR="005E7207" w:rsidRPr="009E5108" w:rsidRDefault="00BA2390" w:rsidP="005E7207">
      <w:pPr>
        <w:spacing w:line="240" w:lineRule="auto"/>
        <w:ind w:left="2835"/>
        <w:jc w:val="both"/>
        <w:rPr>
          <w:sz w:val="20"/>
          <w:szCs w:val="20"/>
        </w:rPr>
      </w:pPr>
      <w:r w:rsidRPr="00BA2390">
        <w:rPr>
          <w:sz w:val="20"/>
          <w:szCs w:val="20"/>
        </w:rPr>
        <w:t xml:space="preserve">The </w:t>
      </w:r>
      <w:proofErr w:type="spellStart"/>
      <w:r w:rsidRPr="00BA2390">
        <w:rPr>
          <w:sz w:val="20"/>
          <w:szCs w:val="20"/>
        </w:rPr>
        <w:t>underdiagnosis</w:t>
      </w:r>
      <w:proofErr w:type="spellEnd"/>
      <w:r w:rsidRPr="00BA2390">
        <w:rPr>
          <w:sz w:val="20"/>
          <w:szCs w:val="20"/>
        </w:rPr>
        <w:t xml:space="preserve"> </w:t>
      </w:r>
      <w:proofErr w:type="spellStart"/>
      <w:r w:rsidRPr="00BA2390">
        <w:rPr>
          <w:sz w:val="20"/>
          <w:szCs w:val="20"/>
        </w:rPr>
        <w:t>of</w:t>
      </w:r>
      <w:proofErr w:type="spellEnd"/>
      <w:r w:rsidRPr="00BA2390">
        <w:rPr>
          <w:sz w:val="20"/>
          <w:szCs w:val="20"/>
        </w:rPr>
        <w:t xml:space="preserve"> </w:t>
      </w:r>
      <w:proofErr w:type="spellStart"/>
      <w:r w:rsidRPr="00BA2390">
        <w:rPr>
          <w:sz w:val="20"/>
          <w:szCs w:val="20"/>
        </w:rPr>
        <w:t>autistic</w:t>
      </w:r>
      <w:proofErr w:type="spellEnd"/>
      <w:r w:rsidRPr="00BA2390">
        <w:rPr>
          <w:sz w:val="20"/>
          <w:szCs w:val="20"/>
        </w:rPr>
        <w:t xml:space="preserve"> girls relates </w:t>
      </w:r>
      <w:proofErr w:type="spellStart"/>
      <w:r w:rsidRPr="00BA2390">
        <w:rPr>
          <w:sz w:val="20"/>
          <w:szCs w:val="20"/>
        </w:rPr>
        <w:t>to</w:t>
      </w:r>
      <w:proofErr w:type="spellEnd"/>
      <w:r w:rsidRPr="00BA2390">
        <w:rPr>
          <w:sz w:val="20"/>
          <w:szCs w:val="20"/>
        </w:rPr>
        <w:t xml:space="preserve"> </w:t>
      </w:r>
      <w:proofErr w:type="spellStart"/>
      <w:r w:rsidRPr="00BA2390">
        <w:rPr>
          <w:sz w:val="20"/>
          <w:szCs w:val="20"/>
        </w:rPr>
        <w:t>androcentric</w:t>
      </w:r>
      <w:proofErr w:type="spellEnd"/>
      <w:r w:rsidRPr="00BA2390">
        <w:rPr>
          <w:sz w:val="20"/>
          <w:szCs w:val="20"/>
        </w:rPr>
        <w:t xml:space="preserve"> </w:t>
      </w:r>
      <w:proofErr w:type="spellStart"/>
      <w:r w:rsidRPr="00BA2390">
        <w:rPr>
          <w:sz w:val="20"/>
          <w:szCs w:val="20"/>
        </w:rPr>
        <w:t>clinical</w:t>
      </w:r>
      <w:proofErr w:type="spellEnd"/>
      <w:r w:rsidRPr="00BA2390">
        <w:rPr>
          <w:sz w:val="20"/>
          <w:szCs w:val="20"/>
        </w:rPr>
        <w:t xml:space="preserve"> </w:t>
      </w:r>
      <w:proofErr w:type="spellStart"/>
      <w:r w:rsidRPr="00BA2390">
        <w:rPr>
          <w:sz w:val="20"/>
          <w:szCs w:val="20"/>
        </w:rPr>
        <w:t>criteria</w:t>
      </w:r>
      <w:proofErr w:type="spellEnd"/>
      <w:r w:rsidRPr="00BA2390">
        <w:rPr>
          <w:sz w:val="20"/>
          <w:szCs w:val="20"/>
        </w:rPr>
        <w:t xml:space="preserve"> </w:t>
      </w:r>
      <w:proofErr w:type="spellStart"/>
      <w:r w:rsidRPr="00BA2390">
        <w:rPr>
          <w:sz w:val="20"/>
          <w:szCs w:val="20"/>
        </w:rPr>
        <w:t>and</w:t>
      </w:r>
      <w:proofErr w:type="spellEnd"/>
      <w:r w:rsidRPr="00BA2390">
        <w:rPr>
          <w:sz w:val="20"/>
          <w:szCs w:val="20"/>
        </w:rPr>
        <w:t xml:space="preserve"> </w:t>
      </w:r>
      <w:proofErr w:type="spellStart"/>
      <w:r w:rsidRPr="00BA2390">
        <w:rPr>
          <w:sz w:val="20"/>
          <w:szCs w:val="20"/>
        </w:rPr>
        <w:t>the</w:t>
      </w:r>
      <w:proofErr w:type="spellEnd"/>
      <w:r w:rsidRPr="00BA2390">
        <w:rPr>
          <w:sz w:val="20"/>
          <w:szCs w:val="20"/>
        </w:rPr>
        <w:t xml:space="preserve"> </w:t>
      </w:r>
      <w:proofErr w:type="spellStart"/>
      <w:r w:rsidRPr="00BA2390">
        <w:rPr>
          <w:sz w:val="20"/>
          <w:szCs w:val="20"/>
        </w:rPr>
        <w:t>invisibility</w:t>
      </w:r>
      <w:proofErr w:type="spellEnd"/>
      <w:r w:rsidRPr="00BA2390">
        <w:rPr>
          <w:sz w:val="20"/>
          <w:szCs w:val="20"/>
        </w:rPr>
        <w:t xml:space="preserve"> </w:t>
      </w:r>
      <w:proofErr w:type="spellStart"/>
      <w:r w:rsidRPr="00BA2390">
        <w:rPr>
          <w:sz w:val="20"/>
          <w:szCs w:val="20"/>
        </w:rPr>
        <w:t>of</w:t>
      </w:r>
      <w:proofErr w:type="spellEnd"/>
      <w:r w:rsidRPr="00BA2390">
        <w:rPr>
          <w:sz w:val="20"/>
          <w:szCs w:val="20"/>
        </w:rPr>
        <w:t xml:space="preserve"> </w:t>
      </w:r>
      <w:proofErr w:type="spellStart"/>
      <w:r w:rsidRPr="00BA2390">
        <w:rPr>
          <w:sz w:val="20"/>
          <w:szCs w:val="20"/>
        </w:rPr>
        <w:t>the</w:t>
      </w:r>
      <w:proofErr w:type="spellEnd"/>
      <w:r w:rsidRPr="00BA2390">
        <w:rPr>
          <w:sz w:val="20"/>
          <w:szCs w:val="20"/>
        </w:rPr>
        <w:t xml:space="preserve"> </w:t>
      </w:r>
      <w:proofErr w:type="spellStart"/>
      <w:r w:rsidRPr="00BA2390">
        <w:rPr>
          <w:sz w:val="20"/>
          <w:szCs w:val="20"/>
        </w:rPr>
        <w:t>feminine</w:t>
      </w:r>
      <w:proofErr w:type="spellEnd"/>
      <w:r w:rsidRPr="00BA2390">
        <w:rPr>
          <w:sz w:val="20"/>
          <w:szCs w:val="20"/>
        </w:rPr>
        <w:t xml:space="preserve"> </w:t>
      </w:r>
      <w:proofErr w:type="spellStart"/>
      <w:r w:rsidRPr="00BA2390">
        <w:rPr>
          <w:sz w:val="20"/>
          <w:szCs w:val="20"/>
        </w:rPr>
        <w:t>manifestations</w:t>
      </w:r>
      <w:proofErr w:type="spellEnd"/>
      <w:r w:rsidRPr="00BA2390">
        <w:rPr>
          <w:sz w:val="20"/>
          <w:szCs w:val="20"/>
        </w:rPr>
        <w:t xml:space="preserve"> </w:t>
      </w:r>
      <w:proofErr w:type="spellStart"/>
      <w:r w:rsidRPr="00BA2390">
        <w:rPr>
          <w:sz w:val="20"/>
          <w:szCs w:val="20"/>
        </w:rPr>
        <w:t>of</w:t>
      </w:r>
      <w:proofErr w:type="spellEnd"/>
      <w:r w:rsidRPr="00BA2390">
        <w:rPr>
          <w:sz w:val="20"/>
          <w:szCs w:val="20"/>
        </w:rPr>
        <w:t xml:space="preserve"> </w:t>
      </w:r>
      <w:proofErr w:type="spellStart"/>
      <w:r w:rsidRPr="00BA2390">
        <w:rPr>
          <w:sz w:val="20"/>
          <w:szCs w:val="20"/>
        </w:rPr>
        <w:t>the</w:t>
      </w:r>
      <w:proofErr w:type="spellEnd"/>
      <w:r w:rsidRPr="00BA2390">
        <w:rPr>
          <w:sz w:val="20"/>
          <w:szCs w:val="20"/>
        </w:rPr>
        <w:t xml:space="preserve"> </w:t>
      </w:r>
      <w:proofErr w:type="spellStart"/>
      <w:r w:rsidRPr="00BA2390">
        <w:rPr>
          <w:sz w:val="20"/>
          <w:szCs w:val="20"/>
        </w:rPr>
        <w:t>disorder</w:t>
      </w:r>
      <w:proofErr w:type="spellEnd"/>
      <w:r w:rsidR="007073D6" w:rsidRPr="007073D6">
        <w:rPr>
          <w:sz w:val="20"/>
          <w:szCs w:val="20"/>
        </w:rPr>
        <w:t xml:space="preserve">. </w:t>
      </w:r>
      <w:proofErr w:type="spellStart"/>
      <w:r w:rsidR="007073D6" w:rsidRPr="007073D6">
        <w:rPr>
          <w:sz w:val="20"/>
          <w:szCs w:val="20"/>
        </w:rPr>
        <w:t>These</w:t>
      </w:r>
      <w:proofErr w:type="spellEnd"/>
      <w:r w:rsidR="007073D6" w:rsidRPr="007073D6">
        <w:rPr>
          <w:sz w:val="20"/>
          <w:szCs w:val="20"/>
        </w:rPr>
        <w:t xml:space="preserve"> </w:t>
      </w:r>
      <w:proofErr w:type="spellStart"/>
      <w:r w:rsidR="007073D6" w:rsidRPr="007073D6">
        <w:rPr>
          <w:sz w:val="20"/>
          <w:szCs w:val="20"/>
        </w:rPr>
        <w:t>structural</w:t>
      </w:r>
      <w:proofErr w:type="spellEnd"/>
      <w:r w:rsidR="007073D6" w:rsidRPr="007073D6">
        <w:rPr>
          <w:sz w:val="20"/>
          <w:szCs w:val="20"/>
        </w:rPr>
        <w:t xml:space="preserve"> </w:t>
      </w:r>
      <w:proofErr w:type="spellStart"/>
      <w:r w:rsidR="007073D6" w:rsidRPr="007073D6">
        <w:rPr>
          <w:sz w:val="20"/>
          <w:szCs w:val="20"/>
        </w:rPr>
        <w:t>barriers</w:t>
      </w:r>
      <w:proofErr w:type="spellEnd"/>
      <w:r w:rsidR="007073D6" w:rsidRPr="007073D6">
        <w:rPr>
          <w:sz w:val="20"/>
          <w:szCs w:val="20"/>
        </w:rPr>
        <w:t xml:space="preserve"> delay </w:t>
      </w:r>
      <w:proofErr w:type="spellStart"/>
      <w:r w:rsidR="007073D6" w:rsidRPr="007073D6">
        <w:rPr>
          <w:sz w:val="20"/>
          <w:szCs w:val="20"/>
        </w:rPr>
        <w:t>access</w:t>
      </w:r>
      <w:proofErr w:type="spellEnd"/>
      <w:r w:rsidR="007073D6" w:rsidRPr="007073D6">
        <w:rPr>
          <w:sz w:val="20"/>
          <w:szCs w:val="20"/>
        </w:rPr>
        <w:t xml:space="preserve"> </w:t>
      </w:r>
      <w:proofErr w:type="spellStart"/>
      <w:r w:rsidR="007073D6" w:rsidRPr="007073D6">
        <w:rPr>
          <w:sz w:val="20"/>
          <w:szCs w:val="20"/>
        </w:rPr>
        <w:t>to</w:t>
      </w:r>
      <w:proofErr w:type="spellEnd"/>
      <w:r w:rsidR="007073D6" w:rsidRPr="007073D6">
        <w:rPr>
          <w:sz w:val="20"/>
          <w:szCs w:val="20"/>
        </w:rPr>
        <w:t xml:space="preserve"> </w:t>
      </w:r>
      <w:proofErr w:type="spellStart"/>
      <w:r w:rsidR="007073D6" w:rsidRPr="007073D6">
        <w:rPr>
          <w:sz w:val="20"/>
          <w:szCs w:val="20"/>
        </w:rPr>
        <w:t>education</w:t>
      </w:r>
      <w:proofErr w:type="spellEnd"/>
      <w:r w:rsidR="007073D6" w:rsidRPr="007073D6">
        <w:rPr>
          <w:sz w:val="20"/>
          <w:szCs w:val="20"/>
        </w:rPr>
        <w:t xml:space="preserve">, healthcare, </w:t>
      </w:r>
      <w:proofErr w:type="spellStart"/>
      <w:r w:rsidR="007073D6" w:rsidRPr="007073D6">
        <w:rPr>
          <w:sz w:val="20"/>
          <w:szCs w:val="20"/>
        </w:rPr>
        <w:t>and</w:t>
      </w:r>
      <w:proofErr w:type="spellEnd"/>
      <w:r w:rsidR="007073D6" w:rsidRPr="007073D6">
        <w:rPr>
          <w:sz w:val="20"/>
          <w:szCs w:val="20"/>
        </w:rPr>
        <w:t xml:space="preserve"> social </w:t>
      </w:r>
      <w:proofErr w:type="spellStart"/>
      <w:r w:rsidR="007073D6" w:rsidRPr="007073D6">
        <w:rPr>
          <w:sz w:val="20"/>
          <w:szCs w:val="20"/>
        </w:rPr>
        <w:t>protection</w:t>
      </w:r>
      <w:proofErr w:type="spellEnd"/>
      <w:r w:rsidR="007073D6" w:rsidRPr="007073D6">
        <w:rPr>
          <w:sz w:val="20"/>
          <w:szCs w:val="20"/>
        </w:rPr>
        <w:t xml:space="preserve">. </w:t>
      </w:r>
      <w:proofErr w:type="spellStart"/>
      <w:r w:rsidR="007073D6" w:rsidRPr="007073D6">
        <w:rPr>
          <w:sz w:val="20"/>
          <w:szCs w:val="20"/>
        </w:rPr>
        <w:t>This</w:t>
      </w:r>
      <w:proofErr w:type="spellEnd"/>
      <w:r w:rsidR="007073D6" w:rsidRPr="007073D6">
        <w:rPr>
          <w:sz w:val="20"/>
          <w:szCs w:val="20"/>
        </w:rPr>
        <w:t xml:space="preserve"> </w:t>
      </w:r>
      <w:proofErr w:type="spellStart"/>
      <w:r w:rsidR="007073D6" w:rsidRPr="007073D6">
        <w:rPr>
          <w:sz w:val="20"/>
          <w:szCs w:val="20"/>
        </w:rPr>
        <w:t>paper</w:t>
      </w:r>
      <w:proofErr w:type="spellEnd"/>
      <w:r w:rsidR="007073D6" w:rsidRPr="007073D6">
        <w:rPr>
          <w:sz w:val="20"/>
          <w:szCs w:val="20"/>
        </w:rPr>
        <w:t xml:space="preserve"> </w:t>
      </w:r>
      <w:proofErr w:type="spellStart"/>
      <w:r w:rsidR="007073D6" w:rsidRPr="007073D6">
        <w:rPr>
          <w:sz w:val="20"/>
          <w:szCs w:val="20"/>
        </w:rPr>
        <w:t>proposes</w:t>
      </w:r>
      <w:proofErr w:type="spellEnd"/>
      <w:r w:rsidR="007073D6" w:rsidRPr="007073D6">
        <w:rPr>
          <w:sz w:val="20"/>
          <w:szCs w:val="20"/>
        </w:rPr>
        <w:t xml:space="preserve"> </w:t>
      </w:r>
      <w:proofErr w:type="spellStart"/>
      <w:r w:rsidR="007073D6" w:rsidRPr="007073D6">
        <w:rPr>
          <w:sz w:val="20"/>
          <w:szCs w:val="20"/>
        </w:rPr>
        <w:t>the</w:t>
      </w:r>
      <w:proofErr w:type="spellEnd"/>
      <w:r w:rsidR="007073D6" w:rsidRPr="007073D6">
        <w:rPr>
          <w:sz w:val="20"/>
          <w:szCs w:val="20"/>
        </w:rPr>
        <w:t xml:space="preserve"> </w:t>
      </w:r>
      <w:proofErr w:type="spellStart"/>
      <w:r w:rsidR="007073D6" w:rsidRPr="007073D6">
        <w:rPr>
          <w:sz w:val="20"/>
          <w:szCs w:val="20"/>
        </w:rPr>
        <w:t>creation</w:t>
      </w:r>
      <w:proofErr w:type="spellEnd"/>
      <w:r w:rsidR="007073D6" w:rsidRPr="007073D6">
        <w:rPr>
          <w:sz w:val="20"/>
          <w:szCs w:val="20"/>
        </w:rPr>
        <w:t xml:space="preserve"> </w:t>
      </w:r>
      <w:proofErr w:type="spellStart"/>
      <w:r w:rsidR="007073D6" w:rsidRPr="007073D6">
        <w:rPr>
          <w:sz w:val="20"/>
          <w:szCs w:val="20"/>
        </w:rPr>
        <w:t>of</w:t>
      </w:r>
      <w:proofErr w:type="spellEnd"/>
      <w:r w:rsidR="007073D6" w:rsidRPr="007073D6">
        <w:rPr>
          <w:sz w:val="20"/>
          <w:szCs w:val="20"/>
        </w:rPr>
        <w:t xml:space="preserve"> </w:t>
      </w:r>
      <w:proofErr w:type="spellStart"/>
      <w:r w:rsidR="007073D6" w:rsidRPr="007073D6">
        <w:rPr>
          <w:sz w:val="20"/>
          <w:szCs w:val="20"/>
        </w:rPr>
        <w:t>the</w:t>
      </w:r>
      <w:proofErr w:type="spellEnd"/>
      <w:r w:rsidR="007073D6" w:rsidRPr="007073D6">
        <w:rPr>
          <w:sz w:val="20"/>
          <w:szCs w:val="20"/>
        </w:rPr>
        <w:t xml:space="preserve"> </w:t>
      </w:r>
      <w:proofErr w:type="spellStart"/>
      <w:r w:rsidR="007073D6" w:rsidRPr="007073D6">
        <w:rPr>
          <w:sz w:val="20"/>
          <w:szCs w:val="20"/>
        </w:rPr>
        <w:t>Administrative</w:t>
      </w:r>
      <w:proofErr w:type="spellEnd"/>
      <w:r w:rsidR="007073D6" w:rsidRPr="007073D6">
        <w:rPr>
          <w:sz w:val="20"/>
          <w:szCs w:val="20"/>
        </w:rPr>
        <w:t xml:space="preserve"> </w:t>
      </w:r>
      <w:proofErr w:type="spellStart"/>
      <w:r w:rsidR="007073D6" w:rsidRPr="007073D6">
        <w:rPr>
          <w:sz w:val="20"/>
          <w:szCs w:val="20"/>
        </w:rPr>
        <w:t>Precautionary</w:t>
      </w:r>
      <w:proofErr w:type="spellEnd"/>
      <w:r w:rsidR="007073D6" w:rsidRPr="007073D6">
        <w:rPr>
          <w:sz w:val="20"/>
          <w:szCs w:val="20"/>
        </w:rPr>
        <w:t xml:space="preserve"> </w:t>
      </w:r>
      <w:proofErr w:type="spellStart"/>
      <w:r w:rsidR="007073D6" w:rsidRPr="007073D6">
        <w:rPr>
          <w:sz w:val="20"/>
          <w:szCs w:val="20"/>
        </w:rPr>
        <w:t>Measure</w:t>
      </w:r>
      <w:proofErr w:type="spellEnd"/>
      <w:r w:rsidR="007073D6" w:rsidRPr="007073D6">
        <w:rPr>
          <w:sz w:val="20"/>
          <w:szCs w:val="20"/>
        </w:rPr>
        <w:t xml:space="preserve"> for </w:t>
      </w:r>
      <w:proofErr w:type="spellStart"/>
      <w:r w:rsidR="007073D6" w:rsidRPr="007073D6">
        <w:rPr>
          <w:sz w:val="20"/>
          <w:szCs w:val="20"/>
        </w:rPr>
        <w:t>Educational</w:t>
      </w:r>
      <w:proofErr w:type="spellEnd"/>
      <w:r w:rsidR="007073D6" w:rsidRPr="007073D6">
        <w:rPr>
          <w:sz w:val="20"/>
          <w:szCs w:val="20"/>
        </w:rPr>
        <w:t xml:space="preserve"> </w:t>
      </w:r>
      <w:proofErr w:type="spellStart"/>
      <w:r w:rsidR="007073D6" w:rsidRPr="007073D6">
        <w:rPr>
          <w:sz w:val="20"/>
          <w:szCs w:val="20"/>
        </w:rPr>
        <w:t>Inclusion</w:t>
      </w:r>
      <w:proofErr w:type="spellEnd"/>
      <w:r w:rsidR="007073D6" w:rsidRPr="007073D6">
        <w:rPr>
          <w:sz w:val="20"/>
          <w:szCs w:val="20"/>
        </w:rPr>
        <w:t xml:space="preserve">, a legal </w:t>
      </w:r>
      <w:proofErr w:type="spellStart"/>
      <w:r w:rsidR="007073D6" w:rsidRPr="007073D6">
        <w:rPr>
          <w:sz w:val="20"/>
          <w:szCs w:val="20"/>
        </w:rPr>
        <w:t>mechanism</w:t>
      </w:r>
      <w:proofErr w:type="spellEnd"/>
      <w:r w:rsidR="007073D6" w:rsidRPr="007073D6">
        <w:rPr>
          <w:sz w:val="20"/>
          <w:szCs w:val="20"/>
        </w:rPr>
        <w:t xml:space="preserve"> </w:t>
      </w:r>
      <w:proofErr w:type="spellStart"/>
      <w:r w:rsidR="007073D6" w:rsidRPr="007073D6">
        <w:rPr>
          <w:sz w:val="20"/>
          <w:szCs w:val="20"/>
        </w:rPr>
        <w:t>that</w:t>
      </w:r>
      <w:proofErr w:type="spellEnd"/>
      <w:r w:rsidR="007073D6" w:rsidRPr="007073D6">
        <w:rPr>
          <w:sz w:val="20"/>
          <w:szCs w:val="20"/>
        </w:rPr>
        <w:t xml:space="preserve"> </w:t>
      </w:r>
      <w:proofErr w:type="spellStart"/>
      <w:r w:rsidR="007073D6" w:rsidRPr="007073D6">
        <w:rPr>
          <w:sz w:val="20"/>
          <w:szCs w:val="20"/>
        </w:rPr>
        <w:t>enables</w:t>
      </w:r>
      <w:proofErr w:type="spellEnd"/>
      <w:r w:rsidR="007073D6" w:rsidRPr="007073D6">
        <w:rPr>
          <w:sz w:val="20"/>
          <w:szCs w:val="20"/>
        </w:rPr>
        <w:t xml:space="preserve"> </w:t>
      </w:r>
      <w:proofErr w:type="spellStart"/>
      <w:r w:rsidR="007073D6" w:rsidRPr="007073D6">
        <w:rPr>
          <w:sz w:val="20"/>
          <w:szCs w:val="20"/>
        </w:rPr>
        <w:t>public</w:t>
      </w:r>
      <w:proofErr w:type="spellEnd"/>
      <w:r w:rsidR="007073D6" w:rsidRPr="007073D6">
        <w:rPr>
          <w:sz w:val="20"/>
          <w:szCs w:val="20"/>
        </w:rPr>
        <w:t xml:space="preserve"> </w:t>
      </w:r>
      <w:proofErr w:type="spellStart"/>
      <w:r w:rsidR="007073D6" w:rsidRPr="007073D6">
        <w:rPr>
          <w:sz w:val="20"/>
          <w:szCs w:val="20"/>
        </w:rPr>
        <w:t>schools</w:t>
      </w:r>
      <w:proofErr w:type="spellEnd"/>
      <w:r w:rsidR="007073D6" w:rsidRPr="007073D6">
        <w:rPr>
          <w:sz w:val="20"/>
          <w:szCs w:val="20"/>
        </w:rPr>
        <w:t xml:space="preserve"> in </w:t>
      </w:r>
      <w:proofErr w:type="spellStart"/>
      <w:r w:rsidR="007073D6" w:rsidRPr="007073D6">
        <w:rPr>
          <w:sz w:val="20"/>
          <w:szCs w:val="20"/>
        </w:rPr>
        <w:t>the</w:t>
      </w:r>
      <w:proofErr w:type="spellEnd"/>
      <w:r w:rsidR="007073D6" w:rsidRPr="007073D6">
        <w:rPr>
          <w:sz w:val="20"/>
          <w:szCs w:val="20"/>
        </w:rPr>
        <w:t xml:space="preserve"> </w:t>
      </w:r>
      <w:proofErr w:type="spellStart"/>
      <w:r w:rsidR="007073D6" w:rsidRPr="007073D6">
        <w:rPr>
          <w:sz w:val="20"/>
          <w:szCs w:val="20"/>
        </w:rPr>
        <w:t>state</w:t>
      </w:r>
      <w:proofErr w:type="spellEnd"/>
      <w:r w:rsidR="007073D6" w:rsidRPr="007073D6">
        <w:rPr>
          <w:sz w:val="20"/>
          <w:szCs w:val="20"/>
        </w:rPr>
        <w:t xml:space="preserve"> </w:t>
      </w:r>
      <w:proofErr w:type="spellStart"/>
      <w:r w:rsidR="007073D6" w:rsidRPr="007073D6">
        <w:rPr>
          <w:sz w:val="20"/>
          <w:szCs w:val="20"/>
        </w:rPr>
        <w:t>of</w:t>
      </w:r>
      <w:proofErr w:type="spellEnd"/>
      <w:r w:rsidR="007073D6" w:rsidRPr="007073D6">
        <w:rPr>
          <w:sz w:val="20"/>
          <w:szCs w:val="20"/>
        </w:rPr>
        <w:t xml:space="preserve"> Maranhão, </w:t>
      </w:r>
      <w:proofErr w:type="spellStart"/>
      <w:r w:rsidR="007073D6" w:rsidRPr="007073D6">
        <w:rPr>
          <w:sz w:val="20"/>
          <w:szCs w:val="20"/>
        </w:rPr>
        <w:t>Brazil</w:t>
      </w:r>
      <w:proofErr w:type="spellEnd"/>
      <w:r w:rsidR="007073D6" w:rsidRPr="007073D6">
        <w:rPr>
          <w:sz w:val="20"/>
          <w:szCs w:val="20"/>
        </w:rPr>
        <w:t xml:space="preserve">, </w:t>
      </w:r>
      <w:proofErr w:type="spellStart"/>
      <w:r w:rsidR="007073D6" w:rsidRPr="007073D6">
        <w:rPr>
          <w:sz w:val="20"/>
          <w:szCs w:val="20"/>
        </w:rPr>
        <w:t>to</w:t>
      </w:r>
      <w:proofErr w:type="spellEnd"/>
      <w:r w:rsidR="007073D6" w:rsidRPr="007073D6">
        <w:rPr>
          <w:sz w:val="20"/>
          <w:szCs w:val="20"/>
        </w:rPr>
        <w:t xml:space="preserve"> </w:t>
      </w:r>
      <w:proofErr w:type="spellStart"/>
      <w:r w:rsidR="007073D6" w:rsidRPr="007073D6">
        <w:rPr>
          <w:sz w:val="20"/>
          <w:szCs w:val="20"/>
        </w:rPr>
        <w:t>provisionally</w:t>
      </w:r>
      <w:proofErr w:type="spellEnd"/>
      <w:r w:rsidR="007073D6" w:rsidRPr="007073D6">
        <w:rPr>
          <w:sz w:val="20"/>
          <w:szCs w:val="20"/>
        </w:rPr>
        <w:t xml:space="preserve"> </w:t>
      </w:r>
      <w:proofErr w:type="spellStart"/>
      <w:r w:rsidR="007073D6" w:rsidRPr="007073D6">
        <w:rPr>
          <w:sz w:val="20"/>
          <w:szCs w:val="20"/>
        </w:rPr>
        <w:t>appoint</w:t>
      </w:r>
      <w:proofErr w:type="spellEnd"/>
      <w:r w:rsidR="007073D6" w:rsidRPr="007073D6">
        <w:rPr>
          <w:sz w:val="20"/>
          <w:szCs w:val="20"/>
        </w:rPr>
        <w:t xml:space="preserve"> </w:t>
      </w:r>
      <w:proofErr w:type="spellStart"/>
      <w:r w:rsidR="007073D6" w:rsidRPr="007073D6">
        <w:rPr>
          <w:sz w:val="20"/>
          <w:szCs w:val="20"/>
        </w:rPr>
        <w:t>educational</w:t>
      </w:r>
      <w:proofErr w:type="spellEnd"/>
      <w:r w:rsidR="007073D6" w:rsidRPr="007073D6">
        <w:rPr>
          <w:sz w:val="20"/>
          <w:szCs w:val="20"/>
        </w:rPr>
        <w:t xml:space="preserve"> </w:t>
      </w:r>
      <w:proofErr w:type="spellStart"/>
      <w:r w:rsidR="007073D6" w:rsidRPr="007073D6">
        <w:rPr>
          <w:sz w:val="20"/>
          <w:szCs w:val="20"/>
        </w:rPr>
        <w:t>mediators</w:t>
      </w:r>
      <w:proofErr w:type="spellEnd"/>
      <w:r w:rsidR="007073D6" w:rsidRPr="007073D6">
        <w:rPr>
          <w:sz w:val="20"/>
          <w:szCs w:val="20"/>
        </w:rPr>
        <w:t xml:space="preserve"> </w:t>
      </w:r>
      <w:proofErr w:type="spellStart"/>
      <w:r w:rsidR="007073D6" w:rsidRPr="007073D6">
        <w:rPr>
          <w:sz w:val="20"/>
          <w:szCs w:val="20"/>
        </w:rPr>
        <w:t>during</w:t>
      </w:r>
      <w:proofErr w:type="spellEnd"/>
      <w:r w:rsidR="007073D6" w:rsidRPr="007073D6">
        <w:rPr>
          <w:sz w:val="20"/>
          <w:szCs w:val="20"/>
        </w:rPr>
        <w:t xml:space="preserve"> </w:t>
      </w:r>
      <w:proofErr w:type="spellStart"/>
      <w:r w:rsidR="007073D6" w:rsidRPr="007073D6">
        <w:rPr>
          <w:sz w:val="20"/>
          <w:szCs w:val="20"/>
        </w:rPr>
        <w:t>the</w:t>
      </w:r>
      <w:proofErr w:type="spellEnd"/>
      <w:r w:rsidR="007073D6" w:rsidRPr="007073D6">
        <w:rPr>
          <w:sz w:val="20"/>
          <w:szCs w:val="20"/>
        </w:rPr>
        <w:t xml:space="preserve"> </w:t>
      </w:r>
      <w:proofErr w:type="spellStart"/>
      <w:r w:rsidR="007073D6" w:rsidRPr="007073D6">
        <w:rPr>
          <w:sz w:val="20"/>
          <w:szCs w:val="20"/>
        </w:rPr>
        <w:t>diagnostic</w:t>
      </w:r>
      <w:proofErr w:type="spellEnd"/>
      <w:r w:rsidR="007073D6" w:rsidRPr="007073D6">
        <w:rPr>
          <w:sz w:val="20"/>
          <w:szCs w:val="20"/>
        </w:rPr>
        <w:t xml:space="preserve"> </w:t>
      </w:r>
      <w:proofErr w:type="spellStart"/>
      <w:r w:rsidR="007073D6" w:rsidRPr="007073D6">
        <w:rPr>
          <w:sz w:val="20"/>
          <w:szCs w:val="20"/>
        </w:rPr>
        <w:t>suspicion</w:t>
      </w:r>
      <w:proofErr w:type="spellEnd"/>
      <w:r w:rsidR="007073D6" w:rsidRPr="007073D6">
        <w:rPr>
          <w:sz w:val="20"/>
          <w:szCs w:val="20"/>
        </w:rPr>
        <w:t xml:space="preserve"> </w:t>
      </w:r>
      <w:proofErr w:type="spellStart"/>
      <w:r w:rsidR="007073D6" w:rsidRPr="007073D6">
        <w:rPr>
          <w:sz w:val="20"/>
          <w:szCs w:val="20"/>
        </w:rPr>
        <w:t>phase</w:t>
      </w:r>
      <w:proofErr w:type="spellEnd"/>
      <w:r w:rsidR="007073D6" w:rsidRPr="007073D6">
        <w:rPr>
          <w:sz w:val="20"/>
          <w:szCs w:val="20"/>
        </w:rPr>
        <w:t xml:space="preserve"> </w:t>
      </w:r>
      <w:proofErr w:type="spellStart"/>
      <w:r w:rsidR="007073D6" w:rsidRPr="007073D6">
        <w:rPr>
          <w:sz w:val="20"/>
          <w:szCs w:val="20"/>
        </w:rPr>
        <w:t>of</w:t>
      </w:r>
      <w:proofErr w:type="spellEnd"/>
      <w:r w:rsidR="007073D6" w:rsidRPr="007073D6">
        <w:rPr>
          <w:sz w:val="20"/>
          <w:szCs w:val="20"/>
        </w:rPr>
        <w:t xml:space="preserve"> </w:t>
      </w:r>
      <w:proofErr w:type="spellStart"/>
      <w:r w:rsidR="007073D6" w:rsidRPr="007073D6">
        <w:rPr>
          <w:sz w:val="20"/>
          <w:szCs w:val="20"/>
        </w:rPr>
        <w:t>Autism</w:t>
      </w:r>
      <w:proofErr w:type="spellEnd"/>
      <w:r w:rsidR="007073D6" w:rsidRPr="007073D6">
        <w:rPr>
          <w:sz w:val="20"/>
          <w:szCs w:val="20"/>
        </w:rPr>
        <w:t xml:space="preserve"> Spectrum </w:t>
      </w:r>
      <w:proofErr w:type="spellStart"/>
      <w:r w:rsidR="007073D6" w:rsidRPr="007073D6">
        <w:rPr>
          <w:sz w:val="20"/>
          <w:szCs w:val="20"/>
        </w:rPr>
        <w:t>Disorder</w:t>
      </w:r>
      <w:proofErr w:type="spellEnd"/>
      <w:r w:rsidR="007073D6" w:rsidRPr="007073D6">
        <w:rPr>
          <w:sz w:val="20"/>
          <w:szCs w:val="20"/>
        </w:rPr>
        <w:t xml:space="preserve"> (ASD). </w:t>
      </w:r>
      <w:proofErr w:type="spellStart"/>
      <w:r w:rsidR="007073D6" w:rsidRPr="007073D6">
        <w:rPr>
          <w:sz w:val="20"/>
          <w:szCs w:val="20"/>
        </w:rPr>
        <w:t>Using</w:t>
      </w:r>
      <w:proofErr w:type="spellEnd"/>
      <w:r w:rsidR="007073D6" w:rsidRPr="007073D6">
        <w:rPr>
          <w:sz w:val="20"/>
          <w:szCs w:val="20"/>
        </w:rPr>
        <w:t xml:space="preserve"> a </w:t>
      </w:r>
      <w:proofErr w:type="spellStart"/>
      <w:r w:rsidR="007073D6" w:rsidRPr="007073D6">
        <w:rPr>
          <w:sz w:val="20"/>
          <w:szCs w:val="20"/>
        </w:rPr>
        <w:t>qualitative</w:t>
      </w:r>
      <w:proofErr w:type="spellEnd"/>
      <w:r w:rsidR="007073D6" w:rsidRPr="007073D6">
        <w:rPr>
          <w:sz w:val="20"/>
          <w:szCs w:val="20"/>
        </w:rPr>
        <w:t xml:space="preserve"> approach, </w:t>
      </w:r>
      <w:proofErr w:type="spellStart"/>
      <w:r w:rsidR="007073D6" w:rsidRPr="007073D6">
        <w:rPr>
          <w:sz w:val="20"/>
          <w:szCs w:val="20"/>
        </w:rPr>
        <w:t>the</w:t>
      </w:r>
      <w:proofErr w:type="spellEnd"/>
      <w:r w:rsidR="007073D6" w:rsidRPr="007073D6">
        <w:rPr>
          <w:sz w:val="20"/>
          <w:szCs w:val="20"/>
        </w:rPr>
        <w:t xml:space="preserve"> </w:t>
      </w:r>
      <w:proofErr w:type="spellStart"/>
      <w:r w:rsidR="007073D6" w:rsidRPr="007073D6">
        <w:rPr>
          <w:sz w:val="20"/>
          <w:szCs w:val="20"/>
        </w:rPr>
        <w:t>research</w:t>
      </w:r>
      <w:proofErr w:type="spellEnd"/>
      <w:r w:rsidR="007073D6" w:rsidRPr="007073D6">
        <w:rPr>
          <w:sz w:val="20"/>
          <w:szCs w:val="20"/>
        </w:rPr>
        <w:t xml:space="preserve"> combines </w:t>
      </w:r>
      <w:proofErr w:type="spellStart"/>
      <w:r w:rsidR="007073D6" w:rsidRPr="007073D6">
        <w:rPr>
          <w:sz w:val="20"/>
          <w:szCs w:val="20"/>
        </w:rPr>
        <w:t>bibliographic</w:t>
      </w:r>
      <w:proofErr w:type="spellEnd"/>
      <w:r w:rsidR="007073D6" w:rsidRPr="007073D6">
        <w:rPr>
          <w:sz w:val="20"/>
          <w:szCs w:val="20"/>
        </w:rPr>
        <w:t xml:space="preserve"> review, legal </w:t>
      </w:r>
      <w:proofErr w:type="spellStart"/>
      <w:r w:rsidR="007073D6" w:rsidRPr="007073D6">
        <w:rPr>
          <w:sz w:val="20"/>
          <w:szCs w:val="20"/>
        </w:rPr>
        <w:t>analysis</w:t>
      </w:r>
      <w:proofErr w:type="spellEnd"/>
      <w:r w:rsidR="007073D6" w:rsidRPr="007073D6">
        <w:rPr>
          <w:sz w:val="20"/>
          <w:szCs w:val="20"/>
        </w:rPr>
        <w:t xml:space="preserve">, </w:t>
      </w:r>
      <w:proofErr w:type="spellStart"/>
      <w:r w:rsidR="007073D6" w:rsidRPr="007073D6">
        <w:rPr>
          <w:sz w:val="20"/>
          <w:szCs w:val="20"/>
        </w:rPr>
        <w:t>and</w:t>
      </w:r>
      <w:proofErr w:type="spellEnd"/>
      <w:r w:rsidR="007073D6" w:rsidRPr="007073D6">
        <w:rPr>
          <w:sz w:val="20"/>
          <w:szCs w:val="20"/>
        </w:rPr>
        <w:t xml:space="preserve"> a case </w:t>
      </w:r>
      <w:proofErr w:type="spellStart"/>
      <w:r w:rsidR="007073D6" w:rsidRPr="007073D6">
        <w:rPr>
          <w:sz w:val="20"/>
          <w:szCs w:val="20"/>
        </w:rPr>
        <w:t>study</w:t>
      </w:r>
      <w:proofErr w:type="spellEnd"/>
      <w:r w:rsidR="007073D6" w:rsidRPr="007073D6">
        <w:rPr>
          <w:sz w:val="20"/>
          <w:szCs w:val="20"/>
        </w:rPr>
        <w:t xml:space="preserve"> </w:t>
      </w:r>
      <w:proofErr w:type="spellStart"/>
      <w:r w:rsidR="007073D6" w:rsidRPr="007073D6">
        <w:rPr>
          <w:sz w:val="20"/>
          <w:szCs w:val="20"/>
        </w:rPr>
        <w:t>focused</w:t>
      </w:r>
      <w:proofErr w:type="spellEnd"/>
      <w:r w:rsidR="007073D6" w:rsidRPr="007073D6">
        <w:rPr>
          <w:sz w:val="20"/>
          <w:szCs w:val="20"/>
        </w:rPr>
        <w:t xml:space="preserve"> </w:t>
      </w:r>
      <w:proofErr w:type="spellStart"/>
      <w:r w:rsidR="007073D6" w:rsidRPr="007073D6">
        <w:rPr>
          <w:sz w:val="20"/>
          <w:szCs w:val="20"/>
        </w:rPr>
        <w:t>on</w:t>
      </w:r>
      <w:proofErr w:type="spellEnd"/>
      <w:r w:rsidR="007073D6" w:rsidRPr="007073D6">
        <w:rPr>
          <w:sz w:val="20"/>
          <w:szCs w:val="20"/>
        </w:rPr>
        <w:t xml:space="preserve"> </w:t>
      </w:r>
      <w:proofErr w:type="spellStart"/>
      <w:r w:rsidR="007073D6" w:rsidRPr="007073D6">
        <w:rPr>
          <w:sz w:val="20"/>
          <w:szCs w:val="20"/>
        </w:rPr>
        <w:t>state-level</w:t>
      </w:r>
      <w:proofErr w:type="spellEnd"/>
      <w:r w:rsidR="007073D6" w:rsidRPr="007073D6">
        <w:rPr>
          <w:sz w:val="20"/>
          <w:szCs w:val="20"/>
        </w:rPr>
        <w:t xml:space="preserve"> </w:t>
      </w:r>
      <w:proofErr w:type="spellStart"/>
      <w:r w:rsidR="007073D6" w:rsidRPr="007073D6">
        <w:rPr>
          <w:sz w:val="20"/>
          <w:szCs w:val="20"/>
        </w:rPr>
        <w:t>legislation</w:t>
      </w:r>
      <w:proofErr w:type="spellEnd"/>
      <w:r w:rsidR="007073D6" w:rsidRPr="007073D6">
        <w:rPr>
          <w:sz w:val="20"/>
          <w:szCs w:val="20"/>
        </w:rPr>
        <w:t xml:space="preserve">. The </w:t>
      </w:r>
      <w:proofErr w:type="spellStart"/>
      <w:r w:rsidR="007073D6" w:rsidRPr="007073D6">
        <w:rPr>
          <w:sz w:val="20"/>
          <w:szCs w:val="20"/>
        </w:rPr>
        <w:t>proposal</w:t>
      </w:r>
      <w:proofErr w:type="spellEnd"/>
      <w:r w:rsidR="007073D6" w:rsidRPr="007073D6">
        <w:rPr>
          <w:sz w:val="20"/>
          <w:szCs w:val="20"/>
        </w:rPr>
        <w:t xml:space="preserve"> </w:t>
      </w:r>
      <w:proofErr w:type="spellStart"/>
      <w:r w:rsidR="007073D6" w:rsidRPr="007073D6">
        <w:rPr>
          <w:sz w:val="20"/>
          <w:szCs w:val="20"/>
        </w:rPr>
        <w:t>is</w:t>
      </w:r>
      <w:proofErr w:type="spellEnd"/>
      <w:r w:rsidR="007073D6" w:rsidRPr="007073D6">
        <w:rPr>
          <w:sz w:val="20"/>
          <w:szCs w:val="20"/>
        </w:rPr>
        <w:t xml:space="preserve"> </w:t>
      </w:r>
      <w:proofErr w:type="spellStart"/>
      <w:r w:rsidR="007073D6" w:rsidRPr="007073D6">
        <w:rPr>
          <w:sz w:val="20"/>
          <w:szCs w:val="20"/>
        </w:rPr>
        <w:t>grounded</w:t>
      </w:r>
      <w:proofErr w:type="spellEnd"/>
      <w:r w:rsidR="007073D6" w:rsidRPr="007073D6">
        <w:rPr>
          <w:sz w:val="20"/>
          <w:szCs w:val="20"/>
        </w:rPr>
        <w:t xml:space="preserve"> in </w:t>
      </w:r>
      <w:proofErr w:type="spellStart"/>
      <w:r w:rsidR="007073D6" w:rsidRPr="007073D6">
        <w:rPr>
          <w:sz w:val="20"/>
          <w:szCs w:val="20"/>
        </w:rPr>
        <w:t>constitutional</w:t>
      </w:r>
      <w:proofErr w:type="spellEnd"/>
      <w:r w:rsidR="007073D6" w:rsidRPr="007073D6">
        <w:rPr>
          <w:sz w:val="20"/>
          <w:szCs w:val="20"/>
        </w:rPr>
        <w:t xml:space="preserve"> </w:t>
      </w:r>
      <w:proofErr w:type="spellStart"/>
      <w:r w:rsidR="007073D6" w:rsidRPr="007073D6">
        <w:rPr>
          <w:sz w:val="20"/>
          <w:szCs w:val="20"/>
        </w:rPr>
        <w:t>principles</w:t>
      </w:r>
      <w:proofErr w:type="spellEnd"/>
      <w:r w:rsidR="007073D6" w:rsidRPr="007073D6">
        <w:rPr>
          <w:sz w:val="20"/>
          <w:szCs w:val="20"/>
        </w:rPr>
        <w:t xml:space="preserve">, Maranhão </w:t>
      </w:r>
      <w:proofErr w:type="spellStart"/>
      <w:r w:rsidR="007073D6" w:rsidRPr="007073D6">
        <w:rPr>
          <w:sz w:val="20"/>
          <w:szCs w:val="20"/>
        </w:rPr>
        <w:t>state</w:t>
      </w:r>
      <w:proofErr w:type="spellEnd"/>
      <w:r w:rsidR="007073D6" w:rsidRPr="007073D6">
        <w:rPr>
          <w:sz w:val="20"/>
          <w:szCs w:val="20"/>
        </w:rPr>
        <w:t xml:space="preserve"> </w:t>
      </w:r>
      <w:proofErr w:type="spellStart"/>
      <w:r w:rsidR="007073D6" w:rsidRPr="007073D6">
        <w:rPr>
          <w:sz w:val="20"/>
          <w:szCs w:val="20"/>
        </w:rPr>
        <w:t>court</w:t>
      </w:r>
      <w:proofErr w:type="spellEnd"/>
      <w:r w:rsidR="007073D6" w:rsidRPr="007073D6">
        <w:rPr>
          <w:sz w:val="20"/>
          <w:szCs w:val="20"/>
        </w:rPr>
        <w:t xml:space="preserve"> </w:t>
      </w:r>
      <w:proofErr w:type="spellStart"/>
      <w:r w:rsidR="007073D6" w:rsidRPr="007073D6">
        <w:rPr>
          <w:sz w:val="20"/>
          <w:szCs w:val="20"/>
        </w:rPr>
        <w:t>jurisprudence</w:t>
      </w:r>
      <w:proofErr w:type="spellEnd"/>
      <w:r w:rsidR="007073D6" w:rsidRPr="007073D6">
        <w:rPr>
          <w:sz w:val="20"/>
          <w:szCs w:val="20"/>
        </w:rPr>
        <w:t xml:space="preserve">, </w:t>
      </w:r>
      <w:proofErr w:type="spellStart"/>
      <w:r w:rsidR="007073D6" w:rsidRPr="007073D6">
        <w:rPr>
          <w:sz w:val="20"/>
          <w:szCs w:val="20"/>
        </w:rPr>
        <w:t>and</w:t>
      </w:r>
      <w:proofErr w:type="spellEnd"/>
      <w:r w:rsidR="007073D6" w:rsidRPr="007073D6">
        <w:rPr>
          <w:sz w:val="20"/>
          <w:szCs w:val="20"/>
        </w:rPr>
        <w:t xml:space="preserve"> </w:t>
      </w:r>
      <w:proofErr w:type="spellStart"/>
      <w:r w:rsidR="007073D6" w:rsidRPr="007073D6">
        <w:rPr>
          <w:sz w:val="20"/>
          <w:szCs w:val="20"/>
        </w:rPr>
        <w:t>recent</w:t>
      </w:r>
      <w:proofErr w:type="spellEnd"/>
      <w:r w:rsidR="007073D6" w:rsidRPr="007073D6">
        <w:rPr>
          <w:sz w:val="20"/>
          <w:szCs w:val="20"/>
        </w:rPr>
        <w:t xml:space="preserve"> </w:t>
      </w:r>
      <w:proofErr w:type="spellStart"/>
      <w:r w:rsidR="007073D6" w:rsidRPr="007073D6">
        <w:rPr>
          <w:sz w:val="20"/>
          <w:szCs w:val="20"/>
        </w:rPr>
        <w:t>legislative</w:t>
      </w:r>
      <w:proofErr w:type="spellEnd"/>
      <w:r w:rsidR="007073D6" w:rsidRPr="007073D6">
        <w:rPr>
          <w:sz w:val="20"/>
          <w:szCs w:val="20"/>
        </w:rPr>
        <w:t xml:space="preserve"> </w:t>
      </w:r>
      <w:proofErr w:type="spellStart"/>
      <w:r w:rsidR="007073D6" w:rsidRPr="007073D6">
        <w:rPr>
          <w:sz w:val="20"/>
          <w:szCs w:val="20"/>
        </w:rPr>
        <w:t>developments</w:t>
      </w:r>
      <w:proofErr w:type="spellEnd"/>
      <w:r w:rsidR="007073D6" w:rsidRPr="007073D6">
        <w:rPr>
          <w:sz w:val="20"/>
          <w:szCs w:val="20"/>
        </w:rPr>
        <w:t xml:space="preserve">. </w:t>
      </w:r>
      <w:proofErr w:type="spellStart"/>
      <w:r w:rsidR="007073D6" w:rsidRPr="007073D6">
        <w:rPr>
          <w:sz w:val="20"/>
          <w:szCs w:val="20"/>
        </w:rPr>
        <w:t>To</w:t>
      </w:r>
      <w:proofErr w:type="spellEnd"/>
      <w:r w:rsidR="007073D6" w:rsidRPr="007073D6">
        <w:rPr>
          <w:sz w:val="20"/>
          <w:szCs w:val="20"/>
        </w:rPr>
        <w:t xml:space="preserve"> </w:t>
      </w:r>
      <w:proofErr w:type="spellStart"/>
      <w:r w:rsidR="007073D6" w:rsidRPr="007073D6">
        <w:rPr>
          <w:sz w:val="20"/>
          <w:szCs w:val="20"/>
        </w:rPr>
        <w:t>ensure</w:t>
      </w:r>
      <w:proofErr w:type="spellEnd"/>
      <w:r w:rsidR="007073D6" w:rsidRPr="007073D6">
        <w:rPr>
          <w:sz w:val="20"/>
          <w:szCs w:val="20"/>
        </w:rPr>
        <w:t xml:space="preserve"> </w:t>
      </w:r>
      <w:proofErr w:type="gramStart"/>
      <w:r w:rsidR="007073D6" w:rsidRPr="007073D6">
        <w:rPr>
          <w:sz w:val="20"/>
          <w:szCs w:val="20"/>
        </w:rPr>
        <w:t>its financial</w:t>
      </w:r>
      <w:proofErr w:type="gramEnd"/>
      <w:r w:rsidR="007073D6" w:rsidRPr="007073D6">
        <w:rPr>
          <w:sz w:val="20"/>
          <w:szCs w:val="20"/>
        </w:rPr>
        <w:t xml:space="preserve"> </w:t>
      </w:r>
      <w:proofErr w:type="spellStart"/>
      <w:r w:rsidR="007073D6" w:rsidRPr="007073D6">
        <w:rPr>
          <w:sz w:val="20"/>
          <w:szCs w:val="20"/>
        </w:rPr>
        <w:t>viability</w:t>
      </w:r>
      <w:proofErr w:type="spellEnd"/>
      <w:r w:rsidR="007073D6" w:rsidRPr="007073D6">
        <w:rPr>
          <w:sz w:val="20"/>
          <w:szCs w:val="20"/>
        </w:rPr>
        <w:t xml:space="preserve">, </w:t>
      </w:r>
      <w:proofErr w:type="spellStart"/>
      <w:r w:rsidR="007073D6" w:rsidRPr="007073D6">
        <w:rPr>
          <w:sz w:val="20"/>
          <w:szCs w:val="20"/>
        </w:rPr>
        <w:t>the</w:t>
      </w:r>
      <w:proofErr w:type="spellEnd"/>
      <w:r w:rsidR="007073D6" w:rsidRPr="007073D6">
        <w:rPr>
          <w:sz w:val="20"/>
          <w:szCs w:val="20"/>
        </w:rPr>
        <w:t xml:space="preserve"> </w:t>
      </w:r>
      <w:proofErr w:type="spellStart"/>
      <w:r w:rsidR="007073D6" w:rsidRPr="007073D6">
        <w:rPr>
          <w:sz w:val="20"/>
          <w:szCs w:val="20"/>
        </w:rPr>
        <w:t>creation</w:t>
      </w:r>
      <w:proofErr w:type="spellEnd"/>
      <w:r w:rsidR="007073D6" w:rsidRPr="007073D6">
        <w:rPr>
          <w:sz w:val="20"/>
          <w:szCs w:val="20"/>
        </w:rPr>
        <w:t xml:space="preserve"> </w:t>
      </w:r>
      <w:proofErr w:type="spellStart"/>
      <w:r w:rsidR="007073D6" w:rsidRPr="007073D6">
        <w:rPr>
          <w:sz w:val="20"/>
          <w:szCs w:val="20"/>
        </w:rPr>
        <w:t>of</w:t>
      </w:r>
      <w:proofErr w:type="spellEnd"/>
      <w:r w:rsidR="007073D6" w:rsidRPr="007073D6">
        <w:rPr>
          <w:sz w:val="20"/>
          <w:szCs w:val="20"/>
        </w:rPr>
        <w:t xml:space="preserve"> </w:t>
      </w:r>
      <w:proofErr w:type="spellStart"/>
      <w:r w:rsidR="007073D6" w:rsidRPr="007073D6">
        <w:rPr>
          <w:sz w:val="20"/>
          <w:szCs w:val="20"/>
        </w:rPr>
        <w:t>the</w:t>
      </w:r>
      <w:proofErr w:type="spellEnd"/>
      <w:r w:rsidR="007073D6" w:rsidRPr="007073D6">
        <w:rPr>
          <w:sz w:val="20"/>
          <w:szCs w:val="20"/>
        </w:rPr>
        <w:t xml:space="preserve"> </w:t>
      </w:r>
      <w:proofErr w:type="spellStart"/>
      <w:r w:rsidR="007073D6" w:rsidRPr="007073D6">
        <w:rPr>
          <w:sz w:val="20"/>
          <w:szCs w:val="20"/>
        </w:rPr>
        <w:t>State</w:t>
      </w:r>
      <w:proofErr w:type="spellEnd"/>
      <w:r w:rsidR="007073D6" w:rsidRPr="007073D6">
        <w:rPr>
          <w:sz w:val="20"/>
          <w:szCs w:val="20"/>
        </w:rPr>
        <w:t xml:space="preserve"> Fund for </w:t>
      </w:r>
      <w:proofErr w:type="spellStart"/>
      <w:r w:rsidR="007073D6" w:rsidRPr="007073D6">
        <w:rPr>
          <w:sz w:val="20"/>
          <w:szCs w:val="20"/>
        </w:rPr>
        <w:t>Support</w:t>
      </w:r>
      <w:proofErr w:type="spellEnd"/>
      <w:r w:rsidR="007073D6" w:rsidRPr="007073D6">
        <w:rPr>
          <w:sz w:val="20"/>
          <w:szCs w:val="20"/>
        </w:rPr>
        <w:t xml:space="preserve"> </w:t>
      </w:r>
      <w:proofErr w:type="spellStart"/>
      <w:r w:rsidR="007073D6" w:rsidRPr="007073D6">
        <w:rPr>
          <w:sz w:val="20"/>
          <w:szCs w:val="20"/>
        </w:rPr>
        <w:t>to</w:t>
      </w:r>
      <w:proofErr w:type="spellEnd"/>
      <w:r w:rsidR="007073D6" w:rsidRPr="007073D6">
        <w:rPr>
          <w:sz w:val="20"/>
          <w:szCs w:val="20"/>
        </w:rPr>
        <w:t xml:space="preserve"> </w:t>
      </w:r>
      <w:proofErr w:type="spellStart"/>
      <w:r w:rsidR="007073D6" w:rsidRPr="007073D6">
        <w:rPr>
          <w:sz w:val="20"/>
          <w:szCs w:val="20"/>
        </w:rPr>
        <w:t>Autistic</w:t>
      </w:r>
      <w:proofErr w:type="spellEnd"/>
      <w:r w:rsidR="007073D6" w:rsidRPr="007073D6">
        <w:rPr>
          <w:sz w:val="20"/>
          <w:szCs w:val="20"/>
        </w:rPr>
        <w:t xml:space="preserve"> </w:t>
      </w:r>
      <w:proofErr w:type="spellStart"/>
      <w:r w:rsidR="007073D6" w:rsidRPr="007073D6">
        <w:rPr>
          <w:sz w:val="20"/>
          <w:szCs w:val="20"/>
        </w:rPr>
        <w:t>Persons</w:t>
      </w:r>
      <w:proofErr w:type="spellEnd"/>
      <w:r w:rsidR="007073D6" w:rsidRPr="007073D6">
        <w:rPr>
          <w:sz w:val="20"/>
          <w:szCs w:val="20"/>
        </w:rPr>
        <w:t xml:space="preserve"> (FEAPA) </w:t>
      </w:r>
      <w:proofErr w:type="spellStart"/>
      <w:r w:rsidR="007073D6" w:rsidRPr="007073D6">
        <w:rPr>
          <w:sz w:val="20"/>
          <w:szCs w:val="20"/>
        </w:rPr>
        <w:t>is</w:t>
      </w:r>
      <w:proofErr w:type="spellEnd"/>
      <w:r w:rsidR="007073D6" w:rsidRPr="007073D6">
        <w:rPr>
          <w:sz w:val="20"/>
          <w:szCs w:val="20"/>
        </w:rPr>
        <w:t xml:space="preserve"> </w:t>
      </w:r>
      <w:proofErr w:type="spellStart"/>
      <w:r w:rsidR="007073D6" w:rsidRPr="007073D6">
        <w:rPr>
          <w:sz w:val="20"/>
          <w:szCs w:val="20"/>
        </w:rPr>
        <w:t>suggested</w:t>
      </w:r>
      <w:proofErr w:type="spellEnd"/>
      <w:r w:rsidR="007073D6" w:rsidRPr="007073D6">
        <w:rPr>
          <w:sz w:val="20"/>
          <w:szCs w:val="20"/>
        </w:rPr>
        <w:t xml:space="preserve">, </w:t>
      </w:r>
      <w:proofErr w:type="spellStart"/>
      <w:r w:rsidR="007073D6" w:rsidRPr="007073D6">
        <w:rPr>
          <w:sz w:val="20"/>
          <w:szCs w:val="20"/>
        </w:rPr>
        <w:t>without</w:t>
      </w:r>
      <w:proofErr w:type="spellEnd"/>
      <w:r w:rsidR="007073D6" w:rsidRPr="007073D6">
        <w:rPr>
          <w:sz w:val="20"/>
          <w:szCs w:val="20"/>
        </w:rPr>
        <w:t xml:space="preserve"> </w:t>
      </w:r>
      <w:proofErr w:type="spellStart"/>
      <w:r w:rsidR="007073D6" w:rsidRPr="007073D6">
        <w:rPr>
          <w:sz w:val="20"/>
          <w:szCs w:val="20"/>
        </w:rPr>
        <w:t>increasing</w:t>
      </w:r>
      <w:proofErr w:type="spellEnd"/>
      <w:r w:rsidR="007073D6" w:rsidRPr="007073D6">
        <w:rPr>
          <w:sz w:val="20"/>
          <w:szCs w:val="20"/>
        </w:rPr>
        <w:t xml:space="preserve"> </w:t>
      </w:r>
      <w:proofErr w:type="spellStart"/>
      <w:r w:rsidR="007073D6" w:rsidRPr="007073D6">
        <w:rPr>
          <w:sz w:val="20"/>
          <w:szCs w:val="20"/>
        </w:rPr>
        <w:t>the</w:t>
      </w:r>
      <w:proofErr w:type="spellEnd"/>
      <w:r w:rsidR="007073D6" w:rsidRPr="007073D6">
        <w:rPr>
          <w:sz w:val="20"/>
          <w:szCs w:val="20"/>
        </w:rPr>
        <w:t xml:space="preserve"> </w:t>
      </w:r>
      <w:proofErr w:type="spellStart"/>
      <w:r w:rsidR="007073D6" w:rsidRPr="007073D6">
        <w:rPr>
          <w:sz w:val="20"/>
          <w:szCs w:val="20"/>
        </w:rPr>
        <w:t>tax</w:t>
      </w:r>
      <w:proofErr w:type="spellEnd"/>
      <w:r w:rsidR="007073D6" w:rsidRPr="007073D6">
        <w:rPr>
          <w:sz w:val="20"/>
          <w:szCs w:val="20"/>
        </w:rPr>
        <w:t xml:space="preserve"> </w:t>
      </w:r>
      <w:proofErr w:type="spellStart"/>
      <w:r w:rsidR="007073D6" w:rsidRPr="007073D6">
        <w:rPr>
          <w:sz w:val="20"/>
          <w:szCs w:val="20"/>
        </w:rPr>
        <w:t>burden</w:t>
      </w:r>
      <w:proofErr w:type="spellEnd"/>
      <w:r w:rsidR="007073D6" w:rsidRPr="007073D6">
        <w:rPr>
          <w:sz w:val="20"/>
          <w:szCs w:val="20"/>
        </w:rPr>
        <w:t xml:space="preserve">. It </w:t>
      </w:r>
      <w:proofErr w:type="spellStart"/>
      <w:r w:rsidR="007073D6" w:rsidRPr="007073D6">
        <w:rPr>
          <w:sz w:val="20"/>
          <w:szCs w:val="20"/>
        </w:rPr>
        <w:t>concludes</w:t>
      </w:r>
      <w:proofErr w:type="spellEnd"/>
      <w:r w:rsidR="007073D6" w:rsidRPr="007073D6">
        <w:rPr>
          <w:sz w:val="20"/>
          <w:szCs w:val="20"/>
        </w:rPr>
        <w:t xml:space="preserve"> </w:t>
      </w:r>
      <w:proofErr w:type="spellStart"/>
      <w:r w:rsidR="007073D6" w:rsidRPr="007073D6">
        <w:rPr>
          <w:sz w:val="20"/>
          <w:szCs w:val="20"/>
        </w:rPr>
        <w:t>that</w:t>
      </w:r>
      <w:proofErr w:type="spellEnd"/>
      <w:r w:rsidR="007073D6" w:rsidRPr="007073D6">
        <w:rPr>
          <w:sz w:val="20"/>
          <w:szCs w:val="20"/>
        </w:rPr>
        <w:t xml:space="preserve"> </w:t>
      </w:r>
      <w:proofErr w:type="spellStart"/>
      <w:r w:rsidR="007073D6" w:rsidRPr="007073D6">
        <w:rPr>
          <w:sz w:val="20"/>
          <w:szCs w:val="20"/>
        </w:rPr>
        <w:t>early</w:t>
      </w:r>
      <w:proofErr w:type="spellEnd"/>
      <w:r w:rsidR="007073D6" w:rsidRPr="007073D6">
        <w:rPr>
          <w:sz w:val="20"/>
          <w:szCs w:val="20"/>
        </w:rPr>
        <w:t xml:space="preserve"> </w:t>
      </w:r>
      <w:proofErr w:type="spellStart"/>
      <w:r w:rsidR="007073D6" w:rsidRPr="007073D6">
        <w:rPr>
          <w:sz w:val="20"/>
          <w:szCs w:val="20"/>
        </w:rPr>
        <w:t>institutional</w:t>
      </w:r>
      <w:proofErr w:type="spellEnd"/>
      <w:r w:rsidR="007073D6" w:rsidRPr="007073D6">
        <w:rPr>
          <w:sz w:val="20"/>
          <w:szCs w:val="20"/>
        </w:rPr>
        <w:t xml:space="preserve"> </w:t>
      </w:r>
      <w:proofErr w:type="spellStart"/>
      <w:r w:rsidR="007073D6" w:rsidRPr="007073D6">
        <w:rPr>
          <w:sz w:val="20"/>
          <w:szCs w:val="20"/>
        </w:rPr>
        <w:t>support</w:t>
      </w:r>
      <w:proofErr w:type="spellEnd"/>
      <w:r w:rsidR="007073D6" w:rsidRPr="007073D6">
        <w:rPr>
          <w:sz w:val="20"/>
          <w:szCs w:val="20"/>
        </w:rPr>
        <w:t xml:space="preserve"> </w:t>
      </w:r>
      <w:proofErr w:type="spellStart"/>
      <w:r w:rsidR="007073D6" w:rsidRPr="007073D6">
        <w:rPr>
          <w:sz w:val="20"/>
          <w:szCs w:val="20"/>
        </w:rPr>
        <w:t>promotes</w:t>
      </w:r>
      <w:proofErr w:type="spellEnd"/>
      <w:r w:rsidR="007073D6" w:rsidRPr="007073D6">
        <w:rPr>
          <w:sz w:val="20"/>
          <w:szCs w:val="20"/>
        </w:rPr>
        <w:t xml:space="preserve"> </w:t>
      </w:r>
      <w:proofErr w:type="spellStart"/>
      <w:r w:rsidR="007073D6" w:rsidRPr="007073D6">
        <w:rPr>
          <w:sz w:val="20"/>
          <w:szCs w:val="20"/>
        </w:rPr>
        <w:t>educational</w:t>
      </w:r>
      <w:proofErr w:type="spellEnd"/>
      <w:r w:rsidR="007073D6" w:rsidRPr="007073D6">
        <w:rPr>
          <w:sz w:val="20"/>
          <w:szCs w:val="20"/>
        </w:rPr>
        <w:t xml:space="preserve"> </w:t>
      </w:r>
      <w:proofErr w:type="spellStart"/>
      <w:r w:rsidR="007073D6" w:rsidRPr="007073D6">
        <w:rPr>
          <w:sz w:val="20"/>
          <w:szCs w:val="20"/>
        </w:rPr>
        <w:t>inclusion</w:t>
      </w:r>
      <w:proofErr w:type="spellEnd"/>
      <w:r w:rsidR="007073D6" w:rsidRPr="007073D6">
        <w:rPr>
          <w:sz w:val="20"/>
          <w:szCs w:val="20"/>
        </w:rPr>
        <w:t xml:space="preserve">, </w:t>
      </w:r>
      <w:proofErr w:type="spellStart"/>
      <w:r w:rsidR="007073D6" w:rsidRPr="007073D6">
        <w:rPr>
          <w:sz w:val="20"/>
          <w:szCs w:val="20"/>
        </w:rPr>
        <w:t>reduces</w:t>
      </w:r>
      <w:proofErr w:type="spellEnd"/>
      <w:r w:rsidR="007073D6" w:rsidRPr="007073D6">
        <w:rPr>
          <w:sz w:val="20"/>
          <w:szCs w:val="20"/>
        </w:rPr>
        <w:t xml:space="preserve"> </w:t>
      </w:r>
      <w:proofErr w:type="spellStart"/>
      <w:r w:rsidR="007073D6" w:rsidRPr="007073D6">
        <w:rPr>
          <w:sz w:val="20"/>
          <w:szCs w:val="20"/>
        </w:rPr>
        <w:t>judicialization</w:t>
      </w:r>
      <w:proofErr w:type="spellEnd"/>
      <w:r w:rsidR="007073D6" w:rsidRPr="007073D6">
        <w:rPr>
          <w:sz w:val="20"/>
          <w:szCs w:val="20"/>
        </w:rPr>
        <w:t xml:space="preserve">, </w:t>
      </w:r>
      <w:proofErr w:type="spellStart"/>
      <w:r w:rsidR="007073D6" w:rsidRPr="007073D6">
        <w:rPr>
          <w:sz w:val="20"/>
          <w:szCs w:val="20"/>
        </w:rPr>
        <w:t>and</w:t>
      </w:r>
      <w:proofErr w:type="spellEnd"/>
      <w:r w:rsidR="007073D6" w:rsidRPr="007073D6">
        <w:rPr>
          <w:sz w:val="20"/>
          <w:szCs w:val="20"/>
        </w:rPr>
        <w:t xml:space="preserve"> </w:t>
      </w:r>
      <w:proofErr w:type="spellStart"/>
      <w:r w:rsidR="007073D6" w:rsidRPr="007073D6">
        <w:rPr>
          <w:sz w:val="20"/>
          <w:szCs w:val="20"/>
        </w:rPr>
        <w:t>ensures</w:t>
      </w:r>
      <w:proofErr w:type="spellEnd"/>
      <w:r w:rsidR="007073D6" w:rsidRPr="007073D6">
        <w:rPr>
          <w:sz w:val="20"/>
          <w:szCs w:val="20"/>
        </w:rPr>
        <w:t xml:space="preserve"> </w:t>
      </w:r>
      <w:proofErr w:type="spellStart"/>
      <w:r w:rsidR="007073D6" w:rsidRPr="007073D6">
        <w:rPr>
          <w:sz w:val="20"/>
          <w:szCs w:val="20"/>
        </w:rPr>
        <w:t>the</w:t>
      </w:r>
      <w:proofErr w:type="spellEnd"/>
      <w:r w:rsidR="007073D6" w:rsidRPr="007073D6">
        <w:rPr>
          <w:sz w:val="20"/>
          <w:szCs w:val="20"/>
        </w:rPr>
        <w:t xml:space="preserve"> full </w:t>
      </w:r>
      <w:proofErr w:type="spellStart"/>
      <w:r w:rsidR="007073D6" w:rsidRPr="007073D6">
        <w:rPr>
          <w:sz w:val="20"/>
          <w:szCs w:val="20"/>
        </w:rPr>
        <w:t>protection</w:t>
      </w:r>
      <w:proofErr w:type="spellEnd"/>
      <w:r w:rsidR="007073D6" w:rsidRPr="007073D6">
        <w:rPr>
          <w:sz w:val="20"/>
          <w:szCs w:val="20"/>
        </w:rPr>
        <w:t xml:space="preserve"> </w:t>
      </w:r>
      <w:proofErr w:type="spellStart"/>
      <w:r w:rsidR="007073D6" w:rsidRPr="007073D6">
        <w:rPr>
          <w:sz w:val="20"/>
          <w:szCs w:val="20"/>
        </w:rPr>
        <w:t>of</w:t>
      </w:r>
      <w:proofErr w:type="spellEnd"/>
      <w:r w:rsidR="007073D6" w:rsidRPr="007073D6">
        <w:rPr>
          <w:sz w:val="20"/>
          <w:szCs w:val="20"/>
        </w:rPr>
        <w:t xml:space="preserve"> </w:t>
      </w:r>
      <w:proofErr w:type="spellStart"/>
      <w:r w:rsidR="007073D6" w:rsidRPr="007073D6">
        <w:rPr>
          <w:sz w:val="20"/>
          <w:szCs w:val="20"/>
        </w:rPr>
        <w:t>neurodivergent</w:t>
      </w:r>
      <w:proofErr w:type="spellEnd"/>
      <w:r w:rsidR="007073D6" w:rsidRPr="007073D6">
        <w:rPr>
          <w:sz w:val="20"/>
          <w:szCs w:val="20"/>
        </w:rPr>
        <w:t xml:space="preserve"> girls</w:t>
      </w:r>
      <w:r w:rsidR="005E7207" w:rsidRPr="009E5108">
        <w:rPr>
          <w:sz w:val="20"/>
          <w:szCs w:val="20"/>
        </w:rPr>
        <w:t>.</w:t>
      </w:r>
    </w:p>
    <w:p w14:paraId="3BAA8BD8" w14:textId="3890EA0C" w:rsidR="004F776F" w:rsidRDefault="004F776F" w:rsidP="00606E35">
      <w:pPr>
        <w:spacing w:line="240" w:lineRule="auto"/>
        <w:ind w:left="2835"/>
        <w:jc w:val="both"/>
        <w:rPr>
          <w:sz w:val="24"/>
          <w:szCs w:val="24"/>
        </w:rPr>
      </w:pPr>
      <w:r w:rsidRPr="008A3A17">
        <w:rPr>
          <w:b/>
          <w:sz w:val="20"/>
          <w:szCs w:val="20"/>
          <w:lang w:val="en-US"/>
        </w:rPr>
        <w:t>Keywords</w:t>
      </w:r>
      <w:r w:rsidRPr="008A3A17">
        <w:rPr>
          <w:sz w:val="20"/>
          <w:szCs w:val="20"/>
          <w:lang w:val="en-US"/>
        </w:rPr>
        <w:t xml:space="preserve">: </w:t>
      </w:r>
      <w:proofErr w:type="spellStart"/>
      <w:r w:rsidR="005E7207" w:rsidRPr="009E5108">
        <w:rPr>
          <w:sz w:val="20"/>
          <w:szCs w:val="20"/>
        </w:rPr>
        <w:t>Autism</w:t>
      </w:r>
      <w:proofErr w:type="spellEnd"/>
      <w:r w:rsidR="005E7207" w:rsidRPr="009E5108">
        <w:rPr>
          <w:sz w:val="20"/>
          <w:szCs w:val="20"/>
        </w:rPr>
        <w:t xml:space="preserve">. </w:t>
      </w:r>
      <w:proofErr w:type="spellStart"/>
      <w:r w:rsidR="005E7207" w:rsidRPr="009E5108">
        <w:rPr>
          <w:sz w:val="20"/>
          <w:szCs w:val="20"/>
        </w:rPr>
        <w:t>Gender</w:t>
      </w:r>
      <w:proofErr w:type="spellEnd"/>
      <w:r w:rsidR="005E7207" w:rsidRPr="009E5108">
        <w:rPr>
          <w:sz w:val="20"/>
          <w:szCs w:val="20"/>
        </w:rPr>
        <w:t xml:space="preserve">. </w:t>
      </w:r>
      <w:proofErr w:type="spellStart"/>
      <w:r w:rsidR="005E7207" w:rsidRPr="009E5108">
        <w:rPr>
          <w:sz w:val="20"/>
          <w:szCs w:val="20"/>
        </w:rPr>
        <w:t>Underdiagnosis</w:t>
      </w:r>
      <w:proofErr w:type="spellEnd"/>
      <w:r>
        <w:rPr>
          <w:sz w:val="20"/>
          <w:szCs w:val="20"/>
        </w:rPr>
        <w:t>.</w:t>
      </w:r>
    </w:p>
    <w:p w14:paraId="18C3B0A4" w14:textId="77777777" w:rsidR="004F776F" w:rsidRDefault="004F776F" w:rsidP="00F2735F">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14:paraId="265C4EE2" w14:textId="77777777" w:rsidR="004F776F" w:rsidRDefault="004F776F" w:rsidP="00F2735F">
      <w:pPr>
        <w:spacing w:line="360" w:lineRule="auto"/>
        <w:jc w:val="both"/>
        <w:rPr>
          <w:sz w:val="24"/>
          <w:szCs w:val="24"/>
        </w:rPr>
      </w:pPr>
    </w:p>
    <w:p w14:paraId="221819E1" w14:textId="77777777" w:rsidR="005E7207" w:rsidRPr="005E7207" w:rsidRDefault="005E7207" w:rsidP="005E7207">
      <w:pPr>
        <w:spacing w:line="360" w:lineRule="auto"/>
        <w:ind w:firstLine="709"/>
        <w:jc w:val="both"/>
        <w:rPr>
          <w:sz w:val="24"/>
          <w:szCs w:val="24"/>
        </w:rPr>
      </w:pPr>
      <w:r w:rsidRPr="005E7207">
        <w:rPr>
          <w:sz w:val="24"/>
          <w:szCs w:val="24"/>
        </w:rPr>
        <w:t>O Transtorno do Espectro do Autismo (TEA) é uma condição do neurodesenvolvimento caracterizada por déficits na comunicação, na interação social e por comportamentos repetitivos ou interesses restritos. Esses elementos compõem o núcleo diagnóstico do transtorno, cuja manifestação pode variar amplamente em intensidade. Em pessoas do sexo feminino, essas características tendem a ser mais sutis, o que pode dificultar o reconhecimento precoce do TEA (SBP, 2019; APA, 2014).</w:t>
      </w:r>
    </w:p>
    <w:p w14:paraId="11A592A6" w14:textId="506D2855" w:rsidR="005E7207" w:rsidRPr="005E7207" w:rsidRDefault="005E7207" w:rsidP="005E7207">
      <w:pPr>
        <w:spacing w:line="360" w:lineRule="auto"/>
        <w:ind w:firstLine="709"/>
        <w:jc w:val="both"/>
        <w:rPr>
          <w:sz w:val="24"/>
          <w:szCs w:val="24"/>
        </w:rPr>
      </w:pPr>
      <w:r w:rsidRPr="005E7207">
        <w:rPr>
          <w:sz w:val="24"/>
          <w:szCs w:val="24"/>
        </w:rPr>
        <w:t>No Brasil</w:t>
      </w:r>
      <w:r w:rsidR="003A1774">
        <w:rPr>
          <w:sz w:val="24"/>
          <w:szCs w:val="24"/>
        </w:rPr>
        <w:t>,</w:t>
      </w:r>
      <w:r w:rsidRPr="005E7207">
        <w:rPr>
          <w:sz w:val="24"/>
          <w:szCs w:val="24"/>
        </w:rPr>
        <w:t xml:space="preserve"> a proteção de crianças </w:t>
      </w:r>
      <w:r w:rsidR="009A6B6D">
        <w:rPr>
          <w:sz w:val="24"/>
          <w:szCs w:val="24"/>
        </w:rPr>
        <w:t xml:space="preserve">com </w:t>
      </w:r>
      <w:r w:rsidR="00D45E50">
        <w:rPr>
          <w:sz w:val="24"/>
          <w:szCs w:val="24"/>
        </w:rPr>
        <w:t>autismo</w:t>
      </w:r>
      <w:r w:rsidRPr="005E7207">
        <w:rPr>
          <w:sz w:val="24"/>
          <w:szCs w:val="24"/>
        </w:rPr>
        <w:t xml:space="preserve"> está ancorada na Constituição Federal de 1988, que assegura saúde (art. 6º), educação (art. 205) e prioridade absoluta à infância (art. 227). No mesmo plano, </w:t>
      </w:r>
      <w:r w:rsidR="008C12A3">
        <w:rPr>
          <w:sz w:val="24"/>
          <w:szCs w:val="24"/>
        </w:rPr>
        <w:t xml:space="preserve">tem-se </w:t>
      </w:r>
      <w:r w:rsidRPr="005E7207">
        <w:rPr>
          <w:sz w:val="24"/>
          <w:szCs w:val="24"/>
        </w:rPr>
        <w:t xml:space="preserve">a Convenção sobre os Direitos das Pessoas com Deficiência, </w:t>
      </w:r>
      <w:r w:rsidR="008C12A3">
        <w:rPr>
          <w:sz w:val="24"/>
          <w:szCs w:val="24"/>
        </w:rPr>
        <w:t xml:space="preserve">que foi </w:t>
      </w:r>
      <w:r w:rsidRPr="005E7207">
        <w:rPr>
          <w:sz w:val="24"/>
          <w:szCs w:val="24"/>
        </w:rPr>
        <w:t>incorporada com status de emenda constitucional (Dec. Leg. 186/2008; Dec. 6.949/2009)</w:t>
      </w:r>
      <w:r w:rsidR="00C45161">
        <w:rPr>
          <w:sz w:val="24"/>
          <w:szCs w:val="24"/>
        </w:rPr>
        <w:t xml:space="preserve">, nos moldes do art. 5º, </w:t>
      </w:r>
      <w:r w:rsidR="005432DB" w:rsidRPr="005432DB">
        <w:rPr>
          <w:sz w:val="24"/>
          <w:szCs w:val="24"/>
        </w:rPr>
        <w:t>§</w:t>
      </w:r>
      <w:r w:rsidR="00C45161">
        <w:rPr>
          <w:sz w:val="24"/>
          <w:szCs w:val="24"/>
        </w:rPr>
        <w:t>3º da CRF</w:t>
      </w:r>
      <w:r w:rsidR="00137F4A">
        <w:rPr>
          <w:sz w:val="24"/>
          <w:szCs w:val="24"/>
        </w:rPr>
        <w:t>B</w:t>
      </w:r>
      <w:r w:rsidR="00C45161">
        <w:rPr>
          <w:sz w:val="24"/>
          <w:szCs w:val="24"/>
        </w:rPr>
        <w:t>/88</w:t>
      </w:r>
      <w:r w:rsidRPr="005E7207">
        <w:rPr>
          <w:sz w:val="24"/>
          <w:szCs w:val="24"/>
        </w:rPr>
        <w:t>.</w:t>
      </w:r>
    </w:p>
    <w:p w14:paraId="17F7AFD7" w14:textId="2D8C4B4D" w:rsidR="005E7207" w:rsidRPr="005E7207" w:rsidRDefault="005E7207" w:rsidP="005E7207">
      <w:pPr>
        <w:spacing w:line="360" w:lineRule="auto"/>
        <w:ind w:firstLine="709"/>
        <w:jc w:val="both"/>
        <w:rPr>
          <w:sz w:val="24"/>
          <w:szCs w:val="24"/>
        </w:rPr>
      </w:pPr>
      <w:r w:rsidRPr="005E7207">
        <w:rPr>
          <w:sz w:val="24"/>
          <w:szCs w:val="24"/>
        </w:rPr>
        <w:t xml:space="preserve">Em nível infraconstitucional, a Lei nº 12.764/2012 (Lei Berenice Piana) reconhece expressamente o autismo como deficiência para todos os efeitos legais. </w:t>
      </w:r>
      <w:r w:rsidR="008C12A3">
        <w:rPr>
          <w:sz w:val="24"/>
          <w:szCs w:val="24"/>
        </w:rPr>
        <w:t>A</w:t>
      </w:r>
      <w:r w:rsidRPr="005E7207">
        <w:rPr>
          <w:sz w:val="24"/>
          <w:szCs w:val="24"/>
        </w:rPr>
        <w:t xml:space="preserve"> Lei Brasileira de Inclusão da Pessoa com Deficiência (Lei nº 13.146/2015)</w:t>
      </w:r>
      <w:r w:rsidR="008C12A3">
        <w:rPr>
          <w:sz w:val="24"/>
          <w:szCs w:val="24"/>
        </w:rPr>
        <w:t xml:space="preserve"> e a </w:t>
      </w:r>
      <w:r w:rsidR="008C12A3" w:rsidRPr="005E7207">
        <w:rPr>
          <w:sz w:val="24"/>
          <w:szCs w:val="24"/>
        </w:rPr>
        <w:t>Lei</w:t>
      </w:r>
      <w:r w:rsidR="008C12A3">
        <w:rPr>
          <w:sz w:val="24"/>
          <w:szCs w:val="24"/>
        </w:rPr>
        <w:t xml:space="preserve"> de</w:t>
      </w:r>
      <w:r w:rsidR="008C12A3" w:rsidRPr="005E7207">
        <w:rPr>
          <w:sz w:val="24"/>
          <w:szCs w:val="24"/>
        </w:rPr>
        <w:t xml:space="preserve"> Diretrizes e Bases da Educação Nacional</w:t>
      </w:r>
      <w:r w:rsidR="008C12A3">
        <w:rPr>
          <w:sz w:val="24"/>
          <w:szCs w:val="24"/>
        </w:rPr>
        <w:t xml:space="preserve"> (</w:t>
      </w:r>
      <w:r w:rsidR="008C12A3" w:rsidRPr="005E7207">
        <w:rPr>
          <w:sz w:val="24"/>
          <w:szCs w:val="24"/>
        </w:rPr>
        <w:t>Lei nº 9.394/96</w:t>
      </w:r>
      <w:r w:rsidR="008C12A3">
        <w:rPr>
          <w:sz w:val="24"/>
          <w:szCs w:val="24"/>
        </w:rPr>
        <w:t>)</w:t>
      </w:r>
      <w:r w:rsidR="008C12A3" w:rsidRPr="005E7207">
        <w:rPr>
          <w:sz w:val="24"/>
          <w:szCs w:val="24"/>
        </w:rPr>
        <w:t>,</w:t>
      </w:r>
      <w:r w:rsidR="008C12A3">
        <w:rPr>
          <w:sz w:val="24"/>
          <w:szCs w:val="24"/>
        </w:rPr>
        <w:t xml:space="preserve"> </w:t>
      </w:r>
      <w:r w:rsidRPr="005E7207">
        <w:rPr>
          <w:sz w:val="24"/>
          <w:szCs w:val="24"/>
        </w:rPr>
        <w:t>reforça</w:t>
      </w:r>
      <w:r w:rsidR="008C12A3">
        <w:rPr>
          <w:sz w:val="24"/>
          <w:szCs w:val="24"/>
        </w:rPr>
        <w:t>m</w:t>
      </w:r>
      <w:r w:rsidRPr="005E7207">
        <w:rPr>
          <w:sz w:val="24"/>
          <w:szCs w:val="24"/>
        </w:rPr>
        <w:t xml:space="preserve"> o dever estatal de promover a inclusão por meio de ajustes razoáveis e ações intersetoriais.</w:t>
      </w:r>
    </w:p>
    <w:p w14:paraId="1421942A" w14:textId="683E0D22" w:rsidR="005E7207" w:rsidRPr="005E7207" w:rsidRDefault="005E7207" w:rsidP="005E7207">
      <w:pPr>
        <w:spacing w:line="360" w:lineRule="auto"/>
        <w:ind w:firstLine="709"/>
        <w:jc w:val="both"/>
        <w:rPr>
          <w:sz w:val="24"/>
          <w:szCs w:val="24"/>
        </w:rPr>
      </w:pPr>
      <w:r w:rsidRPr="005E7207">
        <w:rPr>
          <w:sz w:val="24"/>
          <w:szCs w:val="24"/>
        </w:rPr>
        <w:t>Em complemento, ainda que não constitua súmula, vale mencionar o entendimento do STF na ADI 6.590, que suspendeu o Decreto 10.502/2020 por afrontar o modelo de educação inclusiva ao admitir a segregação de alunos com deficiência. A decisão reafirma que a matrícula na rede regular, com apoios individualizados, como o tutor escolar ou mediador, é obrigação constitucional e convencional do Estado.</w:t>
      </w:r>
    </w:p>
    <w:p w14:paraId="673DC68E" w14:textId="15D09BD6" w:rsidR="005E7207" w:rsidRPr="005E7207" w:rsidRDefault="005E7207" w:rsidP="005E7207">
      <w:pPr>
        <w:spacing w:line="360" w:lineRule="auto"/>
        <w:ind w:firstLine="709"/>
        <w:jc w:val="both"/>
        <w:rPr>
          <w:sz w:val="24"/>
          <w:szCs w:val="24"/>
        </w:rPr>
      </w:pPr>
      <w:r w:rsidRPr="005E7207">
        <w:rPr>
          <w:sz w:val="24"/>
          <w:szCs w:val="24"/>
        </w:rPr>
        <w:t>Estudos epidemiológicos anteriores aos anos 2000 apontavam para uma prevalência de aproximadamente 1</w:t>
      </w:r>
      <w:r w:rsidR="00E63ED9">
        <w:rPr>
          <w:sz w:val="24"/>
          <w:szCs w:val="24"/>
        </w:rPr>
        <w:t xml:space="preserve"> </w:t>
      </w:r>
      <w:r w:rsidRPr="005E7207">
        <w:rPr>
          <w:sz w:val="24"/>
          <w:szCs w:val="24"/>
        </w:rPr>
        <w:t xml:space="preserve">% da população mundial com TEA, com uma razão de 4 </w:t>
      </w:r>
      <w:r w:rsidR="0008549A">
        <w:rPr>
          <w:sz w:val="24"/>
          <w:szCs w:val="24"/>
        </w:rPr>
        <w:t xml:space="preserve">(quatro) </w:t>
      </w:r>
      <w:r w:rsidRPr="005E7207">
        <w:rPr>
          <w:sz w:val="24"/>
          <w:szCs w:val="24"/>
        </w:rPr>
        <w:t>meninos para cada menina (</w:t>
      </w:r>
      <w:proofErr w:type="spellStart"/>
      <w:r w:rsidRPr="005E7207">
        <w:rPr>
          <w:sz w:val="24"/>
          <w:szCs w:val="24"/>
        </w:rPr>
        <w:t>Fombonne</w:t>
      </w:r>
      <w:proofErr w:type="spellEnd"/>
      <w:r w:rsidRPr="005E7207">
        <w:rPr>
          <w:sz w:val="24"/>
          <w:szCs w:val="24"/>
        </w:rPr>
        <w:t xml:space="preserve">, 2003; </w:t>
      </w:r>
      <w:proofErr w:type="spellStart"/>
      <w:r w:rsidRPr="005E7207">
        <w:rPr>
          <w:sz w:val="24"/>
          <w:szCs w:val="24"/>
        </w:rPr>
        <w:t>Laurenzi</w:t>
      </w:r>
      <w:proofErr w:type="spellEnd"/>
      <w:r w:rsidRPr="005E7207">
        <w:rPr>
          <w:sz w:val="24"/>
          <w:szCs w:val="24"/>
        </w:rPr>
        <w:t xml:space="preserve"> et al., 2019). Esses números, porém, refletiam limitações metodológicas, incluindo critérios </w:t>
      </w:r>
      <w:r w:rsidRPr="005E7207">
        <w:rPr>
          <w:sz w:val="24"/>
          <w:szCs w:val="24"/>
        </w:rPr>
        <w:lastRenderedPageBreak/>
        <w:t xml:space="preserve">menos abrangentes e baixa identificação de manifestações sutis em meninas, o que contribuiu para estimativas subdimensionadas (Hull, </w:t>
      </w:r>
      <w:proofErr w:type="spellStart"/>
      <w:r w:rsidRPr="005E7207">
        <w:rPr>
          <w:sz w:val="24"/>
          <w:szCs w:val="24"/>
        </w:rPr>
        <w:t>Petrides</w:t>
      </w:r>
      <w:proofErr w:type="spellEnd"/>
      <w:r w:rsidRPr="005E7207">
        <w:rPr>
          <w:sz w:val="24"/>
          <w:szCs w:val="24"/>
        </w:rPr>
        <w:t xml:space="preserve"> e Mandy, 2020).</w:t>
      </w:r>
    </w:p>
    <w:p w14:paraId="47F7115F" w14:textId="071C5145" w:rsidR="005E7207" w:rsidRPr="005E7207" w:rsidRDefault="005E7207" w:rsidP="005E7207">
      <w:pPr>
        <w:spacing w:line="360" w:lineRule="auto"/>
        <w:ind w:firstLine="709"/>
        <w:jc w:val="both"/>
        <w:rPr>
          <w:sz w:val="24"/>
          <w:szCs w:val="24"/>
        </w:rPr>
      </w:pPr>
      <w:r w:rsidRPr="005E7207">
        <w:rPr>
          <w:sz w:val="24"/>
          <w:szCs w:val="24"/>
        </w:rPr>
        <w:t xml:space="preserve">De acordo com o Censo Demográfico 2022, o Brasil contabiliza cerca de 2,4 milhões de pessoas com diagnóstico </w:t>
      </w:r>
      <w:r w:rsidR="008C12A3">
        <w:rPr>
          <w:sz w:val="24"/>
          <w:szCs w:val="24"/>
        </w:rPr>
        <w:t xml:space="preserve">com </w:t>
      </w:r>
      <w:r w:rsidRPr="005E7207">
        <w:rPr>
          <w:sz w:val="24"/>
          <w:szCs w:val="24"/>
        </w:rPr>
        <w:t xml:space="preserve">TEA, desse total, 1,4 milhão </w:t>
      </w:r>
      <w:r w:rsidR="00E41376">
        <w:rPr>
          <w:sz w:val="24"/>
          <w:szCs w:val="24"/>
        </w:rPr>
        <w:t xml:space="preserve">de </w:t>
      </w:r>
      <w:r w:rsidRPr="005E7207">
        <w:rPr>
          <w:sz w:val="24"/>
          <w:szCs w:val="24"/>
        </w:rPr>
        <w:t xml:space="preserve">homens (1,5 %) e 1,0 milhão </w:t>
      </w:r>
      <w:r w:rsidR="00E41376">
        <w:rPr>
          <w:sz w:val="24"/>
          <w:szCs w:val="24"/>
        </w:rPr>
        <w:t xml:space="preserve">de </w:t>
      </w:r>
      <w:r w:rsidRPr="005E7207">
        <w:rPr>
          <w:sz w:val="24"/>
          <w:szCs w:val="24"/>
        </w:rPr>
        <w:t>mulheres (0,9 %). Nos Estados Unidos, a Rede ADDM do CDC estimou que 1 em cada 36 crianças de até 8 anos (2,8 %) apresenta TEA, reforçando a alta prevalência internacional</w:t>
      </w:r>
      <w:r w:rsidR="008C12A3">
        <w:rPr>
          <w:sz w:val="24"/>
          <w:szCs w:val="24"/>
        </w:rPr>
        <w:t xml:space="preserve"> </w:t>
      </w:r>
      <w:r w:rsidRPr="005E7207">
        <w:rPr>
          <w:sz w:val="24"/>
          <w:szCs w:val="24"/>
        </w:rPr>
        <w:t>(IBGE, 2025; CDC, 2023).</w:t>
      </w:r>
    </w:p>
    <w:p w14:paraId="6C6256E8" w14:textId="31D91CCE" w:rsidR="005E7207" w:rsidRPr="005E7207" w:rsidRDefault="005E7207" w:rsidP="005E7207">
      <w:pPr>
        <w:spacing w:line="360" w:lineRule="auto"/>
        <w:ind w:firstLine="709"/>
        <w:jc w:val="both"/>
        <w:rPr>
          <w:sz w:val="24"/>
          <w:szCs w:val="24"/>
        </w:rPr>
      </w:pPr>
      <w:r w:rsidRPr="005E7207">
        <w:rPr>
          <w:sz w:val="24"/>
          <w:szCs w:val="24"/>
        </w:rPr>
        <w:t>Ressalta-se que, até o momento, não há dados epidemiológicos específicos sobre o subdiagnóstico de meninas autistas no estado do Maranhão. Diante dessa limitação, optou-se por utilizar as estimativas nacionais mais recentes (IBGE, 2025) como parâmetro comparativo. Essa abordagem não substitui levantamentos regionais específicos, mas permite, metodologicamente, uma aproximação fundamentada da realidade estadual com base em projeções estatísticas plausíveis.</w:t>
      </w:r>
    </w:p>
    <w:p w14:paraId="13ACE39E" w14:textId="1590EC34" w:rsidR="005E7207" w:rsidRPr="005E7207" w:rsidRDefault="005E7207" w:rsidP="005E7207">
      <w:pPr>
        <w:spacing w:line="360" w:lineRule="auto"/>
        <w:ind w:firstLine="709"/>
        <w:jc w:val="both"/>
        <w:rPr>
          <w:sz w:val="24"/>
          <w:szCs w:val="24"/>
        </w:rPr>
      </w:pPr>
      <w:r w:rsidRPr="005E7207">
        <w:rPr>
          <w:sz w:val="24"/>
          <w:szCs w:val="24"/>
        </w:rPr>
        <w:t>A identificação ainda carrega vieses de gênero, pois estereótipos clínicos, variações sutis de sintomas e barreiras na comunicação dificultam reconhecer a condição em pessoas que fogem ao padrão masculino (</w:t>
      </w:r>
      <w:proofErr w:type="spellStart"/>
      <w:r w:rsidRPr="005E7207">
        <w:rPr>
          <w:sz w:val="24"/>
          <w:szCs w:val="24"/>
        </w:rPr>
        <w:t>St</w:t>
      </w:r>
      <w:r w:rsidR="00227848">
        <w:rPr>
          <w:sz w:val="24"/>
          <w:szCs w:val="24"/>
        </w:rPr>
        <w:t>r</w:t>
      </w:r>
      <w:r w:rsidRPr="005E7207">
        <w:rPr>
          <w:sz w:val="24"/>
          <w:szCs w:val="24"/>
        </w:rPr>
        <w:t>ang</w:t>
      </w:r>
      <w:proofErr w:type="spellEnd"/>
      <w:r w:rsidRPr="005E7207">
        <w:rPr>
          <w:sz w:val="24"/>
          <w:szCs w:val="24"/>
        </w:rPr>
        <w:t xml:space="preserve"> et al., 2023). E isso decorre, historicamente, dos instrumentos diagnósticos que foram validados em amostras majoritariamente masculinas (Brunetto &amp; Vargas, 2023).</w:t>
      </w:r>
    </w:p>
    <w:p w14:paraId="6AA4D613" w14:textId="66CB551C" w:rsidR="005E7207" w:rsidRPr="005E7207" w:rsidRDefault="005E7207" w:rsidP="005E7207">
      <w:pPr>
        <w:spacing w:line="360" w:lineRule="auto"/>
        <w:ind w:firstLine="709"/>
        <w:jc w:val="both"/>
        <w:rPr>
          <w:sz w:val="24"/>
          <w:szCs w:val="24"/>
        </w:rPr>
      </w:pPr>
      <w:r w:rsidRPr="005E7207">
        <w:rPr>
          <w:sz w:val="24"/>
          <w:szCs w:val="24"/>
        </w:rPr>
        <w:t>A presença de comorbidades como TDAH desatento, ansiedade e depressão, expressa</w:t>
      </w:r>
      <w:r w:rsidR="00792087">
        <w:rPr>
          <w:sz w:val="24"/>
          <w:szCs w:val="24"/>
        </w:rPr>
        <w:t>-se</w:t>
      </w:r>
      <w:r w:rsidRPr="005E7207">
        <w:rPr>
          <w:sz w:val="24"/>
          <w:szCs w:val="24"/>
        </w:rPr>
        <w:t xml:space="preserve"> de maneira distinta em meninas e pessoas de gênero diverso, demandando rastreio específico e sensível a essas diferenças (Micai et al., 2021). </w:t>
      </w:r>
      <w:r w:rsidR="00E67B2D">
        <w:rPr>
          <w:sz w:val="24"/>
          <w:szCs w:val="24"/>
        </w:rPr>
        <w:t>M</w:t>
      </w:r>
      <w:r w:rsidRPr="005E7207">
        <w:rPr>
          <w:sz w:val="24"/>
          <w:szCs w:val="24"/>
        </w:rPr>
        <w:t xml:space="preserve">uitas recorrem à camuflagem social </w:t>
      </w:r>
      <w:r w:rsidR="00644628">
        <w:rPr>
          <w:sz w:val="24"/>
          <w:szCs w:val="24"/>
        </w:rPr>
        <w:t>(</w:t>
      </w:r>
      <w:proofErr w:type="spellStart"/>
      <w:r w:rsidRPr="00D96ED0">
        <w:rPr>
          <w:i/>
          <w:iCs/>
          <w:sz w:val="24"/>
          <w:szCs w:val="24"/>
        </w:rPr>
        <w:t>masking</w:t>
      </w:r>
      <w:proofErr w:type="spellEnd"/>
      <w:r w:rsidR="00644628">
        <w:rPr>
          <w:sz w:val="24"/>
          <w:szCs w:val="24"/>
        </w:rPr>
        <w:t>)</w:t>
      </w:r>
      <w:r w:rsidRPr="005E7207">
        <w:rPr>
          <w:sz w:val="24"/>
          <w:szCs w:val="24"/>
        </w:rPr>
        <w:t xml:space="preserve">, imitando comportamentos </w:t>
      </w:r>
      <w:proofErr w:type="spellStart"/>
      <w:r w:rsidRPr="005E7207">
        <w:rPr>
          <w:sz w:val="24"/>
          <w:szCs w:val="24"/>
        </w:rPr>
        <w:t>neurotípicos</w:t>
      </w:r>
      <w:proofErr w:type="spellEnd"/>
      <w:r w:rsidRPr="005E7207">
        <w:rPr>
          <w:sz w:val="24"/>
          <w:szCs w:val="24"/>
        </w:rPr>
        <w:t xml:space="preserve"> para evitar estigma, prática prevalente entre mulheres e autistas LGBTQIA+, </w:t>
      </w:r>
      <w:r w:rsidR="00E67B2D">
        <w:rPr>
          <w:sz w:val="24"/>
          <w:szCs w:val="24"/>
        </w:rPr>
        <w:t>e</w:t>
      </w:r>
      <w:r w:rsidRPr="005E7207">
        <w:rPr>
          <w:sz w:val="24"/>
          <w:szCs w:val="24"/>
        </w:rPr>
        <w:t xml:space="preserve"> associada a maior desgaste emocional (</w:t>
      </w:r>
      <w:proofErr w:type="spellStart"/>
      <w:r w:rsidRPr="005E7207">
        <w:rPr>
          <w:sz w:val="24"/>
          <w:szCs w:val="24"/>
        </w:rPr>
        <w:t>McQuaid</w:t>
      </w:r>
      <w:proofErr w:type="spellEnd"/>
      <w:r w:rsidRPr="005E7207">
        <w:rPr>
          <w:sz w:val="24"/>
          <w:szCs w:val="24"/>
        </w:rPr>
        <w:t xml:space="preserve"> et al., 2022).</w:t>
      </w:r>
    </w:p>
    <w:p w14:paraId="50B58126" w14:textId="7BD2762F" w:rsidR="005E7207" w:rsidRPr="005E7207" w:rsidRDefault="005E7207" w:rsidP="005E7207">
      <w:pPr>
        <w:spacing w:line="360" w:lineRule="auto"/>
        <w:ind w:firstLine="709"/>
        <w:jc w:val="both"/>
        <w:rPr>
          <w:sz w:val="24"/>
          <w:szCs w:val="24"/>
        </w:rPr>
      </w:pPr>
      <w:r w:rsidRPr="005E7207">
        <w:rPr>
          <w:sz w:val="24"/>
          <w:szCs w:val="24"/>
        </w:rPr>
        <w:t>Dessa forma, a falta de estudos focados em mulheres e na diversidade de gênero no Brasil reforça a urgência de critérios mais inclusivos e de maior sensibilidade clínica para evitar perdas de qualidade de vida decorrentes da ausência de intervenção precoce (Miranda, 2023).</w:t>
      </w:r>
    </w:p>
    <w:p w14:paraId="5E287E5F" w14:textId="6392FE1D" w:rsidR="005E7207" w:rsidRPr="00B701E7" w:rsidRDefault="005E7207" w:rsidP="005E7207">
      <w:pPr>
        <w:spacing w:line="360" w:lineRule="auto"/>
        <w:ind w:firstLine="709"/>
        <w:jc w:val="both"/>
        <w:rPr>
          <w:sz w:val="24"/>
          <w:szCs w:val="24"/>
        </w:rPr>
      </w:pPr>
      <w:r w:rsidRPr="00B701E7">
        <w:rPr>
          <w:sz w:val="24"/>
          <w:szCs w:val="24"/>
        </w:rPr>
        <w:t xml:space="preserve">Tal realidade revela um problema intersetorial, pois o subdiagnóstico compromete o acesso à educação, à saúde e à proteção integral dessas crianças. </w:t>
      </w:r>
      <w:r w:rsidRPr="00B701E7">
        <w:rPr>
          <w:sz w:val="24"/>
          <w:szCs w:val="24"/>
        </w:rPr>
        <w:lastRenderedPageBreak/>
        <w:t xml:space="preserve">Diante disso, questiona-se: de que forma esse déficit de reconhecimento afeta o exercício de </w:t>
      </w:r>
      <w:r w:rsidR="00F138B4">
        <w:rPr>
          <w:sz w:val="24"/>
          <w:szCs w:val="24"/>
        </w:rPr>
        <w:t>direito ao diagnóstico precoce</w:t>
      </w:r>
      <w:r w:rsidRPr="00B701E7">
        <w:rPr>
          <w:sz w:val="24"/>
          <w:szCs w:val="24"/>
        </w:rPr>
        <w:t xml:space="preserve"> e que medidas administrativas cautelares poderiam ser adotadas, mesmo antes da confirmação formal do diagnóstico?</w:t>
      </w:r>
    </w:p>
    <w:p w14:paraId="5284EE1C" w14:textId="4E899672" w:rsidR="005E7207" w:rsidRPr="005E7207" w:rsidRDefault="005E7207" w:rsidP="005E7207">
      <w:pPr>
        <w:spacing w:line="360" w:lineRule="auto"/>
        <w:ind w:firstLine="709"/>
        <w:jc w:val="both"/>
        <w:rPr>
          <w:sz w:val="24"/>
          <w:szCs w:val="24"/>
        </w:rPr>
      </w:pPr>
      <w:r w:rsidRPr="00B701E7">
        <w:rPr>
          <w:sz w:val="24"/>
          <w:szCs w:val="24"/>
        </w:rPr>
        <w:t xml:space="preserve">Justifica-se esta investigação porque a invisibilidade clínica dessas </w:t>
      </w:r>
      <w:r w:rsidR="0034266A">
        <w:rPr>
          <w:sz w:val="24"/>
          <w:szCs w:val="24"/>
        </w:rPr>
        <w:t>pessoas</w:t>
      </w:r>
      <w:r w:rsidRPr="00B701E7">
        <w:rPr>
          <w:sz w:val="24"/>
          <w:szCs w:val="24"/>
        </w:rPr>
        <w:t xml:space="preserve"> representa uma violação direta de direitos fundamentais e reflete a ausência de políticas públicas sensíveis à interseccionalidade entre gênero e neurodiversidade. </w:t>
      </w:r>
      <w:r w:rsidR="00E67B2D" w:rsidRPr="00B701E7">
        <w:rPr>
          <w:sz w:val="24"/>
          <w:szCs w:val="24"/>
        </w:rPr>
        <w:t>O</w:t>
      </w:r>
      <w:r w:rsidRPr="00B701E7">
        <w:rPr>
          <w:sz w:val="24"/>
          <w:szCs w:val="24"/>
        </w:rPr>
        <w:t xml:space="preserve"> estudo busca fornecer subsídios</w:t>
      </w:r>
      <w:r w:rsidRPr="005E7207">
        <w:rPr>
          <w:sz w:val="24"/>
          <w:szCs w:val="24"/>
        </w:rPr>
        <w:t xml:space="preserve"> sociais, técnicos e jurídicos, contribuindo para o debate qualificado e para a construção de respostas administrativas mais inclusivas.</w:t>
      </w:r>
    </w:p>
    <w:p w14:paraId="50AF7BB7" w14:textId="62B2C68A" w:rsidR="005E7207" w:rsidRPr="005E7207" w:rsidRDefault="005E7207" w:rsidP="005E7207">
      <w:pPr>
        <w:spacing w:line="360" w:lineRule="auto"/>
        <w:ind w:firstLine="709"/>
        <w:jc w:val="both"/>
        <w:rPr>
          <w:sz w:val="24"/>
          <w:szCs w:val="24"/>
        </w:rPr>
      </w:pPr>
      <w:r w:rsidRPr="005E7207">
        <w:rPr>
          <w:sz w:val="24"/>
          <w:szCs w:val="24"/>
        </w:rPr>
        <w:t>Objetiva-se, de forma geral, propor um ato administrativo cautelar que assegure o acompanhamento escolar e psicossocial de crianças com fundada suspeita de TEA no estado do Maranhão. Para tanto, pretende-se: (i) mapear os fatores de gênero que dificultam o reconhecimento do autismo em meninas; (</w:t>
      </w:r>
      <w:proofErr w:type="spellStart"/>
      <w:r w:rsidRPr="005E7207">
        <w:rPr>
          <w:sz w:val="24"/>
          <w:szCs w:val="24"/>
        </w:rPr>
        <w:t>ii</w:t>
      </w:r>
      <w:proofErr w:type="spellEnd"/>
      <w:r w:rsidRPr="005E7207">
        <w:rPr>
          <w:sz w:val="24"/>
          <w:szCs w:val="24"/>
        </w:rPr>
        <w:t>) analisar os fundamentos jurídicos e administrativos que sustentem proteção; e (</w:t>
      </w:r>
      <w:proofErr w:type="spellStart"/>
      <w:r w:rsidR="00E67B2D">
        <w:rPr>
          <w:sz w:val="24"/>
          <w:szCs w:val="24"/>
        </w:rPr>
        <w:t>iii</w:t>
      </w:r>
      <w:proofErr w:type="spellEnd"/>
      <w:r w:rsidRPr="005E7207">
        <w:rPr>
          <w:sz w:val="24"/>
          <w:szCs w:val="24"/>
        </w:rPr>
        <w:t>) apresentar diretrizes que subsidiem a elaboração de um</w:t>
      </w:r>
      <w:r w:rsidR="00E67B2D">
        <w:rPr>
          <w:sz w:val="24"/>
          <w:szCs w:val="24"/>
        </w:rPr>
        <w:t xml:space="preserve">a </w:t>
      </w:r>
      <w:r w:rsidRPr="005E7207">
        <w:rPr>
          <w:sz w:val="24"/>
          <w:szCs w:val="24"/>
        </w:rPr>
        <w:t>proteção provisória</w:t>
      </w:r>
      <w:r w:rsidR="00E67B2D">
        <w:rPr>
          <w:sz w:val="24"/>
          <w:szCs w:val="24"/>
        </w:rPr>
        <w:t>.</w:t>
      </w:r>
    </w:p>
    <w:p w14:paraId="7A08DD05" w14:textId="38212D56" w:rsidR="005E7207" w:rsidRPr="005E7207" w:rsidRDefault="005E7207" w:rsidP="005E7207">
      <w:pPr>
        <w:spacing w:line="360" w:lineRule="auto"/>
        <w:ind w:firstLine="709"/>
        <w:jc w:val="both"/>
        <w:rPr>
          <w:sz w:val="24"/>
          <w:szCs w:val="24"/>
        </w:rPr>
      </w:pPr>
      <w:r w:rsidRPr="005E7207">
        <w:rPr>
          <w:sz w:val="24"/>
          <w:szCs w:val="24"/>
        </w:rPr>
        <w:t>A presente pesquisa possui finalidade aplicada, ao propor uma intervenção normativa e política voltada ao enfrentamento do subdiagnóstico de meninas autistas no estado do Maranhão. Conforme a tipologia proposta por Gil (2019), trata-se de uma pesquisa de natureza qualitativa e de nível descritivo, por buscar caracterizar o fenômeno em questão e relacioná-lo a variáveis socioculturais</w:t>
      </w:r>
      <w:r w:rsidR="000D3E0A">
        <w:rPr>
          <w:sz w:val="24"/>
          <w:szCs w:val="24"/>
        </w:rPr>
        <w:t xml:space="preserve"> </w:t>
      </w:r>
      <w:r w:rsidRPr="005E7207">
        <w:rPr>
          <w:sz w:val="24"/>
          <w:szCs w:val="24"/>
        </w:rPr>
        <w:t>e institucionais.</w:t>
      </w:r>
    </w:p>
    <w:p w14:paraId="4113FB88" w14:textId="2178EAB6" w:rsidR="005E7207" w:rsidRPr="005E7207" w:rsidRDefault="005E7207" w:rsidP="005E7207">
      <w:pPr>
        <w:spacing w:line="360" w:lineRule="auto"/>
        <w:ind w:firstLine="709"/>
        <w:jc w:val="both"/>
        <w:rPr>
          <w:sz w:val="24"/>
          <w:szCs w:val="24"/>
        </w:rPr>
      </w:pPr>
      <w:r w:rsidRPr="005E7207">
        <w:rPr>
          <w:sz w:val="24"/>
          <w:szCs w:val="24"/>
        </w:rPr>
        <w:t xml:space="preserve">O delineamento adotado foi o estudo de caso, com recorte territorial no </w:t>
      </w:r>
      <w:r w:rsidR="000D3E0A">
        <w:rPr>
          <w:sz w:val="24"/>
          <w:szCs w:val="24"/>
        </w:rPr>
        <w:t>e</w:t>
      </w:r>
      <w:r w:rsidRPr="005E7207">
        <w:rPr>
          <w:sz w:val="24"/>
          <w:szCs w:val="24"/>
        </w:rPr>
        <w:t>stado do Maranhão, escolhido em razão de sua recente produção normativa na área de inclusão educacional, bem como pela identificação de lacunas regulatórias durante a fase de suspeita diagnóstica do Transtorno do Espectro Autista (TEA).</w:t>
      </w:r>
    </w:p>
    <w:p w14:paraId="36A56DD8" w14:textId="395C2E62" w:rsidR="005E7207" w:rsidRPr="005E7207" w:rsidRDefault="005E7207" w:rsidP="005E7207">
      <w:pPr>
        <w:spacing w:line="360" w:lineRule="auto"/>
        <w:ind w:firstLine="709"/>
        <w:jc w:val="both"/>
        <w:rPr>
          <w:sz w:val="24"/>
          <w:szCs w:val="24"/>
        </w:rPr>
      </w:pPr>
      <w:r w:rsidRPr="005E7207">
        <w:rPr>
          <w:sz w:val="24"/>
          <w:szCs w:val="24"/>
        </w:rPr>
        <w:t xml:space="preserve">A pesquisa foi estruturada em dois eixos metodológicos principais: </w:t>
      </w:r>
      <w:r w:rsidR="000D3E0A">
        <w:rPr>
          <w:sz w:val="24"/>
          <w:szCs w:val="24"/>
        </w:rPr>
        <w:t>o</w:t>
      </w:r>
      <w:r w:rsidRPr="005E7207">
        <w:rPr>
          <w:sz w:val="24"/>
          <w:szCs w:val="24"/>
        </w:rPr>
        <w:t xml:space="preserve"> eixo bibliográfico reuniu 9 </w:t>
      </w:r>
      <w:r w:rsidR="00D10172">
        <w:rPr>
          <w:sz w:val="24"/>
          <w:szCs w:val="24"/>
        </w:rPr>
        <w:t xml:space="preserve">(nove) </w:t>
      </w:r>
      <w:r w:rsidRPr="005E7207">
        <w:rPr>
          <w:sz w:val="24"/>
          <w:szCs w:val="24"/>
        </w:rPr>
        <w:t xml:space="preserve">obras fundamentais, entre clássicos e contemporâneos, das áreas de sociologia, estudos decoloniais e teoria crítica de gênero, com destaque para autoras como Judith Butler, Maria Rita Kehl e </w:t>
      </w:r>
      <w:proofErr w:type="spellStart"/>
      <w:r w:rsidRPr="005E7207">
        <w:rPr>
          <w:sz w:val="24"/>
          <w:szCs w:val="24"/>
        </w:rPr>
        <w:t>Temple</w:t>
      </w:r>
      <w:proofErr w:type="spellEnd"/>
      <w:r w:rsidRPr="005E7207">
        <w:rPr>
          <w:sz w:val="24"/>
          <w:szCs w:val="24"/>
        </w:rPr>
        <w:t xml:space="preserve"> Grandin</w:t>
      </w:r>
      <w:r w:rsidR="000D3E0A">
        <w:rPr>
          <w:sz w:val="24"/>
          <w:szCs w:val="24"/>
        </w:rPr>
        <w:t>,</w:t>
      </w:r>
      <w:r w:rsidRPr="005E7207">
        <w:rPr>
          <w:sz w:val="24"/>
          <w:szCs w:val="24"/>
        </w:rPr>
        <w:t xml:space="preserve"> </w:t>
      </w:r>
      <w:r w:rsidR="000D3E0A">
        <w:rPr>
          <w:sz w:val="24"/>
          <w:szCs w:val="24"/>
        </w:rPr>
        <w:t>s</w:t>
      </w:r>
      <w:r w:rsidRPr="005E7207">
        <w:rPr>
          <w:sz w:val="24"/>
          <w:szCs w:val="24"/>
        </w:rPr>
        <w:t>eguin</w:t>
      </w:r>
      <w:r w:rsidR="000D3E0A">
        <w:rPr>
          <w:sz w:val="24"/>
          <w:szCs w:val="24"/>
        </w:rPr>
        <w:t>do</w:t>
      </w:r>
      <w:r w:rsidRPr="005E7207">
        <w:rPr>
          <w:sz w:val="24"/>
          <w:szCs w:val="24"/>
        </w:rPr>
        <w:t xml:space="preserve"> critérios</w:t>
      </w:r>
      <w:r w:rsidR="000D3E0A">
        <w:rPr>
          <w:sz w:val="24"/>
          <w:szCs w:val="24"/>
        </w:rPr>
        <w:t xml:space="preserve"> de</w:t>
      </w:r>
      <w:r w:rsidRPr="005E7207">
        <w:rPr>
          <w:sz w:val="24"/>
          <w:szCs w:val="24"/>
        </w:rPr>
        <w:t xml:space="preserve"> afinidade temática com o objetivo do estudo</w:t>
      </w:r>
      <w:r w:rsidR="00B701E7">
        <w:rPr>
          <w:sz w:val="24"/>
          <w:szCs w:val="24"/>
        </w:rPr>
        <w:t xml:space="preserve"> </w:t>
      </w:r>
      <w:r w:rsidR="000D3E0A">
        <w:rPr>
          <w:sz w:val="24"/>
          <w:szCs w:val="24"/>
        </w:rPr>
        <w:t>e</w:t>
      </w:r>
      <w:r w:rsidRPr="005E7207">
        <w:rPr>
          <w:sz w:val="24"/>
          <w:szCs w:val="24"/>
        </w:rPr>
        <w:t xml:space="preserve"> relevância para o campo dos estudos de gênero e neurodiversidade.</w:t>
      </w:r>
    </w:p>
    <w:p w14:paraId="0373BE5B" w14:textId="5AFF7A8D" w:rsidR="005E7207" w:rsidRPr="005E7207" w:rsidRDefault="005E7207" w:rsidP="005E7207">
      <w:pPr>
        <w:spacing w:line="360" w:lineRule="auto"/>
        <w:ind w:firstLine="709"/>
        <w:jc w:val="both"/>
        <w:rPr>
          <w:sz w:val="24"/>
          <w:szCs w:val="24"/>
        </w:rPr>
      </w:pPr>
      <w:r w:rsidRPr="005E7207">
        <w:rPr>
          <w:sz w:val="24"/>
          <w:szCs w:val="24"/>
        </w:rPr>
        <w:lastRenderedPageBreak/>
        <w:t xml:space="preserve">Além disso, foram analisados 20 artigos científicos indexados em bases como </w:t>
      </w:r>
      <w:proofErr w:type="spellStart"/>
      <w:r w:rsidRPr="005E7207">
        <w:rPr>
          <w:sz w:val="24"/>
          <w:szCs w:val="24"/>
        </w:rPr>
        <w:t>PubMed</w:t>
      </w:r>
      <w:proofErr w:type="spellEnd"/>
      <w:r w:rsidRPr="005E7207">
        <w:rPr>
          <w:sz w:val="24"/>
          <w:szCs w:val="24"/>
        </w:rPr>
        <w:t>, SciELO e Google Scholar, publicados entre 2019 e 2025. Os critérios de inclusão envolveram revisão por pares</w:t>
      </w:r>
      <w:r w:rsidR="000D3E0A">
        <w:rPr>
          <w:sz w:val="24"/>
          <w:szCs w:val="24"/>
        </w:rPr>
        <w:t xml:space="preserve"> e</w:t>
      </w:r>
      <w:r w:rsidRPr="005E7207">
        <w:rPr>
          <w:sz w:val="24"/>
          <w:szCs w:val="24"/>
        </w:rPr>
        <w:t xml:space="preserve"> uso de descritores como “autismo feminino”, “subdiagnóstico de TEA”, “interseccionalidade” e “camuflagem social”</w:t>
      </w:r>
      <w:r w:rsidR="000D3E0A">
        <w:rPr>
          <w:sz w:val="24"/>
          <w:szCs w:val="24"/>
        </w:rPr>
        <w:t>.</w:t>
      </w:r>
    </w:p>
    <w:p w14:paraId="0A5A5618" w14:textId="5037B8A6" w:rsidR="005E7207" w:rsidRPr="005E7207" w:rsidRDefault="005E7207" w:rsidP="005E7207">
      <w:pPr>
        <w:spacing w:line="360" w:lineRule="auto"/>
        <w:ind w:firstLine="709"/>
        <w:jc w:val="both"/>
        <w:rPr>
          <w:sz w:val="24"/>
          <w:szCs w:val="24"/>
        </w:rPr>
      </w:pPr>
      <w:r w:rsidRPr="005E7207">
        <w:rPr>
          <w:sz w:val="24"/>
          <w:szCs w:val="24"/>
        </w:rPr>
        <w:t>O eixo documental abrangeu a análise de normativas federais</w:t>
      </w:r>
      <w:r w:rsidR="00577BC4">
        <w:rPr>
          <w:sz w:val="24"/>
          <w:szCs w:val="24"/>
        </w:rPr>
        <w:t>,</w:t>
      </w:r>
      <w:r w:rsidRPr="005E7207">
        <w:rPr>
          <w:sz w:val="24"/>
          <w:szCs w:val="24"/>
        </w:rPr>
        <w:t xml:space="preserve"> </w:t>
      </w:r>
      <w:r w:rsidR="00577BC4">
        <w:rPr>
          <w:sz w:val="24"/>
          <w:szCs w:val="24"/>
        </w:rPr>
        <w:t>como</w:t>
      </w:r>
      <w:r w:rsidRPr="005E7207">
        <w:rPr>
          <w:sz w:val="24"/>
          <w:szCs w:val="24"/>
        </w:rPr>
        <w:t xml:space="preserve"> a Lei nº 12.764/2012 (Lei Berenice Piana</w:t>
      </w:r>
      <w:r w:rsidR="000D3E0A">
        <w:rPr>
          <w:sz w:val="24"/>
          <w:szCs w:val="24"/>
        </w:rPr>
        <w:t>)</w:t>
      </w:r>
      <w:r w:rsidR="00577BC4">
        <w:rPr>
          <w:sz w:val="24"/>
          <w:szCs w:val="24"/>
        </w:rPr>
        <w:t>,</w:t>
      </w:r>
      <w:r w:rsidR="000D3E0A">
        <w:rPr>
          <w:sz w:val="24"/>
          <w:szCs w:val="24"/>
        </w:rPr>
        <w:t xml:space="preserve"> </w:t>
      </w:r>
      <w:r w:rsidRPr="005E7207">
        <w:rPr>
          <w:sz w:val="24"/>
          <w:szCs w:val="24"/>
        </w:rPr>
        <w:t xml:space="preserve">e legislações do Maranhão, </w:t>
      </w:r>
      <w:r w:rsidR="000D3E0A">
        <w:rPr>
          <w:sz w:val="24"/>
          <w:szCs w:val="24"/>
        </w:rPr>
        <w:t xml:space="preserve">como </w:t>
      </w:r>
      <w:r w:rsidRPr="005E7207">
        <w:rPr>
          <w:sz w:val="24"/>
          <w:szCs w:val="24"/>
        </w:rPr>
        <w:t>a Lei nº 11.456/2021. Também fo</w:t>
      </w:r>
      <w:r w:rsidR="000D3E0A">
        <w:rPr>
          <w:sz w:val="24"/>
          <w:szCs w:val="24"/>
        </w:rPr>
        <w:t>i</w:t>
      </w:r>
      <w:r w:rsidRPr="005E7207">
        <w:rPr>
          <w:sz w:val="24"/>
          <w:szCs w:val="24"/>
        </w:rPr>
        <w:t xml:space="preserve"> examinado</w:t>
      </w:r>
      <w:r w:rsidR="000D3E0A">
        <w:rPr>
          <w:sz w:val="24"/>
          <w:szCs w:val="24"/>
        </w:rPr>
        <w:t xml:space="preserve"> </w:t>
      </w:r>
      <w:r w:rsidRPr="005E7207">
        <w:rPr>
          <w:sz w:val="24"/>
          <w:szCs w:val="24"/>
        </w:rPr>
        <w:t>dados estatísticos do IBGE</w:t>
      </w:r>
      <w:r w:rsidR="00850E07">
        <w:rPr>
          <w:sz w:val="24"/>
          <w:szCs w:val="24"/>
        </w:rPr>
        <w:t xml:space="preserve"> e CDC-EUA</w:t>
      </w:r>
      <w:r w:rsidR="0033539B">
        <w:rPr>
          <w:sz w:val="24"/>
          <w:szCs w:val="24"/>
        </w:rPr>
        <w:t>,</w:t>
      </w:r>
      <w:r w:rsidR="00876592">
        <w:rPr>
          <w:sz w:val="24"/>
          <w:szCs w:val="24"/>
        </w:rPr>
        <w:t xml:space="preserve"> </w:t>
      </w:r>
      <w:r w:rsidR="00110428" w:rsidRPr="00110428">
        <w:rPr>
          <w:sz w:val="24"/>
          <w:szCs w:val="24"/>
        </w:rPr>
        <w:t>tendo em vista a ausência de informações locais específicas</w:t>
      </w:r>
      <w:r w:rsidR="00110428">
        <w:rPr>
          <w:sz w:val="24"/>
          <w:szCs w:val="24"/>
        </w:rPr>
        <w:t>,</w:t>
      </w:r>
      <w:r w:rsidR="00110428" w:rsidRPr="00110428">
        <w:rPr>
          <w:sz w:val="24"/>
          <w:szCs w:val="24"/>
        </w:rPr>
        <w:t xml:space="preserve"> um dado que, por si só, reforça a lógica do apagamento e evidencia a pertinência da presente pesquisa.</w:t>
      </w:r>
    </w:p>
    <w:p w14:paraId="58A7C6D8" w14:textId="77777777" w:rsidR="005E7207" w:rsidRPr="005E7207" w:rsidRDefault="005E7207" w:rsidP="005E7207">
      <w:pPr>
        <w:spacing w:line="360" w:lineRule="auto"/>
        <w:ind w:firstLine="709"/>
        <w:jc w:val="both"/>
        <w:rPr>
          <w:sz w:val="24"/>
          <w:szCs w:val="24"/>
        </w:rPr>
      </w:pPr>
      <w:r w:rsidRPr="005E7207">
        <w:rPr>
          <w:sz w:val="24"/>
          <w:szCs w:val="24"/>
        </w:rPr>
        <w:t>As etapas operacionais seguiram o seguinte fluxo: (1) delimitação do problema e dos objetivos de pesquisa; (2) levantamento e seleção criteriosa do referencial teórico e normativo; (3) organização e fichamento das fontes; (4) categorização temática; e (5) elaboração analítica e argumentativa do artigo, com articulação entre os dados coletados e os referenciais teóricos mobilizados.</w:t>
      </w:r>
    </w:p>
    <w:p w14:paraId="5DCAA618" w14:textId="6EF1AC1B" w:rsidR="004F776F" w:rsidRDefault="005E7207" w:rsidP="005E7207">
      <w:pPr>
        <w:spacing w:line="360" w:lineRule="auto"/>
        <w:ind w:firstLine="709"/>
        <w:jc w:val="both"/>
        <w:rPr>
          <w:sz w:val="24"/>
          <w:szCs w:val="24"/>
        </w:rPr>
      </w:pPr>
      <w:r w:rsidRPr="005E7207">
        <w:rPr>
          <w:sz w:val="24"/>
          <w:szCs w:val="24"/>
        </w:rPr>
        <w:t>Como limitação metodológica, destaca-se a ausência de dados primários, o que impede a verificação empírica direta da efetividade da proposta. Ainda assim, os resultados obtidos oferecem subsídios relevantes para formulações normativas mais inclusivas e sensíveis às desigualdades de gênero no campo da neurodiversidade</w:t>
      </w:r>
      <w:r w:rsidR="00915E6D">
        <w:rPr>
          <w:sz w:val="24"/>
          <w:szCs w:val="24"/>
        </w:rPr>
        <w:t>. Bem como</w:t>
      </w:r>
      <w:r w:rsidR="00915E6D" w:rsidRPr="005E7207">
        <w:rPr>
          <w:sz w:val="24"/>
          <w:szCs w:val="24"/>
        </w:rPr>
        <w:t>, a delimitação territorial restringe a generalização dos achados</w:t>
      </w:r>
      <w:r w:rsidR="00915E6D">
        <w:rPr>
          <w:sz w:val="24"/>
          <w:szCs w:val="24"/>
        </w:rPr>
        <w:t>.</w:t>
      </w:r>
    </w:p>
    <w:p w14:paraId="4252DF5A" w14:textId="77777777" w:rsidR="004F776F" w:rsidRDefault="004F776F" w:rsidP="00F2735F">
      <w:pPr>
        <w:spacing w:line="360" w:lineRule="auto"/>
        <w:jc w:val="both"/>
        <w:rPr>
          <w:sz w:val="24"/>
          <w:szCs w:val="24"/>
        </w:rPr>
      </w:pPr>
    </w:p>
    <w:p w14:paraId="004F6A79" w14:textId="15D7D6FD" w:rsidR="004F776F" w:rsidRDefault="004F776F" w:rsidP="00F2735F">
      <w:pPr>
        <w:spacing w:line="360" w:lineRule="auto"/>
        <w:jc w:val="both"/>
        <w:rPr>
          <w:b/>
          <w:sz w:val="24"/>
          <w:szCs w:val="24"/>
        </w:rPr>
      </w:pPr>
      <w:r>
        <w:rPr>
          <w:b/>
          <w:sz w:val="24"/>
          <w:szCs w:val="24"/>
        </w:rPr>
        <w:t>2</w:t>
      </w:r>
      <w:r>
        <w:rPr>
          <w:b/>
          <w:sz w:val="24"/>
          <w:szCs w:val="24"/>
        </w:rPr>
        <w:tab/>
      </w:r>
      <w:r w:rsidR="00B701E7" w:rsidRPr="00B701E7">
        <w:rPr>
          <w:b/>
          <w:sz w:val="24"/>
          <w:szCs w:val="24"/>
        </w:rPr>
        <w:t>BASES SOCIOPOLÍTICAS</w:t>
      </w:r>
    </w:p>
    <w:p w14:paraId="01B45138" w14:textId="77777777" w:rsidR="004F776F" w:rsidRDefault="004F776F" w:rsidP="00F2735F">
      <w:pPr>
        <w:spacing w:line="360" w:lineRule="auto"/>
        <w:jc w:val="both"/>
        <w:rPr>
          <w:sz w:val="24"/>
          <w:szCs w:val="24"/>
        </w:rPr>
      </w:pPr>
    </w:p>
    <w:p w14:paraId="2AA5502C" w14:textId="2CB0009E" w:rsidR="005E7207" w:rsidRPr="005E7207" w:rsidRDefault="005E7207" w:rsidP="005E7207">
      <w:pPr>
        <w:spacing w:line="360" w:lineRule="auto"/>
        <w:ind w:firstLine="709"/>
        <w:jc w:val="both"/>
        <w:rPr>
          <w:sz w:val="24"/>
          <w:szCs w:val="24"/>
        </w:rPr>
      </w:pPr>
      <w:r w:rsidRPr="005E7207">
        <w:rPr>
          <w:sz w:val="24"/>
          <w:szCs w:val="24"/>
        </w:rPr>
        <w:t>A compreensão do subdiagnóstico do tema exige uma abordagem para além dos limites da clínica. Trata-se de um fenômeno atravessado por relações de poder, normas culturais de gênero e lógicas institucionais de exclusão. Nesse sentido, este capítulo busca dialogar com autores que problematizam os saberes hegemônicos e a forma como eles operam para silenciar ou inviabilizar experiências divergentes, especialmente as vividas por mulheres e meninas.</w:t>
      </w:r>
    </w:p>
    <w:p w14:paraId="23016BF2" w14:textId="11C9F1C5" w:rsidR="005E7207" w:rsidRPr="005E7207" w:rsidRDefault="005E7207" w:rsidP="005E7207">
      <w:pPr>
        <w:spacing w:line="360" w:lineRule="auto"/>
        <w:ind w:firstLine="709"/>
        <w:jc w:val="both"/>
        <w:rPr>
          <w:sz w:val="24"/>
          <w:szCs w:val="24"/>
        </w:rPr>
      </w:pPr>
      <w:r w:rsidRPr="005E7207">
        <w:rPr>
          <w:sz w:val="24"/>
          <w:szCs w:val="24"/>
        </w:rPr>
        <w:t xml:space="preserve">Boaventura de Sousa Santos </w:t>
      </w:r>
      <w:r w:rsidR="00203BE3">
        <w:rPr>
          <w:sz w:val="24"/>
          <w:szCs w:val="24"/>
        </w:rPr>
        <w:t>descreve</w:t>
      </w:r>
      <w:r w:rsidRPr="005E7207">
        <w:rPr>
          <w:sz w:val="24"/>
          <w:szCs w:val="24"/>
        </w:rPr>
        <w:t xml:space="preserve"> que a modernidade ocidental construiu sua racionalidade a partir de uma lógica de exclusão, promovendo a </w:t>
      </w:r>
      <w:r w:rsidRPr="005E7207">
        <w:rPr>
          <w:sz w:val="24"/>
          <w:szCs w:val="24"/>
        </w:rPr>
        <w:lastRenderedPageBreak/>
        <w:t xml:space="preserve">destruição de conhecimentos </w:t>
      </w:r>
      <w:r w:rsidR="00E856D5">
        <w:rPr>
          <w:sz w:val="24"/>
          <w:szCs w:val="24"/>
        </w:rPr>
        <w:t>julgados</w:t>
      </w:r>
      <w:r w:rsidRPr="005E7207">
        <w:rPr>
          <w:sz w:val="24"/>
          <w:szCs w:val="24"/>
        </w:rPr>
        <w:t xml:space="preserve"> inferiores (</w:t>
      </w:r>
      <w:r w:rsidR="00F14D3B" w:rsidRPr="005E7207">
        <w:rPr>
          <w:sz w:val="24"/>
          <w:szCs w:val="24"/>
        </w:rPr>
        <w:t>Santos</w:t>
      </w:r>
      <w:r w:rsidRPr="005E7207">
        <w:rPr>
          <w:sz w:val="24"/>
          <w:szCs w:val="24"/>
        </w:rPr>
        <w:t>, 2009). Essa lógica se caracteriza por um processo ativo de apagamento, em que</w:t>
      </w:r>
      <w:r w:rsidR="00FE79B3">
        <w:rPr>
          <w:sz w:val="24"/>
          <w:szCs w:val="24"/>
        </w:rPr>
        <w:t xml:space="preserve"> as</w:t>
      </w:r>
      <w:r w:rsidR="004D247A" w:rsidRPr="004D247A">
        <w:t xml:space="preserve"> </w:t>
      </w:r>
      <w:r w:rsidR="00F42FF0">
        <w:t>“</w:t>
      </w:r>
      <w:r w:rsidR="004D247A" w:rsidRPr="004D247A">
        <w:rPr>
          <w:sz w:val="24"/>
          <w:szCs w:val="24"/>
        </w:rPr>
        <w:t>realidades ausentes por via do silenciamento, da supressão e da marginalização, isto é, as realidades que são ativamente produzidas como não existentes</w:t>
      </w:r>
      <w:r w:rsidR="00F42FF0">
        <w:rPr>
          <w:sz w:val="24"/>
          <w:szCs w:val="24"/>
        </w:rPr>
        <w:t>”</w:t>
      </w:r>
      <w:r w:rsidRPr="005E7207">
        <w:rPr>
          <w:sz w:val="24"/>
          <w:szCs w:val="24"/>
        </w:rPr>
        <w:t xml:space="preserve"> (</w:t>
      </w:r>
      <w:r w:rsidR="00F14D3B" w:rsidRPr="005E7207">
        <w:rPr>
          <w:sz w:val="24"/>
          <w:szCs w:val="24"/>
        </w:rPr>
        <w:t>Santos</w:t>
      </w:r>
      <w:r w:rsidRPr="005E7207">
        <w:rPr>
          <w:sz w:val="24"/>
          <w:szCs w:val="24"/>
        </w:rPr>
        <w:t xml:space="preserve">, 2009, p. </w:t>
      </w:r>
      <w:r w:rsidR="004D247A">
        <w:rPr>
          <w:sz w:val="24"/>
          <w:szCs w:val="24"/>
        </w:rPr>
        <w:t>11</w:t>
      </w:r>
      <w:r w:rsidRPr="005E7207">
        <w:rPr>
          <w:sz w:val="24"/>
          <w:szCs w:val="24"/>
        </w:rPr>
        <w:t>5)</w:t>
      </w:r>
      <w:r w:rsidR="00FE79B3">
        <w:rPr>
          <w:sz w:val="24"/>
          <w:szCs w:val="24"/>
        </w:rPr>
        <w:t>.</w:t>
      </w:r>
    </w:p>
    <w:p w14:paraId="0896F317" w14:textId="1106BF50" w:rsidR="005E7207" w:rsidRPr="00CD75E4" w:rsidRDefault="005E7207" w:rsidP="005E7207">
      <w:pPr>
        <w:spacing w:line="360" w:lineRule="auto"/>
        <w:ind w:firstLine="709"/>
        <w:jc w:val="both"/>
        <w:rPr>
          <w:sz w:val="24"/>
          <w:szCs w:val="24"/>
        </w:rPr>
      </w:pPr>
      <w:r w:rsidRPr="005E7207">
        <w:rPr>
          <w:sz w:val="24"/>
          <w:szCs w:val="24"/>
        </w:rPr>
        <w:t xml:space="preserve">Judith Butler sustenta que o gênero não é </w:t>
      </w:r>
      <w:r w:rsidRPr="00CD75E4">
        <w:rPr>
          <w:sz w:val="24"/>
          <w:szCs w:val="24"/>
        </w:rPr>
        <w:t>uma essência natural, mas um efeito reiterado de práticas discursivas. Em sua obra, ela afirma que “o gênero é sempre um ato em curso, não uma verdade ontológica” (</w:t>
      </w:r>
      <w:r w:rsidR="00F14D3B" w:rsidRPr="00CD75E4">
        <w:rPr>
          <w:sz w:val="24"/>
          <w:szCs w:val="24"/>
        </w:rPr>
        <w:t>Butler</w:t>
      </w:r>
      <w:r w:rsidRPr="00CD75E4">
        <w:rPr>
          <w:sz w:val="24"/>
          <w:szCs w:val="24"/>
        </w:rPr>
        <w:t>, 1990, p. 34), indicando que as identidades de gênero são produzidas pela repetição regulada de normas sociais. Ainda segundo a autora, “certas vidas não são reconhecidas como vidas em absoluto” (</w:t>
      </w:r>
      <w:r w:rsidR="00F14D3B" w:rsidRPr="00CD75E4">
        <w:rPr>
          <w:sz w:val="24"/>
          <w:szCs w:val="24"/>
        </w:rPr>
        <w:t>Butler</w:t>
      </w:r>
      <w:r w:rsidRPr="00CD75E4">
        <w:rPr>
          <w:sz w:val="24"/>
          <w:szCs w:val="24"/>
        </w:rPr>
        <w:t>, 2004, p. 15).</w:t>
      </w:r>
    </w:p>
    <w:p w14:paraId="21F87A78" w14:textId="68A88531" w:rsidR="005E7207" w:rsidRPr="00CD75E4" w:rsidRDefault="005E7207" w:rsidP="005E7207">
      <w:pPr>
        <w:spacing w:line="360" w:lineRule="auto"/>
        <w:ind w:firstLine="709"/>
        <w:jc w:val="both"/>
        <w:rPr>
          <w:sz w:val="24"/>
          <w:szCs w:val="24"/>
        </w:rPr>
      </w:pPr>
      <w:r w:rsidRPr="00CD75E4">
        <w:rPr>
          <w:sz w:val="24"/>
          <w:szCs w:val="24"/>
        </w:rPr>
        <w:t>No campo da psicanálise crítica, Maria Rita Kehl observa que “a subjetividade feminina é construída como um lugar de silêncio” (</w:t>
      </w:r>
      <w:r w:rsidR="00F14D3B" w:rsidRPr="00CD75E4">
        <w:rPr>
          <w:sz w:val="24"/>
          <w:szCs w:val="24"/>
        </w:rPr>
        <w:t>Kehl</w:t>
      </w:r>
      <w:r w:rsidRPr="00CD75E4">
        <w:rPr>
          <w:sz w:val="24"/>
          <w:szCs w:val="24"/>
        </w:rPr>
        <w:t xml:space="preserve">, 1998, p. 47), o que aponta para a recorrente deslegitimação da escuta da mulher. Em outra obra, ela complementa que “a queixa da mulher, quando não é ridicularizada, é </w:t>
      </w:r>
      <w:proofErr w:type="spellStart"/>
      <w:r w:rsidRPr="00CD75E4">
        <w:rPr>
          <w:sz w:val="24"/>
          <w:szCs w:val="24"/>
        </w:rPr>
        <w:t>patologizada</w:t>
      </w:r>
      <w:proofErr w:type="spellEnd"/>
      <w:r w:rsidRPr="00CD75E4">
        <w:rPr>
          <w:sz w:val="24"/>
          <w:szCs w:val="24"/>
        </w:rPr>
        <w:t>” (</w:t>
      </w:r>
      <w:r w:rsidR="00F14D3B" w:rsidRPr="00CD75E4">
        <w:rPr>
          <w:sz w:val="24"/>
          <w:szCs w:val="24"/>
        </w:rPr>
        <w:t>Kehl</w:t>
      </w:r>
      <w:r w:rsidRPr="00CD75E4">
        <w:rPr>
          <w:sz w:val="24"/>
          <w:szCs w:val="24"/>
        </w:rPr>
        <w:t>, 2009, p. 108), revelando o modo como a fala feminina é tratada como sintoma e não como expressão legítima.</w:t>
      </w:r>
    </w:p>
    <w:p w14:paraId="547F2183" w14:textId="7D0AEAB3" w:rsidR="005E7207" w:rsidRPr="005E7207" w:rsidRDefault="005E7207" w:rsidP="005E7207">
      <w:pPr>
        <w:spacing w:line="360" w:lineRule="auto"/>
        <w:ind w:firstLine="709"/>
        <w:jc w:val="both"/>
        <w:rPr>
          <w:sz w:val="24"/>
          <w:szCs w:val="24"/>
        </w:rPr>
      </w:pPr>
      <w:proofErr w:type="spellStart"/>
      <w:r w:rsidRPr="00CD75E4">
        <w:rPr>
          <w:sz w:val="24"/>
          <w:szCs w:val="24"/>
        </w:rPr>
        <w:t>Raewyn</w:t>
      </w:r>
      <w:proofErr w:type="spellEnd"/>
      <w:r w:rsidRPr="00CD75E4">
        <w:rPr>
          <w:sz w:val="24"/>
          <w:szCs w:val="24"/>
        </w:rPr>
        <w:t xml:space="preserve"> </w:t>
      </w:r>
      <w:proofErr w:type="spellStart"/>
      <w:r w:rsidRPr="00CD75E4">
        <w:rPr>
          <w:sz w:val="24"/>
          <w:szCs w:val="24"/>
        </w:rPr>
        <w:t>Connell</w:t>
      </w:r>
      <w:proofErr w:type="spellEnd"/>
      <w:r w:rsidRPr="00CD75E4">
        <w:rPr>
          <w:sz w:val="24"/>
          <w:szCs w:val="24"/>
        </w:rPr>
        <w:t xml:space="preserve"> </w:t>
      </w:r>
      <w:r w:rsidR="00D45A57" w:rsidRPr="00CD75E4">
        <w:rPr>
          <w:sz w:val="24"/>
          <w:szCs w:val="24"/>
        </w:rPr>
        <w:t xml:space="preserve">(2005, p. 77) </w:t>
      </w:r>
      <w:r w:rsidRPr="00CD75E4">
        <w:rPr>
          <w:sz w:val="24"/>
          <w:szCs w:val="24"/>
        </w:rPr>
        <w:t>descreve a “masculinidade hegemônica” como</w:t>
      </w:r>
      <w:r w:rsidRPr="005E7207">
        <w:rPr>
          <w:sz w:val="24"/>
          <w:szCs w:val="24"/>
        </w:rPr>
        <w:t xml:space="preserve"> um padrão normativo dominante que legitima hierarquias de gênero e exclusões internas</w:t>
      </w:r>
      <w:r w:rsidR="004D36F2">
        <w:rPr>
          <w:sz w:val="24"/>
          <w:szCs w:val="24"/>
        </w:rPr>
        <w:t xml:space="preserve">. </w:t>
      </w:r>
      <w:r w:rsidRPr="005E7207">
        <w:rPr>
          <w:sz w:val="24"/>
          <w:szCs w:val="24"/>
        </w:rPr>
        <w:t xml:space="preserve">Silvia </w:t>
      </w:r>
      <w:proofErr w:type="spellStart"/>
      <w:r w:rsidRPr="005E7207">
        <w:rPr>
          <w:sz w:val="24"/>
          <w:szCs w:val="24"/>
        </w:rPr>
        <w:t>Federici</w:t>
      </w:r>
      <w:proofErr w:type="spellEnd"/>
      <w:r w:rsidRPr="005E7207">
        <w:rPr>
          <w:sz w:val="24"/>
          <w:szCs w:val="24"/>
        </w:rPr>
        <w:t>, por sua vez, lembra que o controle dos corpos femininos “foi condição para a acumulação capitalista” (</w:t>
      </w:r>
      <w:proofErr w:type="spellStart"/>
      <w:r w:rsidR="00F14D3B" w:rsidRPr="005E7207">
        <w:rPr>
          <w:sz w:val="24"/>
          <w:szCs w:val="24"/>
        </w:rPr>
        <w:t>Federici</w:t>
      </w:r>
      <w:proofErr w:type="spellEnd"/>
      <w:r w:rsidRPr="005E7207">
        <w:rPr>
          <w:sz w:val="24"/>
          <w:szCs w:val="24"/>
        </w:rPr>
        <w:t>, 2004, p. 36), destacando como, na atualidade, esse controle se manifesta por meio da patologização ou da negação seletiva do feminino.</w:t>
      </w:r>
    </w:p>
    <w:p w14:paraId="2C358937" w14:textId="517BBC7A" w:rsidR="005E7207" w:rsidRPr="005E7207" w:rsidRDefault="005E7207" w:rsidP="005E7207">
      <w:pPr>
        <w:spacing w:line="360" w:lineRule="auto"/>
        <w:ind w:firstLine="709"/>
        <w:jc w:val="both"/>
        <w:rPr>
          <w:sz w:val="24"/>
          <w:szCs w:val="24"/>
        </w:rPr>
      </w:pPr>
      <w:proofErr w:type="spellStart"/>
      <w:r w:rsidRPr="005E7207">
        <w:rPr>
          <w:sz w:val="24"/>
          <w:szCs w:val="24"/>
        </w:rPr>
        <w:t>Temple</w:t>
      </w:r>
      <w:proofErr w:type="spellEnd"/>
      <w:r w:rsidRPr="005E7207">
        <w:rPr>
          <w:sz w:val="24"/>
          <w:szCs w:val="24"/>
        </w:rPr>
        <w:t xml:space="preserve"> Grandin, cientista autista, contribui com uma perspectiva interna sobre a vivência de meninas no espectro. Em </w:t>
      </w:r>
      <w:r w:rsidRPr="006C0A1A">
        <w:rPr>
          <w:i/>
          <w:iCs/>
          <w:sz w:val="24"/>
          <w:szCs w:val="24"/>
        </w:rPr>
        <w:t xml:space="preserve">The </w:t>
      </w:r>
      <w:proofErr w:type="spellStart"/>
      <w:r w:rsidRPr="006C0A1A">
        <w:rPr>
          <w:i/>
          <w:iCs/>
          <w:sz w:val="24"/>
          <w:szCs w:val="24"/>
        </w:rPr>
        <w:t>Autistic</w:t>
      </w:r>
      <w:proofErr w:type="spellEnd"/>
      <w:r w:rsidRPr="006C0A1A">
        <w:rPr>
          <w:i/>
          <w:iCs/>
          <w:sz w:val="24"/>
          <w:szCs w:val="24"/>
        </w:rPr>
        <w:t xml:space="preserve"> </w:t>
      </w:r>
      <w:proofErr w:type="spellStart"/>
      <w:r w:rsidRPr="006C0A1A">
        <w:rPr>
          <w:i/>
          <w:iCs/>
          <w:sz w:val="24"/>
          <w:szCs w:val="24"/>
        </w:rPr>
        <w:t>Brain</w:t>
      </w:r>
      <w:proofErr w:type="spellEnd"/>
      <w:r w:rsidRPr="005E7207">
        <w:rPr>
          <w:sz w:val="24"/>
          <w:szCs w:val="24"/>
        </w:rPr>
        <w:t>, ela afirma que “as garotas são melhores em camuflar seus sintomas” (</w:t>
      </w:r>
      <w:r w:rsidR="00F14D3B" w:rsidRPr="005E7207">
        <w:rPr>
          <w:sz w:val="24"/>
          <w:szCs w:val="24"/>
        </w:rPr>
        <w:t>Grandin</w:t>
      </w:r>
      <w:r w:rsidRPr="005E7207">
        <w:rPr>
          <w:sz w:val="24"/>
          <w:szCs w:val="24"/>
        </w:rPr>
        <w:t xml:space="preserve">; </w:t>
      </w:r>
      <w:proofErr w:type="spellStart"/>
      <w:r w:rsidR="00F14D3B" w:rsidRPr="005E7207">
        <w:rPr>
          <w:sz w:val="24"/>
          <w:szCs w:val="24"/>
        </w:rPr>
        <w:t>Panek</w:t>
      </w:r>
      <w:proofErr w:type="spellEnd"/>
      <w:r w:rsidRPr="005E7207">
        <w:rPr>
          <w:sz w:val="24"/>
          <w:szCs w:val="24"/>
        </w:rPr>
        <w:t>, 2014, p. 84), apontando que esse mascaramento é impulsionado por expectativas sociais desde a infância.</w:t>
      </w:r>
    </w:p>
    <w:p w14:paraId="7D9C79BA" w14:textId="50618FAF" w:rsidR="004F776F" w:rsidRDefault="005E7207" w:rsidP="005E7207">
      <w:pPr>
        <w:spacing w:line="360" w:lineRule="auto"/>
        <w:ind w:firstLine="709"/>
        <w:jc w:val="both"/>
        <w:rPr>
          <w:sz w:val="24"/>
          <w:szCs w:val="24"/>
        </w:rPr>
      </w:pPr>
      <w:r w:rsidRPr="005E7207">
        <w:rPr>
          <w:sz w:val="24"/>
          <w:szCs w:val="24"/>
        </w:rPr>
        <w:t xml:space="preserve">Pela lógica colonial-patriarcal, o diagnóstico foi concebido em matriz masculina, branca e setentrional. À luz desses autores, evidencia-se que o subdiagnóstico de meninas com TEA se enquadra numa forma contemporânea de </w:t>
      </w:r>
      <w:r w:rsidRPr="005E7207">
        <w:rPr>
          <w:sz w:val="24"/>
          <w:szCs w:val="24"/>
        </w:rPr>
        <w:lastRenderedPageBreak/>
        <w:t>exclusão de gênero</w:t>
      </w:r>
      <w:r w:rsidR="003D533F">
        <w:rPr>
          <w:sz w:val="24"/>
          <w:szCs w:val="24"/>
        </w:rPr>
        <w:t>,</w:t>
      </w:r>
      <w:r w:rsidRPr="005E7207">
        <w:rPr>
          <w:sz w:val="24"/>
          <w:szCs w:val="24"/>
        </w:rPr>
        <w:t xml:space="preserve"> </w:t>
      </w:r>
      <w:r w:rsidR="00CA09A3">
        <w:rPr>
          <w:sz w:val="24"/>
          <w:szCs w:val="24"/>
        </w:rPr>
        <w:t xml:space="preserve">tratando-se de </w:t>
      </w:r>
      <w:r w:rsidR="006F68A6">
        <w:rPr>
          <w:sz w:val="24"/>
          <w:szCs w:val="24"/>
        </w:rPr>
        <w:t>uma</w:t>
      </w:r>
      <w:r w:rsidRPr="005E7207">
        <w:rPr>
          <w:sz w:val="24"/>
          <w:szCs w:val="24"/>
        </w:rPr>
        <w:t xml:space="preserve"> manifestação de violência epistêmica</w:t>
      </w:r>
      <w:r w:rsidR="006F68A6">
        <w:rPr>
          <w:sz w:val="24"/>
          <w:szCs w:val="24"/>
        </w:rPr>
        <w:t>,</w:t>
      </w:r>
      <w:r w:rsidRPr="005E7207">
        <w:rPr>
          <w:sz w:val="24"/>
          <w:szCs w:val="24"/>
        </w:rPr>
        <w:t xml:space="preserve"> fruto da colonialidade de gênero.</w:t>
      </w:r>
    </w:p>
    <w:p w14:paraId="76F6DF79" w14:textId="77777777" w:rsidR="004F776F" w:rsidRDefault="004F776F" w:rsidP="00F2735F">
      <w:pPr>
        <w:spacing w:line="360" w:lineRule="auto"/>
        <w:jc w:val="both"/>
        <w:rPr>
          <w:sz w:val="24"/>
          <w:szCs w:val="24"/>
        </w:rPr>
      </w:pPr>
    </w:p>
    <w:p w14:paraId="36DFE3FB" w14:textId="64F7558E" w:rsidR="005E7207" w:rsidRDefault="005E7207" w:rsidP="005E7207">
      <w:pPr>
        <w:spacing w:line="360" w:lineRule="auto"/>
        <w:jc w:val="both"/>
        <w:rPr>
          <w:b/>
          <w:sz w:val="24"/>
          <w:szCs w:val="24"/>
        </w:rPr>
      </w:pPr>
      <w:r>
        <w:rPr>
          <w:b/>
          <w:sz w:val="24"/>
          <w:szCs w:val="24"/>
        </w:rPr>
        <w:t>3</w:t>
      </w:r>
      <w:r>
        <w:rPr>
          <w:b/>
          <w:sz w:val="24"/>
          <w:szCs w:val="24"/>
        </w:rPr>
        <w:tab/>
      </w:r>
      <w:r w:rsidR="005947EE">
        <w:rPr>
          <w:b/>
          <w:sz w:val="24"/>
          <w:szCs w:val="24"/>
        </w:rPr>
        <w:t>CONTEXTO DO ESTADO DO MARANHÃO</w:t>
      </w:r>
    </w:p>
    <w:p w14:paraId="1E8D772A" w14:textId="77777777" w:rsidR="004F776F" w:rsidRDefault="004F776F" w:rsidP="00F2735F">
      <w:pPr>
        <w:spacing w:line="360" w:lineRule="auto"/>
        <w:jc w:val="both"/>
        <w:rPr>
          <w:sz w:val="24"/>
          <w:szCs w:val="24"/>
        </w:rPr>
      </w:pPr>
    </w:p>
    <w:p w14:paraId="55CD2B4F" w14:textId="4CDC4660" w:rsidR="008A281A" w:rsidRPr="008A281A" w:rsidRDefault="008A281A" w:rsidP="008A281A">
      <w:pPr>
        <w:spacing w:line="360" w:lineRule="auto"/>
        <w:ind w:firstLine="709"/>
        <w:jc w:val="both"/>
        <w:rPr>
          <w:sz w:val="24"/>
          <w:szCs w:val="24"/>
        </w:rPr>
      </w:pPr>
      <w:r w:rsidRPr="008A281A">
        <w:rPr>
          <w:sz w:val="24"/>
          <w:szCs w:val="24"/>
        </w:rPr>
        <w:t>Para romper esse ciclo</w:t>
      </w:r>
      <w:r w:rsidR="00D95C4D">
        <w:rPr>
          <w:sz w:val="24"/>
          <w:szCs w:val="24"/>
        </w:rPr>
        <w:t>,</w:t>
      </w:r>
      <w:r w:rsidRPr="008A281A">
        <w:rPr>
          <w:sz w:val="24"/>
          <w:szCs w:val="24"/>
        </w:rPr>
        <w:t xml:space="preserve"> exige</w:t>
      </w:r>
      <w:r w:rsidR="00792087">
        <w:rPr>
          <w:sz w:val="24"/>
          <w:szCs w:val="24"/>
        </w:rPr>
        <w:t>-se</w:t>
      </w:r>
      <w:r w:rsidRPr="008A281A">
        <w:rPr>
          <w:sz w:val="24"/>
          <w:szCs w:val="24"/>
        </w:rPr>
        <w:t xml:space="preserve"> a criação de dispositivos normativos que assegurem respostas imediatas que promovam uma revisão dos protocolos escolares. Nesse aspecto, </w:t>
      </w:r>
      <w:proofErr w:type="spellStart"/>
      <w:r w:rsidRPr="008A281A">
        <w:rPr>
          <w:sz w:val="24"/>
          <w:szCs w:val="24"/>
        </w:rPr>
        <w:t>Glat</w:t>
      </w:r>
      <w:proofErr w:type="spellEnd"/>
      <w:r w:rsidRPr="008A281A">
        <w:rPr>
          <w:sz w:val="24"/>
          <w:szCs w:val="24"/>
        </w:rPr>
        <w:t xml:space="preserve"> e </w:t>
      </w:r>
      <w:proofErr w:type="spellStart"/>
      <w:r w:rsidRPr="008A281A">
        <w:rPr>
          <w:sz w:val="24"/>
          <w:szCs w:val="24"/>
        </w:rPr>
        <w:t>Pletsch</w:t>
      </w:r>
      <w:proofErr w:type="spellEnd"/>
      <w:r w:rsidRPr="008A281A">
        <w:rPr>
          <w:sz w:val="24"/>
          <w:szCs w:val="24"/>
        </w:rPr>
        <w:t xml:space="preserve"> (2011) destacam que: </w:t>
      </w:r>
    </w:p>
    <w:p w14:paraId="79CD821B" w14:textId="77777777" w:rsidR="008A281A" w:rsidRDefault="008A281A" w:rsidP="008A281A">
      <w:pPr>
        <w:spacing w:line="240" w:lineRule="auto"/>
        <w:ind w:left="2268"/>
        <w:jc w:val="both"/>
        <w:rPr>
          <w:sz w:val="20"/>
          <w:szCs w:val="20"/>
        </w:rPr>
      </w:pPr>
    </w:p>
    <w:p w14:paraId="5C054316" w14:textId="79EC16A2" w:rsidR="008A281A" w:rsidRDefault="008A281A" w:rsidP="008A281A">
      <w:pPr>
        <w:spacing w:line="240" w:lineRule="auto"/>
        <w:ind w:left="2268"/>
        <w:jc w:val="both"/>
        <w:rPr>
          <w:sz w:val="20"/>
          <w:szCs w:val="20"/>
        </w:rPr>
      </w:pPr>
      <w:r w:rsidRPr="008A281A">
        <w:rPr>
          <w:sz w:val="20"/>
          <w:szCs w:val="20"/>
        </w:rPr>
        <w:t>O mediador ou facilitador de aprendizagem, por sua vez, é um elemento (pode ser um estagiário) de apoio ao professor da turma comum em que haja algum aluno especial incluído que necessite de atendimento mais individualizado. Sua principal função é dar suporte pedagógico às atividades do cotidiano escolar - sem, com isso, substituir o papel do professor regente. O mediador acompanha o dia a dia do aluno, realizando, em concordância com a equipe escolar, as adaptações necessárias para o desenvolvimento de sua aprendizagem (</w:t>
      </w:r>
      <w:proofErr w:type="spellStart"/>
      <w:r w:rsidR="00DE2EE7" w:rsidRPr="008A281A">
        <w:rPr>
          <w:sz w:val="20"/>
          <w:szCs w:val="20"/>
        </w:rPr>
        <w:t>Glat</w:t>
      </w:r>
      <w:proofErr w:type="spellEnd"/>
      <w:r w:rsidR="00DE2EE7">
        <w:rPr>
          <w:sz w:val="20"/>
          <w:szCs w:val="20"/>
        </w:rPr>
        <w:t>;</w:t>
      </w:r>
      <w:r w:rsidR="00DE2EE7" w:rsidRPr="00DE2EE7">
        <w:rPr>
          <w:sz w:val="20"/>
          <w:szCs w:val="20"/>
        </w:rPr>
        <w:t xml:space="preserve"> </w:t>
      </w:r>
      <w:proofErr w:type="spellStart"/>
      <w:r w:rsidR="00DE2EE7" w:rsidRPr="008A281A">
        <w:rPr>
          <w:sz w:val="20"/>
          <w:szCs w:val="20"/>
        </w:rPr>
        <w:t>Pletsch</w:t>
      </w:r>
      <w:proofErr w:type="spellEnd"/>
      <w:r w:rsidRPr="008A281A">
        <w:rPr>
          <w:sz w:val="20"/>
          <w:szCs w:val="20"/>
        </w:rPr>
        <w:t>, 2011, p. 24).</w:t>
      </w:r>
    </w:p>
    <w:p w14:paraId="6D2EE134" w14:textId="77777777" w:rsidR="008A281A" w:rsidRDefault="008A281A" w:rsidP="008A281A">
      <w:pPr>
        <w:spacing w:line="360" w:lineRule="auto"/>
        <w:ind w:firstLine="709"/>
        <w:jc w:val="both"/>
        <w:rPr>
          <w:sz w:val="24"/>
          <w:szCs w:val="24"/>
        </w:rPr>
      </w:pPr>
    </w:p>
    <w:p w14:paraId="0C340E99" w14:textId="27B8A9F5" w:rsidR="008A281A" w:rsidRPr="008A281A" w:rsidRDefault="008A281A" w:rsidP="008A281A">
      <w:pPr>
        <w:spacing w:line="360" w:lineRule="auto"/>
        <w:ind w:firstLine="709"/>
        <w:jc w:val="both"/>
        <w:rPr>
          <w:sz w:val="24"/>
          <w:szCs w:val="24"/>
        </w:rPr>
      </w:pPr>
      <w:r w:rsidRPr="008A281A">
        <w:rPr>
          <w:sz w:val="24"/>
          <w:szCs w:val="24"/>
        </w:rPr>
        <w:t xml:space="preserve">Sendo assim, a proposta </w:t>
      </w:r>
      <w:r w:rsidR="00FA7AB3">
        <w:rPr>
          <w:sz w:val="24"/>
          <w:szCs w:val="24"/>
        </w:rPr>
        <w:t xml:space="preserve">apresentada nesse trabalho </w:t>
      </w:r>
      <w:r w:rsidRPr="008A281A">
        <w:rPr>
          <w:sz w:val="24"/>
          <w:szCs w:val="24"/>
        </w:rPr>
        <w:t>de uma Medida Cautelar Administrativa</w:t>
      </w:r>
      <w:r w:rsidR="005E52AE">
        <w:rPr>
          <w:rStyle w:val="Refdenotaderodap"/>
          <w:sz w:val="24"/>
          <w:szCs w:val="24"/>
        </w:rPr>
        <w:footnoteReference w:id="2"/>
      </w:r>
      <w:r w:rsidR="007344FF">
        <w:rPr>
          <w:sz w:val="24"/>
          <w:szCs w:val="24"/>
        </w:rPr>
        <w:t xml:space="preserve"> de inclusão</w:t>
      </w:r>
      <w:r w:rsidRPr="008A281A">
        <w:rPr>
          <w:sz w:val="24"/>
          <w:szCs w:val="24"/>
        </w:rPr>
        <w:t xml:space="preserve">, formalizada por meio da figura do mediador escolar provisório, busca atuar na visibilidade daquilo que tem sido sistematicamente silenciado e oferecer acolhimento institucional </w:t>
      </w:r>
      <w:r w:rsidR="00126EA1">
        <w:rPr>
          <w:sz w:val="24"/>
          <w:szCs w:val="24"/>
        </w:rPr>
        <w:t>na fase de fundada suspeita de TEA</w:t>
      </w:r>
      <w:r w:rsidR="00840381">
        <w:rPr>
          <w:sz w:val="24"/>
          <w:szCs w:val="24"/>
        </w:rPr>
        <w:t>.</w:t>
      </w:r>
    </w:p>
    <w:p w14:paraId="4420B39C" w14:textId="00C6A745" w:rsidR="008A281A" w:rsidRPr="008A281A" w:rsidRDefault="008A281A" w:rsidP="008A281A">
      <w:pPr>
        <w:spacing w:line="360" w:lineRule="auto"/>
        <w:ind w:firstLine="709"/>
        <w:jc w:val="both"/>
        <w:rPr>
          <w:sz w:val="24"/>
          <w:szCs w:val="24"/>
        </w:rPr>
      </w:pPr>
      <w:r w:rsidRPr="008A281A">
        <w:rPr>
          <w:sz w:val="24"/>
          <w:szCs w:val="24"/>
        </w:rPr>
        <w:t xml:space="preserve">O Estado do Maranhão tem </w:t>
      </w:r>
      <w:r w:rsidR="009D7597">
        <w:rPr>
          <w:sz w:val="24"/>
          <w:szCs w:val="24"/>
        </w:rPr>
        <w:t>avanços consistentes</w:t>
      </w:r>
      <w:r w:rsidRPr="008A281A">
        <w:rPr>
          <w:sz w:val="24"/>
          <w:szCs w:val="24"/>
        </w:rPr>
        <w:t xml:space="preserve"> na</w:t>
      </w:r>
      <w:r w:rsidR="00D5046A">
        <w:rPr>
          <w:sz w:val="24"/>
          <w:szCs w:val="24"/>
        </w:rPr>
        <w:t>s</w:t>
      </w:r>
      <w:r w:rsidRPr="008A281A">
        <w:rPr>
          <w:sz w:val="24"/>
          <w:szCs w:val="24"/>
        </w:rPr>
        <w:t xml:space="preserve"> garantias específicas para pessoas com </w:t>
      </w:r>
      <w:r w:rsidR="00757844">
        <w:rPr>
          <w:sz w:val="24"/>
          <w:szCs w:val="24"/>
        </w:rPr>
        <w:t>autismo</w:t>
      </w:r>
      <w:r w:rsidRPr="008A281A">
        <w:rPr>
          <w:sz w:val="24"/>
          <w:szCs w:val="24"/>
        </w:rPr>
        <w:t>, por meio de leis que buscam assegurar não apenas o acesso, mas também a permanência e o pleno desenvolvimento educacional. A Lei Estadual nº 11.379/2020 estabelece as diretrizes da Política Estadual de Proteção dos Direitos da Pessoa com TEA, promovendo ações intersetoriais voltadas à saúde, educação e assistência social, com enfoque nos princípios da dignidade</w:t>
      </w:r>
      <w:r w:rsidR="00A06D30">
        <w:rPr>
          <w:sz w:val="24"/>
          <w:szCs w:val="24"/>
        </w:rPr>
        <w:t xml:space="preserve"> e</w:t>
      </w:r>
      <w:r w:rsidRPr="008A281A">
        <w:rPr>
          <w:sz w:val="24"/>
          <w:szCs w:val="24"/>
        </w:rPr>
        <w:t xml:space="preserve"> inclusão</w:t>
      </w:r>
      <w:r w:rsidR="00A06D30">
        <w:rPr>
          <w:sz w:val="24"/>
          <w:szCs w:val="24"/>
        </w:rPr>
        <w:t>.</w:t>
      </w:r>
    </w:p>
    <w:p w14:paraId="35975212" w14:textId="7847233C" w:rsidR="008A281A" w:rsidRPr="008A281A" w:rsidRDefault="008A281A" w:rsidP="008A281A">
      <w:pPr>
        <w:spacing w:line="360" w:lineRule="auto"/>
        <w:ind w:firstLine="709"/>
        <w:jc w:val="both"/>
        <w:rPr>
          <w:sz w:val="24"/>
          <w:szCs w:val="24"/>
        </w:rPr>
      </w:pPr>
      <w:r w:rsidRPr="008A281A">
        <w:rPr>
          <w:sz w:val="24"/>
          <w:szCs w:val="24"/>
        </w:rPr>
        <w:t xml:space="preserve">Por sua vez, a Lei nº 11.456/2021 dispõe sobre as políticas de diagnóstico precoce e atendimento multiprofissional para pessoas com TEA no Maranhão, reforçando a importância da identificação antecipada das características do espectro </w:t>
      </w:r>
      <w:r w:rsidRPr="008A281A">
        <w:rPr>
          <w:sz w:val="24"/>
          <w:szCs w:val="24"/>
        </w:rPr>
        <w:lastRenderedPageBreak/>
        <w:t>e da atuação conjunta de profissionais da saúde, educação e assistência social</w:t>
      </w:r>
      <w:r w:rsidR="0005167D">
        <w:rPr>
          <w:sz w:val="24"/>
          <w:szCs w:val="24"/>
        </w:rPr>
        <w:t>. Assim</w:t>
      </w:r>
      <w:r w:rsidRPr="008A281A">
        <w:rPr>
          <w:sz w:val="24"/>
          <w:szCs w:val="24"/>
        </w:rPr>
        <w:t>, essencial à efetivação do direito à inclusão desde os primeiros anos de vida.</w:t>
      </w:r>
    </w:p>
    <w:p w14:paraId="093453AF" w14:textId="0BCE53A0" w:rsidR="008A281A" w:rsidRPr="008A281A" w:rsidRDefault="008A281A" w:rsidP="008A281A">
      <w:pPr>
        <w:spacing w:line="360" w:lineRule="auto"/>
        <w:ind w:firstLine="709"/>
        <w:jc w:val="both"/>
        <w:rPr>
          <w:sz w:val="24"/>
          <w:szCs w:val="24"/>
        </w:rPr>
      </w:pPr>
      <w:r w:rsidRPr="008A281A">
        <w:rPr>
          <w:sz w:val="24"/>
          <w:szCs w:val="24"/>
        </w:rPr>
        <w:t>Complementarmente, a Lei nº 12.264/2024 institu</w:t>
      </w:r>
      <w:r w:rsidR="008127AB">
        <w:rPr>
          <w:sz w:val="24"/>
          <w:szCs w:val="24"/>
        </w:rPr>
        <w:t>i</w:t>
      </w:r>
      <w:r w:rsidRPr="008A281A">
        <w:rPr>
          <w:sz w:val="24"/>
          <w:szCs w:val="24"/>
        </w:rPr>
        <w:t xml:space="preserve"> o Protocolo Individualizado de Avaliação (PIA), instrumento que visa adaptar o processo educacional às necessidades específicas dos alunos com TEA. Já a Lei nº 12.457/2024 estabelece as bases para a implementação do modelo de ensino estruturado conhecido como ABA (Análise do Comportamento Aplicada) nas escolas públicas estaduais.</w:t>
      </w:r>
    </w:p>
    <w:p w14:paraId="377B1D91" w14:textId="29DD5A4C" w:rsidR="008A281A" w:rsidRPr="008A281A" w:rsidRDefault="008A281A" w:rsidP="008A281A">
      <w:pPr>
        <w:spacing w:line="360" w:lineRule="auto"/>
        <w:ind w:firstLine="709"/>
        <w:jc w:val="both"/>
        <w:rPr>
          <w:sz w:val="24"/>
          <w:szCs w:val="24"/>
        </w:rPr>
      </w:pPr>
      <w:r w:rsidRPr="008A281A">
        <w:rPr>
          <w:sz w:val="24"/>
          <w:szCs w:val="24"/>
        </w:rPr>
        <w:t xml:space="preserve">No quesito jurisprudencial, em consulta ao </w:t>
      </w:r>
      <w:r w:rsidR="008141F9">
        <w:rPr>
          <w:sz w:val="24"/>
          <w:szCs w:val="24"/>
        </w:rPr>
        <w:t>‘</w:t>
      </w:r>
      <w:proofErr w:type="spellStart"/>
      <w:r w:rsidRPr="008A281A">
        <w:rPr>
          <w:sz w:val="24"/>
          <w:szCs w:val="24"/>
        </w:rPr>
        <w:t>Jurisconsult</w:t>
      </w:r>
      <w:proofErr w:type="spellEnd"/>
      <w:r w:rsidR="008141F9">
        <w:rPr>
          <w:sz w:val="24"/>
          <w:szCs w:val="24"/>
        </w:rPr>
        <w:t>’</w:t>
      </w:r>
      <w:r w:rsidRPr="008A281A">
        <w:rPr>
          <w:sz w:val="24"/>
          <w:szCs w:val="24"/>
        </w:rPr>
        <w:t xml:space="preserve"> do Tribunal de Justiça do Maranhão (</w:t>
      </w:r>
      <w:r w:rsidR="0065503D">
        <w:rPr>
          <w:sz w:val="24"/>
          <w:szCs w:val="24"/>
        </w:rPr>
        <w:t>TJMA</w:t>
      </w:r>
      <w:r w:rsidRPr="008A281A">
        <w:rPr>
          <w:sz w:val="24"/>
          <w:szCs w:val="24"/>
        </w:rPr>
        <w:t xml:space="preserve">), a busca pelas expressões “Transtorno do Espectro Autista” e “Tutor Escolar”, restringida ao período de 2021 a </w:t>
      </w:r>
      <w:r w:rsidR="00C33B0E">
        <w:rPr>
          <w:sz w:val="24"/>
          <w:szCs w:val="24"/>
        </w:rPr>
        <w:t xml:space="preserve">junho de </w:t>
      </w:r>
      <w:r w:rsidRPr="008A281A">
        <w:rPr>
          <w:sz w:val="24"/>
          <w:szCs w:val="24"/>
        </w:rPr>
        <w:t xml:space="preserve">2025, retornou 11 acórdãos em que se reconhece o dever do ente público de disponibilizar apoio pedagógico especializado a estudantes com TEA. </w:t>
      </w:r>
    </w:p>
    <w:p w14:paraId="092A17F9" w14:textId="6C79418A" w:rsidR="008A281A" w:rsidRPr="008A281A" w:rsidRDefault="008A281A" w:rsidP="008A281A">
      <w:pPr>
        <w:spacing w:line="360" w:lineRule="auto"/>
        <w:ind w:firstLine="709"/>
        <w:jc w:val="both"/>
        <w:rPr>
          <w:sz w:val="24"/>
          <w:szCs w:val="24"/>
        </w:rPr>
      </w:pPr>
      <w:r w:rsidRPr="008A281A">
        <w:rPr>
          <w:sz w:val="24"/>
          <w:szCs w:val="24"/>
        </w:rPr>
        <w:t>Verifica-se um entendimento consolidado da Corte no sentido de dar provimento a pedidos dessa natureza, mesmo diante de eventual alegação de limitação orçamentária por parte da Administração. As decisões consideram laudos médicos específicos e abordagens pedagógicas respaldadas por evidências científicas, em consonância com o direito à educação inclusiva.</w:t>
      </w:r>
    </w:p>
    <w:p w14:paraId="2EE66C32" w14:textId="1990952E" w:rsidR="008A281A" w:rsidRPr="008A281A" w:rsidRDefault="008A281A" w:rsidP="008A281A">
      <w:pPr>
        <w:spacing w:line="360" w:lineRule="auto"/>
        <w:ind w:firstLine="709"/>
        <w:jc w:val="both"/>
        <w:rPr>
          <w:sz w:val="24"/>
          <w:szCs w:val="24"/>
        </w:rPr>
      </w:pPr>
      <w:r w:rsidRPr="008A281A">
        <w:rPr>
          <w:sz w:val="24"/>
          <w:szCs w:val="24"/>
        </w:rPr>
        <w:t xml:space="preserve">Os julgados fundamentam-se de forma reiterada nos </w:t>
      </w:r>
      <w:proofErr w:type="spellStart"/>
      <w:r w:rsidRPr="008A281A">
        <w:rPr>
          <w:sz w:val="24"/>
          <w:szCs w:val="24"/>
        </w:rPr>
        <w:t>arts</w:t>
      </w:r>
      <w:proofErr w:type="spellEnd"/>
      <w:r w:rsidRPr="008A281A">
        <w:rPr>
          <w:sz w:val="24"/>
          <w:szCs w:val="24"/>
        </w:rPr>
        <w:t>. 5º, XXXV; 205; 206, I; 208, III da Constituição Federal; no art. 3º, parágrafo único, da Lei 12.764/2012; e no art. 28, XI, da Lei 13.146/2015. Destaca-se, ainda, a jurisprudência do Superior Tribunal de Justiça</w:t>
      </w:r>
      <w:r w:rsidR="00A466C1">
        <w:rPr>
          <w:sz w:val="24"/>
          <w:szCs w:val="24"/>
        </w:rPr>
        <w:t xml:space="preserve"> </w:t>
      </w:r>
      <w:r w:rsidR="00A466C1" w:rsidRPr="008A281A">
        <w:rPr>
          <w:sz w:val="24"/>
          <w:szCs w:val="24"/>
        </w:rPr>
        <w:t>que reforça a prevalência do mínimo existencial sobre a reserva do possível</w:t>
      </w:r>
      <w:r w:rsidR="00A466C1">
        <w:rPr>
          <w:sz w:val="24"/>
          <w:szCs w:val="24"/>
        </w:rPr>
        <w:t>,</w:t>
      </w:r>
      <w:r w:rsidRPr="008A281A">
        <w:rPr>
          <w:sz w:val="24"/>
          <w:szCs w:val="24"/>
        </w:rPr>
        <w:t xml:space="preserve"> REsp 736.524/SP, Rel. Min. Luiz Fux, 1ª T., DJ 03 abr. 2006.</w:t>
      </w:r>
    </w:p>
    <w:p w14:paraId="2CD77710" w14:textId="33A21757" w:rsidR="004F776F" w:rsidRDefault="0080783F" w:rsidP="008A281A">
      <w:pPr>
        <w:spacing w:line="360" w:lineRule="auto"/>
        <w:ind w:firstLine="709"/>
        <w:jc w:val="both"/>
        <w:rPr>
          <w:sz w:val="24"/>
          <w:szCs w:val="24"/>
        </w:rPr>
      </w:pPr>
      <w:r>
        <w:rPr>
          <w:sz w:val="24"/>
          <w:szCs w:val="24"/>
        </w:rPr>
        <w:t>A exemplo, o</w:t>
      </w:r>
      <w:r w:rsidR="008A281A" w:rsidRPr="008A281A">
        <w:rPr>
          <w:sz w:val="24"/>
          <w:szCs w:val="24"/>
        </w:rPr>
        <w:t xml:space="preserve"> AI n. 0810123-34.2024.8.10.0000, Rel. Des. </w:t>
      </w:r>
      <w:proofErr w:type="spellStart"/>
      <w:r w:rsidR="008A281A" w:rsidRPr="008A281A">
        <w:rPr>
          <w:sz w:val="24"/>
          <w:szCs w:val="24"/>
        </w:rPr>
        <w:t>Cleones</w:t>
      </w:r>
      <w:proofErr w:type="spellEnd"/>
      <w:r w:rsidR="008A281A" w:rsidRPr="008A281A">
        <w:rPr>
          <w:sz w:val="24"/>
          <w:szCs w:val="24"/>
        </w:rPr>
        <w:t xml:space="preserve"> Carvalho Cunha, 2ª Câmara de Direito Público, j. 28 nov. 2024</w:t>
      </w:r>
      <w:r w:rsidR="007A5F89">
        <w:rPr>
          <w:sz w:val="24"/>
          <w:szCs w:val="24"/>
        </w:rPr>
        <w:t>, con</w:t>
      </w:r>
      <w:r w:rsidR="00456659">
        <w:rPr>
          <w:sz w:val="24"/>
          <w:szCs w:val="24"/>
        </w:rPr>
        <w:t>s</w:t>
      </w:r>
      <w:r w:rsidR="007A5F89">
        <w:rPr>
          <w:sz w:val="24"/>
          <w:szCs w:val="24"/>
        </w:rPr>
        <w:t>ta</w:t>
      </w:r>
      <w:r w:rsidR="008A281A" w:rsidRPr="008A281A">
        <w:rPr>
          <w:sz w:val="24"/>
          <w:szCs w:val="24"/>
        </w:rPr>
        <w:t>:</w:t>
      </w:r>
    </w:p>
    <w:p w14:paraId="60FF6BAA" w14:textId="77777777" w:rsidR="004F776F" w:rsidRDefault="004F776F" w:rsidP="004F776F">
      <w:pPr>
        <w:spacing w:line="240" w:lineRule="auto"/>
        <w:ind w:left="2268"/>
        <w:jc w:val="both"/>
        <w:rPr>
          <w:sz w:val="20"/>
          <w:szCs w:val="20"/>
        </w:rPr>
      </w:pPr>
    </w:p>
    <w:p w14:paraId="51A5C313" w14:textId="77777777" w:rsidR="008A281A" w:rsidRPr="008A281A" w:rsidRDefault="008A281A" w:rsidP="008A281A">
      <w:pPr>
        <w:spacing w:line="240" w:lineRule="auto"/>
        <w:ind w:left="2268"/>
        <w:jc w:val="both"/>
        <w:rPr>
          <w:sz w:val="20"/>
          <w:szCs w:val="20"/>
        </w:rPr>
      </w:pPr>
      <w:r w:rsidRPr="008A281A">
        <w:rPr>
          <w:sz w:val="20"/>
          <w:szCs w:val="20"/>
        </w:rPr>
        <w:t>A decisão de indeferimento não apenas fere o direito à educação, mas à própria dignidade humana, negada ainda a possibilidade de ascensão social aos estudantes de baixa renda, especialmente àqueles com deficiência.</w:t>
      </w:r>
    </w:p>
    <w:p w14:paraId="5F398BB0" w14:textId="77777777" w:rsidR="008A281A" w:rsidRPr="008A281A" w:rsidRDefault="008A281A" w:rsidP="008A281A">
      <w:pPr>
        <w:spacing w:line="240" w:lineRule="auto"/>
        <w:ind w:left="2268"/>
        <w:jc w:val="both"/>
        <w:rPr>
          <w:sz w:val="20"/>
          <w:szCs w:val="20"/>
        </w:rPr>
      </w:pPr>
      <w:r w:rsidRPr="008A281A">
        <w:rPr>
          <w:sz w:val="20"/>
          <w:szCs w:val="20"/>
        </w:rPr>
        <w:t>[…] tenho por suficientes as provas que instruem a petição inicial, em especial os laudos médicos acostados, no sentido de demonstrar a necessidade de acompanhamento da adolescente N. O. N. (15 anos) em sala de aula por cuidador/mediador escolar […] o estudante portador de TEA no caso dos autos deve contar com um acompanhante exclusivo em sala de aula, sob pena de deixá-lo em situação de total desvantagem em relação aos demais alunos […].</w:t>
      </w:r>
    </w:p>
    <w:p w14:paraId="41D24435" w14:textId="273030B3" w:rsidR="004F776F" w:rsidRDefault="008A281A" w:rsidP="008A281A">
      <w:pPr>
        <w:spacing w:line="240" w:lineRule="auto"/>
        <w:ind w:left="2268"/>
        <w:jc w:val="both"/>
        <w:rPr>
          <w:sz w:val="20"/>
          <w:szCs w:val="20"/>
        </w:rPr>
      </w:pPr>
      <w:r w:rsidRPr="008A281A">
        <w:rPr>
          <w:sz w:val="20"/>
          <w:szCs w:val="20"/>
        </w:rPr>
        <w:lastRenderedPageBreak/>
        <w:t>E nem se fale em reserva do possível como impeditivo do acolhimento do pleito autoral, pois […] permitir que haja ressalva dessa reserva em relação ao mínimo existencial é desmedido e constitui-se em negativa da própria efetividade de tais direitos. (MARANHÃO, 2024).</w:t>
      </w:r>
    </w:p>
    <w:p w14:paraId="6F845D3E" w14:textId="77777777" w:rsidR="00C45F42" w:rsidRPr="00C45F42" w:rsidRDefault="00C45F42" w:rsidP="00C45F42">
      <w:pPr>
        <w:spacing w:line="360" w:lineRule="auto"/>
        <w:jc w:val="both"/>
        <w:rPr>
          <w:bCs/>
          <w:sz w:val="24"/>
          <w:szCs w:val="24"/>
        </w:rPr>
      </w:pPr>
    </w:p>
    <w:p w14:paraId="6C4D7993" w14:textId="368C95FD" w:rsidR="003F5FB2" w:rsidRPr="009A24D8" w:rsidRDefault="009A24D8" w:rsidP="00F17478">
      <w:pPr>
        <w:spacing w:line="360" w:lineRule="auto"/>
        <w:ind w:firstLine="709"/>
        <w:jc w:val="both"/>
        <w:rPr>
          <w:bCs/>
          <w:sz w:val="24"/>
          <w:szCs w:val="24"/>
        </w:rPr>
      </w:pPr>
      <w:r w:rsidRPr="009A24D8">
        <w:rPr>
          <w:bCs/>
          <w:sz w:val="24"/>
          <w:szCs w:val="24"/>
        </w:rPr>
        <w:t>Apesar dos avanços legais e judiciais, ainda faltam dados consolidados sobre o diagnóstico e o subdiagnóstico de meninas autistas no Maranhão</w:t>
      </w:r>
      <w:r w:rsidR="00DB658A">
        <w:rPr>
          <w:bCs/>
          <w:sz w:val="24"/>
          <w:szCs w:val="24"/>
        </w:rPr>
        <w:t>,</w:t>
      </w:r>
      <w:r w:rsidR="006464C3">
        <w:rPr>
          <w:bCs/>
          <w:sz w:val="24"/>
          <w:szCs w:val="24"/>
        </w:rPr>
        <w:t xml:space="preserve"> limitando o</w:t>
      </w:r>
      <w:r w:rsidR="00F374B4">
        <w:rPr>
          <w:bCs/>
          <w:sz w:val="24"/>
          <w:szCs w:val="24"/>
        </w:rPr>
        <w:t xml:space="preserve"> monitoramento de políticas públicas</w:t>
      </w:r>
      <w:r w:rsidRPr="009A24D8">
        <w:rPr>
          <w:bCs/>
          <w:sz w:val="24"/>
          <w:szCs w:val="24"/>
        </w:rPr>
        <w:t xml:space="preserve">. </w:t>
      </w:r>
      <w:r w:rsidR="00E61C1D">
        <w:rPr>
          <w:bCs/>
          <w:sz w:val="24"/>
          <w:szCs w:val="24"/>
        </w:rPr>
        <w:t>Inclusive</w:t>
      </w:r>
      <w:r w:rsidR="00D96E10">
        <w:rPr>
          <w:bCs/>
          <w:sz w:val="24"/>
          <w:szCs w:val="24"/>
        </w:rPr>
        <w:t>, a</w:t>
      </w:r>
      <w:r w:rsidR="00F17478" w:rsidRPr="00F17478">
        <w:rPr>
          <w:bCs/>
          <w:sz w:val="24"/>
          <w:szCs w:val="24"/>
        </w:rPr>
        <w:t xml:space="preserve"> exigência de laudos clínicos individuais como condição para a aplicação normativa e judicial perpetua a invisibilidade institucional de crianças em fase de suspeita diagnóstic</w:t>
      </w:r>
      <w:r w:rsidR="004B6620">
        <w:rPr>
          <w:bCs/>
          <w:sz w:val="24"/>
          <w:szCs w:val="24"/>
        </w:rPr>
        <w:t>a</w:t>
      </w:r>
      <w:r w:rsidRPr="009A24D8">
        <w:rPr>
          <w:bCs/>
          <w:sz w:val="24"/>
          <w:szCs w:val="24"/>
        </w:rPr>
        <w:t>.</w:t>
      </w:r>
    </w:p>
    <w:p w14:paraId="2B7B1EC8" w14:textId="77777777" w:rsidR="003F5FB2" w:rsidRPr="009A24D8" w:rsidRDefault="003F5FB2" w:rsidP="004F776F">
      <w:pPr>
        <w:spacing w:line="360" w:lineRule="auto"/>
        <w:jc w:val="both"/>
        <w:rPr>
          <w:bCs/>
          <w:sz w:val="24"/>
          <w:szCs w:val="24"/>
        </w:rPr>
      </w:pPr>
    </w:p>
    <w:p w14:paraId="2B03704F" w14:textId="0D32AE18" w:rsidR="004F776F" w:rsidRDefault="005E7207" w:rsidP="004F776F">
      <w:pPr>
        <w:spacing w:line="360" w:lineRule="auto"/>
        <w:jc w:val="both"/>
        <w:rPr>
          <w:b/>
          <w:sz w:val="24"/>
          <w:szCs w:val="24"/>
        </w:rPr>
      </w:pPr>
      <w:r>
        <w:rPr>
          <w:b/>
          <w:sz w:val="24"/>
          <w:szCs w:val="24"/>
        </w:rPr>
        <w:t>4</w:t>
      </w:r>
      <w:r w:rsidR="004F776F">
        <w:rPr>
          <w:b/>
          <w:sz w:val="24"/>
          <w:szCs w:val="24"/>
        </w:rPr>
        <w:tab/>
        <w:t>CONCLUSÃO</w:t>
      </w:r>
    </w:p>
    <w:p w14:paraId="3DF8603D" w14:textId="77777777" w:rsidR="004F776F" w:rsidRDefault="004F776F" w:rsidP="004F776F">
      <w:pPr>
        <w:spacing w:line="360" w:lineRule="auto"/>
        <w:jc w:val="both"/>
        <w:rPr>
          <w:sz w:val="24"/>
          <w:szCs w:val="24"/>
        </w:rPr>
      </w:pPr>
    </w:p>
    <w:p w14:paraId="0D906C04" w14:textId="61B393DC" w:rsidR="004F1955" w:rsidRDefault="0049372B" w:rsidP="007225C7">
      <w:pPr>
        <w:spacing w:line="360" w:lineRule="auto"/>
        <w:ind w:firstLine="709"/>
        <w:jc w:val="both"/>
        <w:rPr>
          <w:sz w:val="24"/>
          <w:szCs w:val="24"/>
        </w:rPr>
      </w:pPr>
      <w:r w:rsidRPr="0049372B">
        <w:rPr>
          <w:sz w:val="24"/>
          <w:szCs w:val="24"/>
        </w:rPr>
        <w:t xml:space="preserve">A presente investigação </w:t>
      </w:r>
      <w:r w:rsidR="00167D4A" w:rsidRPr="00167D4A">
        <w:rPr>
          <w:sz w:val="24"/>
          <w:szCs w:val="24"/>
        </w:rPr>
        <w:t xml:space="preserve">relacionou o subdiagnóstico de meninas com Transtorno do Espectro Autista a um processo contínuo de invisibilização, que se expressa na ausência de dados estatísticos locais e na reprodução de uma lógica de exclusão sustentada por formas de violência epistêmica. </w:t>
      </w:r>
      <w:r w:rsidR="007225C7">
        <w:rPr>
          <w:sz w:val="24"/>
          <w:szCs w:val="24"/>
        </w:rPr>
        <w:t xml:space="preserve">Dessa forma, </w:t>
      </w:r>
      <w:r w:rsidR="00167D4A" w:rsidRPr="00167D4A">
        <w:rPr>
          <w:sz w:val="24"/>
          <w:szCs w:val="24"/>
        </w:rPr>
        <w:t>o trabalho busca contribuir para a construção de instrumentos que garantam respostas antecipadas e eficazes.</w:t>
      </w:r>
      <w:r w:rsidRPr="0049372B">
        <w:rPr>
          <w:sz w:val="24"/>
          <w:szCs w:val="24"/>
        </w:rPr>
        <w:t xml:space="preserve"> </w:t>
      </w:r>
    </w:p>
    <w:p w14:paraId="15F36EDF" w14:textId="6E110534" w:rsidR="0049372B" w:rsidRPr="0049372B" w:rsidRDefault="0049372B" w:rsidP="0049372B">
      <w:pPr>
        <w:spacing w:line="360" w:lineRule="auto"/>
        <w:ind w:firstLine="709"/>
        <w:jc w:val="both"/>
        <w:rPr>
          <w:sz w:val="24"/>
          <w:szCs w:val="24"/>
        </w:rPr>
      </w:pPr>
      <w:r w:rsidRPr="0049372B">
        <w:rPr>
          <w:sz w:val="24"/>
          <w:szCs w:val="24"/>
        </w:rPr>
        <w:t>Dados da Sociedade Brasileira de Pediatria indicam um intervalo médio de 34 meses entre a suspeita clínica e o diagnóstico formal, período no qual alunas permanecem sem adaptações institucionais, o que contribui para o agravamento de quadros como ansiedade, depressão e fracasso escolar</w:t>
      </w:r>
      <w:r w:rsidR="00414241">
        <w:rPr>
          <w:sz w:val="24"/>
          <w:szCs w:val="24"/>
        </w:rPr>
        <w:t xml:space="preserve"> </w:t>
      </w:r>
      <w:r w:rsidR="00414241" w:rsidRPr="0049372B">
        <w:rPr>
          <w:sz w:val="24"/>
          <w:szCs w:val="24"/>
        </w:rPr>
        <w:t>(SBP, 2019)</w:t>
      </w:r>
      <w:r w:rsidRPr="0049372B">
        <w:rPr>
          <w:sz w:val="24"/>
          <w:szCs w:val="24"/>
        </w:rPr>
        <w:t>.</w:t>
      </w:r>
    </w:p>
    <w:p w14:paraId="1FA61124" w14:textId="2A2549C5" w:rsidR="00E21550" w:rsidRDefault="0049372B" w:rsidP="0049372B">
      <w:pPr>
        <w:spacing w:line="360" w:lineRule="auto"/>
        <w:ind w:firstLine="709"/>
        <w:jc w:val="both"/>
        <w:rPr>
          <w:sz w:val="24"/>
          <w:szCs w:val="24"/>
        </w:rPr>
      </w:pPr>
      <w:r w:rsidRPr="0049372B">
        <w:rPr>
          <w:sz w:val="24"/>
          <w:szCs w:val="24"/>
        </w:rPr>
        <w:t xml:space="preserve">A análise da Lei Estadual nº 11.456/2021 demonstrou avanços no campo do diagnóstico e do atendimento multiprofissional, mas revelou a ausência de medidas protetivas durante a fase de </w:t>
      </w:r>
      <w:r w:rsidR="00383C2B">
        <w:rPr>
          <w:sz w:val="24"/>
          <w:szCs w:val="24"/>
        </w:rPr>
        <w:t xml:space="preserve">fundada </w:t>
      </w:r>
      <w:r w:rsidRPr="0049372B">
        <w:rPr>
          <w:sz w:val="24"/>
          <w:szCs w:val="24"/>
        </w:rPr>
        <w:t>suspeita diagnóstica. Como resposta normativa, propôs</w:t>
      </w:r>
      <w:r w:rsidR="00031FFD">
        <w:rPr>
          <w:sz w:val="24"/>
          <w:szCs w:val="24"/>
        </w:rPr>
        <w:t>-se</w:t>
      </w:r>
      <w:r w:rsidR="008348EC">
        <w:rPr>
          <w:sz w:val="24"/>
          <w:szCs w:val="24"/>
        </w:rPr>
        <w:t>,</w:t>
      </w:r>
      <w:r w:rsidRPr="0049372B">
        <w:rPr>
          <w:sz w:val="24"/>
          <w:szCs w:val="24"/>
        </w:rPr>
        <w:t xml:space="preserve"> </w:t>
      </w:r>
      <w:r w:rsidR="00DF0B6B">
        <w:rPr>
          <w:sz w:val="24"/>
          <w:szCs w:val="24"/>
        </w:rPr>
        <w:t xml:space="preserve">por meio de </w:t>
      </w:r>
      <w:r w:rsidR="008348EC">
        <w:rPr>
          <w:sz w:val="24"/>
          <w:szCs w:val="24"/>
        </w:rPr>
        <w:t xml:space="preserve">alteração da </w:t>
      </w:r>
      <w:r w:rsidR="00DA69D1">
        <w:rPr>
          <w:sz w:val="24"/>
          <w:szCs w:val="24"/>
        </w:rPr>
        <w:t>l</w:t>
      </w:r>
      <w:r w:rsidR="008348EC">
        <w:rPr>
          <w:sz w:val="24"/>
          <w:szCs w:val="24"/>
        </w:rPr>
        <w:t xml:space="preserve">ei supra, </w:t>
      </w:r>
      <w:r w:rsidRPr="0049372B">
        <w:rPr>
          <w:sz w:val="24"/>
          <w:szCs w:val="24"/>
        </w:rPr>
        <w:t xml:space="preserve">a criação da Medida Cautelar Administrativa Educacional, </w:t>
      </w:r>
      <w:r w:rsidR="00DA69D1">
        <w:rPr>
          <w:sz w:val="24"/>
          <w:szCs w:val="24"/>
        </w:rPr>
        <w:t>que</w:t>
      </w:r>
      <w:r w:rsidR="00123820">
        <w:rPr>
          <w:sz w:val="24"/>
          <w:szCs w:val="24"/>
        </w:rPr>
        <w:t xml:space="preserve"> </w:t>
      </w:r>
      <w:r w:rsidR="006C159C">
        <w:rPr>
          <w:sz w:val="24"/>
          <w:szCs w:val="24"/>
        </w:rPr>
        <w:t>consta em nota de rodapé</w:t>
      </w:r>
      <w:r w:rsidR="00DF0B6B">
        <w:rPr>
          <w:sz w:val="24"/>
          <w:szCs w:val="24"/>
        </w:rPr>
        <w:t xml:space="preserve"> “item 2</w:t>
      </w:r>
      <w:r w:rsidR="00F91249">
        <w:rPr>
          <w:sz w:val="24"/>
          <w:szCs w:val="24"/>
        </w:rPr>
        <w:t>”</w:t>
      </w:r>
      <w:r w:rsidRPr="0049372B">
        <w:rPr>
          <w:sz w:val="24"/>
          <w:szCs w:val="24"/>
        </w:rPr>
        <w:t xml:space="preserve">. </w:t>
      </w:r>
    </w:p>
    <w:p w14:paraId="5DC22202" w14:textId="258BB046" w:rsidR="0049372B" w:rsidRPr="0049372B" w:rsidRDefault="0049372B" w:rsidP="00CD2C90">
      <w:pPr>
        <w:spacing w:line="360" w:lineRule="auto"/>
        <w:ind w:firstLine="709"/>
        <w:jc w:val="both"/>
        <w:rPr>
          <w:sz w:val="24"/>
          <w:szCs w:val="24"/>
        </w:rPr>
      </w:pPr>
      <w:r w:rsidRPr="0049372B">
        <w:rPr>
          <w:sz w:val="24"/>
          <w:szCs w:val="24"/>
        </w:rPr>
        <w:t>A medida prevê a designação temporária de um(a) mediador(a) escolar capacitado(a), pelo período inicial de seis meses, prorrogável, assegurando suporte educacional durante o processo de avaliação clínica.</w:t>
      </w:r>
      <w:r w:rsidR="00CD2C90">
        <w:rPr>
          <w:sz w:val="24"/>
          <w:szCs w:val="24"/>
        </w:rPr>
        <w:t xml:space="preserve"> </w:t>
      </w:r>
      <w:r w:rsidR="000F663F">
        <w:rPr>
          <w:sz w:val="24"/>
          <w:szCs w:val="24"/>
        </w:rPr>
        <w:t>F</w:t>
      </w:r>
      <w:r w:rsidRPr="0049372B">
        <w:rPr>
          <w:sz w:val="24"/>
          <w:szCs w:val="24"/>
        </w:rPr>
        <w:t xml:space="preserve">undamenta-se nos princípios </w:t>
      </w:r>
      <w:r w:rsidRPr="0049372B">
        <w:rPr>
          <w:sz w:val="24"/>
          <w:szCs w:val="24"/>
        </w:rPr>
        <w:lastRenderedPageBreak/>
        <w:t>constitucionais da precaução, da prioridade absoluta à infância e da dignidade da pessoa humana.</w:t>
      </w:r>
    </w:p>
    <w:p w14:paraId="2FE1BB54" w14:textId="48882740" w:rsidR="00220855" w:rsidRDefault="0049372B" w:rsidP="0049372B">
      <w:pPr>
        <w:spacing w:line="360" w:lineRule="auto"/>
        <w:ind w:firstLine="709"/>
        <w:jc w:val="both"/>
        <w:rPr>
          <w:sz w:val="24"/>
          <w:szCs w:val="24"/>
        </w:rPr>
      </w:pPr>
      <w:r w:rsidRPr="0049372B">
        <w:rPr>
          <w:sz w:val="24"/>
          <w:szCs w:val="24"/>
        </w:rPr>
        <w:t>A viabilidade financeira da medida foi estimada com base em um projeto-piloto, que projeta um investimento anual de R$ 9,4 milhões para atendimento a aproximadamente 1.700 alun</w:t>
      </w:r>
      <w:r w:rsidR="00710CEF">
        <w:rPr>
          <w:sz w:val="24"/>
          <w:szCs w:val="24"/>
        </w:rPr>
        <w:t>a</w:t>
      </w:r>
      <w:r w:rsidRPr="0049372B">
        <w:rPr>
          <w:sz w:val="24"/>
          <w:szCs w:val="24"/>
        </w:rPr>
        <w:t>s</w:t>
      </w:r>
      <w:r w:rsidR="00342405">
        <w:rPr>
          <w:sz w:val="24"/>
          <w:szCs w:val="24"/>
        </w:rPr>
        <w:t xml:space="preserve">, com implementação inicial </w:t>
      </w:r>
      <w:r w:rsidR="00656D58">
        <w:rPr>
          <w:sz w:val="24"/>
          <w:szCs w:val="24"/>
        </w:rPr>
        <w:t>nos 10 (dez</w:t>
      </w:r>
      <w:r w:rsidR="008A3D1E">
        <w:rPr>
          <w:sz w:val="24"/>
          <w:szCs w:val="24"/>
        </w:rPr>
        <w:t>)</w:t>
      </w:r>
      <w:r w:rsidR="00656D58">
        <w:rPr>
          <w:sz w:val="24"/>
          <w:szCs w:val="24"/>
        </w:rPr>
        <w:t xml:space="preserve"> municípios </w:t>
      </w:r>
      <w:r w:rsidR="008A3D1E">
        <w:rPr>
          <w:sz w:val="24"/>
          <w:szCs w:val="24"/>
        </w:rPr>
        <w:t>mais populosos do Maranhão</w:t>
      </w:r>
      <w:r w:rsidRPr="0049372B">
        <w:rPr>
          <w:sz w:val="24"/>
          <w:szCs w:val="24"/>
        </w:rPr>
        <w:t>. O cálculo considera a remuneração média de mediadores(as), encargos sociais e custos de capacitação continuada.</w:t>
      </w:r>
    </w:p>
    <w:p w14:paraId="7B9F7C37" w14:textId="01DC51B9" w:rsidR="0049372B" w:rsidRPr="0049372B" w:rsidRDefault="0049372B" w:rsidP="0049372B">
      <w:pPr>
        <w:spacing w:line="360" w:lineRule="auto"/>
        <w:ind w:firstLine="709"/>
        <w:jc w:val="both"/>
        <w:rPr>
          <w:sz w:val="24"/>
          <w:szCs w:val="24"/>
        </w:rPr>
      </w:pPr>
      <w:r w:rsidRPr="0049372B">
        <w:rPr>
          <w:sz w:val="24"/>
          <w:szCs w:val="24"/>
        </w:rPr>
        <w:t>Os recursos seriam viabilizados por meio da criação do Fundo Estadual de Apoio à Pessoa Autista (FEAPA), cujas fontes incluem incentivos fiscais, multas por descumprimento de normas de acessibilidade e doações públicas e privadas, sem gerar aumento de carga tributária.</w:t>
      </w:r>
    </w:p>
    <w:p w14:paraId="306D53DA" w14:textId="77777777" w:rsidR="0049372B" w:rsidRPr="0049372B" w:rsidRDefault="0049372B" w:rsidP="0049372B">
      <w:pPr>
        <w:spacing w:line="360" w:lineRule="auto"/>
        <w:ind w:firstLine="709"/>
        <w:jc w:val="both"/>
        <w:rPr>
          <w:sz w:val="24"/>
          <w:szCs w:val="24"/>
        </w:rPr>
      </w:pPr>
      <w:r w:rsidRPr="0049372B">
        <w:rPr>
          <w:sz w:val="24"/>
          <w:szCs w:val="24"/>
        </w:rPr>
        <w:t>Ainda que promissora, a proposta requer validação empírica por meio de sua implementação em caráter experimental. Recomenda-se, portanto, a realização de estudos complementares com ampliação da base territorial, avaliação do impacto da mediação provisória no desempenho escolar e análise interseccional envolvendo gênero, raça e território. Também se sugere investigar os efeitos da formação docente continuada focada no reconhecimento de sinais do autismo em meninas.</w:t>
      </w:r>
    </w:p>
    <w:p w14:paraId="43F8A418" w14:textId="5ACFE003" w:rsidR="00EE5D18" w:rsidRDefault="0049372B" w:rsidP="00230A21">
      <w:pPr>
        <w:spacing w:line="360" w:lineRule="auto"/>
        <w:ind w:firstLine="709"/>
        <w:jc w:val="both"/>
        <w:rPr>
          <w:sz w:val="24"/>
          <w:szCs w:val="24"/>
        </w:rPr>
      </w:pPr>
      <w:r w:rsidRPr="0049372B">
        <w:rPr>
          <w:sz w:val="24"/>
          <w:szCs w:val="24"/>
        </w:rPr>
        <w:t>Os achados da pesquisa fornecem subsídios relevantes para a construção de políticas públicas baseadas em evidências e sensíveis às desigualdades estruturais. A implementação de medidas administrativas provisórias pode reduzir a judicialização da inclusão escolar, reafirmando o compromisso constitucional com uma educação verdadeiramente inclusiva.</w:t>
      </w:r>
    </w:p>
    <w:p w14:paraId="7E256E3B" w14:textId="77777777" w:rsidR="005333D4" w:rsidRPr="009D304B" w:rsidRDefault="005333D4" w:rsidP="00230A21">
      <w:pPr>
        <w:spacing w:line="360" w:lineRule="auto"/>
        <w:jc w:val="both"/>
        <w:rPr>
          <w:bCs/>
          <w:sz w:val="24"/>
          <w:szCs w:val="24"/>
        </w:rPr>
      </w:pPr>
    </w:p>
    <w:p w14:paraId="13FFAD90" w14:textId="0C0BFBF9" w:rsidR="004F776F" w:rsidRPr="00CB33DD" w:rsidRDefault="004F776F" w:rsidP="00230A21">
      <w:pPr>
        <w:spacing w:line="360" w:lineRule="auto"/>
        <w:jc w:val="center"/>
        <w:rPr>
          <w:bCs/>
          <w:sz w:val="24"/>
          <w:szCs w:val="24"/>
        </w:rPr>
      </w:pPr>
      <w:r>
        <w:rPr>
          <w:b/>
          <w:sz w:val="24"/>
          <w:szCs w:val="24"/>
        </w:rPr>
        <w:t>REFERÊNCIAS</w:t>
      </w:r>
    </w:p>
    <w:p w14:paraId="52B227C1" w14:textId="77777777" w:rsidR="004F776F" w:rsidRPr="005D689A" w:rsidRDefault="004F776F" w:rsidP="00230A21">
      <w:pPr>
        <w:spacing w:line="360" w:lineRule="auto"/>
        <w:jc w:val="both"/>
        <w:rPr>
          <w:sz w:val="18"/>
          <w:szCs w:val="18"/>
        </w:rPr>
      </w:pPr>
    </w:p>
    <w:p w14:paraId="22ADB23F" w14:textId="77777777" w:rsidR="00230A21" w:rsidRPr="008A281A" w:rsidRDefault="00230A21" w:rsidP="00230A21">
      <w:pPr>
        <w:spacing w:after="180" w:line="240" w:lineRule="auto"/>
        <w:rPr>
          <w:sz w:val="24"/>
          <w:szCs w:val="24"/>
        </w:rPr>
      </w:pPr>
      <w:r w:rsidRPr="008A281A">
        <w:rPr>
          <w:sz w:val="24"/>
          <w:szCs w:val="24"/>
        </w:rPr>
        <w:t xml:space="preserve">AMERICAN PSYCHIATRIC ASSOCIATION. </w:t>
      </w:r>
      <w:r w:rsidRPr="007143AD">
        <w:rPr>
          <w:b/>
          <w:bCs/>
          <w:sz w:val="24"/>
          <w:szCs w:val="24"/>
        </w:rPr>
        <w:t>Manual diagnóstico e estatístico de transtornos mentais: DSM-5</w:t>
      </w:r>
      <w:r w:rsidRPr="008A281A">
        <w:rPr>
          <w:sz w:val="24"/>
          <w:szCs w:val="24"/>
        </w:rPr>
        <w:t>. 5. ed. Porto Alegre: Artmed, 2014.</w:t>
      </w:r>
    </w:p>
    <w:p w14:paraId="7C9BEAFB" w14:textId="77777777" w:rsidR="00230A21" w:rsidRPr="008A281A" w:rsidRDefault="00230A21" w:rsidP="00230A21">
      <w:pPr>
        <w:spacing w:before="180" w:after="180" w:line="240" w:lineRule="auto"/>
        <w:rPr>
          <w:sz w:val="24"/>
          <w:szCs w:val="24"/>
        </w:rPr>
      </w:pPr>
      <w:r w:rsidRPr="008A281A">
        <w:rPr>
          <w:sz w:val="24"/>
          <w:szCs w:val="24"/>
        </w:rPr>
        <w:t xml:space="preserve">BRASIL. </w:t>
      </w:r>
      <w:r w:rsidRPr="007143AD">
        <w:rPr>
          <w:b/>
          <w:bCs/>
          <w:sz w:val="24"/>
          <w:szCs w:val="24"/>
        </w:rPr>
        <w:t>Constituição da República Federativa do Brasil de 1988</w:t>
      </w:r>
      <w:r w:rsidRPr="008A281A">
        <w:rPr>
          <w:sz w:val="24"/>
          <w:szCs w:val="24"/>
        </w:rPr>
        <w:t xml:space="preserve">. Brasília, DF: Diário Oficial da União, 5 out. 1988. </w:t>
      </w:r>
    </w:p>
    <w:p w14:paraId="0492A60F" w14:textId="77777777" w:rsidR="00230A21" w:rsidRPr="008A281A" w:rsidRDefault="00230A21" w:rsidP="00230A21">
      <w:pPr>
        <w:spacing w:before="180" w:after="180" w:line="240" w:lineRule="auto"/>
        <w:rPr>
          <w:sz w:val="24"/>
          <w:szCs w:val="24"/>
        </w:rPr>
      </w:pPr>
      <w:r w:rsidRPr="008A281A">
        <w:rPr>
          <w:sz w:val="24"/>
          <w:szCs w:val="24"/>
        </w:rPr>
        <w:t xml:space="preserve">BRASIL. </w:t>
      </w:r>
      <w:r w:rsidRPr="007143AD">
        <w:rPr>
          <w:b/>
          <w:bCs/>
          <w:sz w:val="24"/>
          <w:szCs w:val="24"/>
        </w:rPr>
        <w:t>Decreto Legislativo nº 186, de 9 jul. 2008</w:t>
      </w:r>
      <w:r w:rsidRPr="008A281A">
        <w:rPr>
          <w:sz w:val="24"/>
          <w:szCs w:val="24"/>
        </w:rPr>
        <w:t xml:space="preserve">. Aprova a Convenção sobre os Direitos das Pessoas com Deficiência. Diário Oficial da União, 10 jul. 2008. </w:t>
      </w:r>
    </w:p>
    <w:p w14:paraId="08F93F21" w14:textId="77777777" w:rsidR="00230A21" w:rsidRPr="008A281A" w:rsidRDefault="00230A21" w:rsidP="00230A21">
      <w:pPr>
        <w:spacing w:before="180" w:after="180" w:line="240" w:lineRule="auto"/>
        <w:rPr>
          <w:sz w:val="24"/>
          <w:szCs w:val="24"/>
        </w:rPr>
      </w:pPr>
      <w:r w:rsidRPr="008A281A">
        <w:rPr>
          <w:sz w:val="24"/>
          <w:szCs w:val="24"/>
        </w:rPr>
        <w:lastRenderedPageBreak/>
        <w:t xml:space="preserve">BRASIL. </w:t>
      </w:r>
      <w:r w:rsidRPr="007143AD">
        <w:rPr>
          <w:b/>
          <w:bCs/>
          <w:sz w:val="24"/>
          <w:szCs w:val="24"/>
        </w:rPr>
        <w:t>Decreto nº 6.949, de 25 ago. 2009</w:t>
      </w:r>
      <w:r w:rsidRPr="008A281A">
        <w:rPr>
          <w:sz w:val="24"/>
          <w:szCs w:val="24"/>
        </w:rPr>
        <w:t>. Promulga a Convenção sobre os Direitos das Pessoas com Deficiência. Diário Oficial da União, 26 ago. 2009.</w:t>
      </w:r>
    </w:p>
    <w:p w14:paraId="5CF798DF" w14:textId="77777777" w:rsidR="00230A21" w:rsidRPr="008A281A" w:rsidRDefault="00230A21" w:rsidP="00230A21">
      <w:pPr>
        <w:spacing w:before="180" w:after="180" w:line="240" w:lineRule="auto"/>
        <w:rPr>
          <w:sz w:val="24"/>
          <w:szCs w:val="24"/>
        </w:rPr>
      </w:pPr>
      <w:r w:rsidRPr="008A281A">
        <w:rPr>
          <w:sz w:val="24"/>
          <w:szCs w:val="24"/>
        </w:rPr>
        <w:t xml:space="preserve">BRASIL. </w:t>
      </w:r>
      <w:r w:rsidRPr="007143AD">
        <w:rPr>
          <w:b/>
          <w:bCs/>
          <w:sz w:val="24"/>
          <w:szCs w:val="24"/>
        </w:rPr>
        <w:t>Lei nº 12.764, de 27 dez. 2012</w:t>
      </w:r>
      <w:r w:rsidRPr="008A281A">
        <w:rPr>
          <w:sz w:val="24"/>
          <w:szCs w:val="24"/>
        </w:rPr>
        <w:t>. Institui a Política Nacional de Proteção dos Direitos da Pessoa com TEA. Diário Oficial da União, 28 dez. 2012.</w:t>
      </w:r>
    </w:p>
    <w:p w14:paraId="21B09295" w14:textId="77777777" w:rsidR="00230A21" w:rsidRPr="008A281A" w:rsidRDefault="00230A21" w:rsidP="00230A21">
      <w:pPr>
        <w:spacing w:before="180" w:after="180" w:line="240" w:lineRule="auto"/>
        <w:rPr>
          <w:sz w:val="24"/>
          <w:szCs w:val="24"/>
        </w:rPr>
      </w:pPr>
      <w:r w:rsidRPr="008A281A">
        <w:rPr>
          <w:sz w:val="24"/>
          <w:szCs w:val="24"/>
        </w:rPr>
        <w:t xml:space="preserve">BRASIL. </w:t>
      </w:r>
      <w:r w:rsidRPr="007143AD">
        <w:rPr>
          <w:b/>
          <w:bCs/>
          <w:sz w:val="24"/>
          <w:szCs w:val="24"/>
        </w:rPr>
        <w:t>Lei nº 13.146, de 6 jul. 2015</w:t>
      </w:r>
      <w:r w:rsidRPr="008A281A">
        <w:rPr>
          <w:sz w:val="24"/>
          <w:szCs w:val="24"/>
        </w:rPr>
        <w:t>. Institui a Lei Brasileira de Inclusão da Pessoa com Deficiência. Diário Oficial da União, 7 jul. 2015</w:t>
      </w:r>
      <w:r>
        <w:rPr>
          <w:sz w:val="24"/>
          <w:szCs w:val="24"/>
        </w:rPr>
        <w:t>.</w:t>
      </w:r>
    </w:p>
    <w:p w14:paraId="0DF4235E" w14:textId="77777777" w:rsidR="00230A21" w:rsidRPr="008A281A" w:rsidRDefault="00230A21" w:rsidP="00230A21">
      <w:pPr>
        <w:spacing w:before="180" w:after="180" w:line="240" w:lineRule="auto"/>
        <w:rPr>
          <w:sz w:val="24"/>
          <w:szCs w:val="24"/>
        </w:rPr>
      </w:pPr>
      <w:r w:rsidRPr="008A281A">
        <w:rPr>
          <w:sz w:val="24"/>
          <w:szCs w:val="24"/>
        </w:rPr>
        <w:t xml:space="preserve">BRASIL. </w:t>
      </w:r>
      <w:r w:rsidRPr="007143AD">
        <w:rPr>
          <w:b/>
          <w:bCs/>
          <w:sz w:val="24"/>
          <w:szCs w:val="24"/>
        </w:rPr>
        <w:t>Lei nº 9.394, de 20 dez. 1996</w:t>
      </w:r>
      <w:r w:rsidRPr="008A281A">
        <w:rPr>
          <w:sz w:val="24"/>
          <w:szCs w:val="24"/>
        </w:rPr>
        <w:t>. Estabelece as diretrizes e bases da educação nacional. Diário Oficial da União, 23 dez. 1996.</w:t>
      </w:r>
    </w:p>
    <w:p w14:paraId="69FD7A54" w14:textId="77777777" w:rsidR="00230A21" w:rsidRPr="008A281A" w:rsidRDefault="00230A21" w:rsidP="00230A21">
      <w:pPr>
        <w:spacing w:before="180" w:after="180" w:line="240" w:lineRule="auto"/>
        <w:rPr>
          <w:sz w:val="24"/>
          <w:szCs w:val="24"/>
        </w:rPr>
      </w:pPr>
      <w:r w:rsidRPr="008A281A">
        <w:rPr>
          <w:sz w:val="24"/>
          <w:szCs w:val="24"/>
        </w:rPr>
        <w:t xml:space="preserve">BRASIL. Supremo Tribunal Federal. </w:t>
      </w:r>
      <w:r w:rsidRPr="007143AD">
        <w:rPr>
          <w:b/>
          <w:bCs/>
          <w:sz w:val="24"/>
          <w:szCs w:val="24"/>
        </w:rPr>
        <w:t>ADI nº 6.590.</w:t>
      </w:r>
      <w:r w:rsidRPr="008A281A">
        <w:rPr>
          <w:sz w:val="24"/>
          <w:szCs w:val="24"/>
        </w:rPr>
        <w:t xml:space="preserve"> Rel. Min. Dias Toffoli. Julgado em 1º mar. 2021. Disponível em: https://redir.stf.jus.br/paginadorpub. Acesso em: 29 jun. 2025.</w:t>
      </w:r>
    </w:p>
    <w:p w14:paraId="3C4AD6A9" w14:textId="77777777" w:rsidR="00230A21" w:rsidRPr="008A281A" w:rsidRDefault="00230A21" w:rsidP="00230A21">
      <w:pPr>
        <w:spacing w:before="180" w:after="180" w:line="240" w:lineRule="auto"/>
        <w:rPr>
          <w:sz w:val="24"/>
          <w:szCs w:val="24"/>
        </w:rPr>
      </w:pPr>
      <w:r w:rsidRPr="008A281A">
        <w:rPr>
          <w:sz w:val="24"/>
          <w:szCs w:val="24"/>
        </w:rPr>
        <w:t xml:space="preserve">BRUNETTO, D.; VARGAS, G. </w:t>
      </w:r>
      <w:r w:rsidRPr="007143AD">
        <w:rPr>
          <w:b/>
          <w:bCs/>
          <w:sz w:val="24"/>
          <w:szCs w:val="24"/>
        </w:rPr>
        <w:t>Meninas e mulheres autistas: completar o espectro é uma questão de gênero</w:t>
      </w:r>
      <w:r w:rsidRPr="008A281A">
        <w:rPr>
          <w:sz w:val="24"/>
          <w:szCs w:val="24"/>
        </w:rPr>
        <w:t>. Cadernos de Gênero e Tecnologia, v. 16, n. 47, p. 258–275, 2023.</w:t>
      </w:r>
    </w:p>
    <w:p w14:paraId="1E19EBAF" w14:textId="77777777" w:rsidR="00230A21" w:rsidRPr="008A281A" w:rsidRDefault="00230A21" w:rsidP="00230A21">
      <w:pPr>
        <w:spacing w:before="180" w:after="180" w:line="240" w:lineRule="auto"/>
        <w:rPr>
          <w:sz w:val="24"/>
          <w:szCs w:val="24"/>
        </w:rPr>
      </w:pPr>
      <w:r w:rsidRPr="008A281A">
        <w:rPr>
          <w:sz w:val="24"/>
          <w:szCs w:val="24"/>
        </w:rPr>
        <w:t xml:space="preserve">BUTLER, J. </w:t>
      </w:r>
      <w:r w:rsidRPr="007143AD">
        <w:rPr>
          <w:b/>
          <w:bCs/>
          <w:sz w:val="24"/>
          <w:szCs w:val="24"/>
        </w:rPr>
        <w:t>Problemas de gênero: feminismo e subversão da identidade</w:t>
      </w:r>
      <w:r w:rsidRPr="008A281A">
        <w:rPr>
          <w:sz w:val="24"/>
          <w:szCs w:val="24"/>
        </w:rPr>
        <w:t>. Rio de Janeiro: Civilização Brasileira, 2003.</w:t>
      </w:r>
    </w:p>
    <w:p w14:paraId="63736DB1" w14:textId="77777777" w:rsidR="00230A21" w:rsidRPr="008A281A" w:rsidRDefault="00230A21" w:rsidP="00230A21">
      <w:pPr>
        <w:spacing w:before="180" w:after="180" w:line="240" w:lineRule="auto"/>
        <w:rPr>
          <w:sz w:val="24"/>
          <w:szCs w:val="24"/>
        </w:rPr>
      </w:pPr>
      <w:r w:rsidRPr="008A281A">
        <w:rPr>
          <w:sz w:val="24"/>
          <w:szCs w:val="24"/>
        </w:rPr>
        <w:t xml:space="preserve">BUTLER, J. </w:t>
      </w:r>
      <w:r w:rsidRPr="007143AD">
        <w:rPr>
          <w:b/>
          <w:bCs/>
          <w:sz w:val="24"/>
          <w:szCs w:val="24"/>
        </w:rPr>
        <w:t>Vida precária: o poder do luto e da violência</w:t>
      </w:r>
      <w:r w:rsidRPr="008A281A">
        <w:rPr>
          <w:sz w:val="24"/>
          <w:szCs w:val="24"/>
        </w:rPr>
        <w:t>. Belo Horizonte: Autêntica, 2004.</w:t>
      </w:r>
    </w:p>
    <w:p w14:paraId="5E440653" w14:textId="77777777" w:rsidR="00230A21" w:rsidRPr="008A281A" w:rsidRDefault="00230A21" w:rsidP="00230A21">
      <w:pPr>
        <w:spacing w:before="180" w:after="180" w:line="240" w:lineRule="auto"/>
        <w:rPr>
          <w:sz w:val="24"/>
          <w:szCs w:val="24"/>
        </w:rPr>
      </w:pPr>
      <w:r w:rsidRPr="008A281A">
        <w:rPr>
          <w:sz w:val="24"/>
          <w:szCs w:val="24"/>
        </w:rPr>
        <w:t xml:space="preserve">CDC. </w:t>
      </w:r>
      <w:proofErr w:type="spellStart"/>
      <w:r w:rsidRPr="007143AD">
        <w:rPr>
          <w:b/>
          <w:bCs/>
          <w:sz w:val="24"/>
          <w:szCs w:val="24"/>
        </w:rPr>
        <w:t>Autism</w:t>
      </w:r>
      <w:proofErr w:type="spellEnd"/>
      <w:r w:rsidRPr="007143AD">
        <w:rPr>
          <w:b/>
          <w:bCs/>
          <w:sz w:val="24"/>
          <w:szCs w:val="24"/>
        </w:rPr>
        <w:t xml:space="preserve"> </w:t>
      </w:r>
      <w:proofErr w:type="spellStart"/>
      <w:r w:rsidRPr="007143AD">
        <w:rPr>
          <w:b/>
          <w:bCs/>
          <w:sz w:val="24"/>
          <w:szCs w:val="24"/>
        </w:rPr>
        <w:t>prevalence</w:t>
      </w:r>
      <w:proofErr w:type="spellEnd"/>
      <w:r w:rsidRPr="007143AD">
        <w:rPr>
          <w:b/>
          <w:bCs/>
          <w:sz w:val="24"/>
          <w:szCs w:val="24"/>
        </w:rPr>
        <w:t xml:space="preserve"> </w:t>
      </w:r>
      <w:proofErr w:type="spellStart"/>
      <w:r w:rsidRPr="007143AD">
        <w:rPr>
          <w:b/>
          <w:bCs/>
          <w:sz w:val="24"/>
          <w:szCs w:val="24"/>
        </w:rPr>
        <w:t>higher</w:t>
      </w:r>
      <w:proofErr w:type="spellEnd"/>
      <w:r w:rsidRPr="007143AD">
        <w:rPr>
          <w:b/>
          <w:bCs/>
          <w:sz w:val="24"/>
          <w:szCs w:val="24"/>
        </w:rPr>
        <w:t xml:space="preserve">, </w:t>
      </w:r>
      <w:proofErr w:type="spellStart"/>
      <w:r w:rsidRPr="003F1DEE">
        <w:rPr>
          <w:sz w:val="24"/>
          <w:szCs w:val="24"/>
        </w:rPr>
        <w:t>according</w:t>
      </w:r>
      <w:proofErr w:type="spellEnd"/>
      <w:r w:rsidRPr="003F1DEE">
        <w:rPr>
          <w:sz w:val="24"/>
          <w:szCs w:val="24"/>
        </w:rPr>
        <w:t xml:space="preserve"> </w:t>
      </w:r>
      <w:proofErr w:type="spellStart"/>
      <w:r w:rsidRPr="003F1DEE">
        <w:rPr>
          <w:sz w:val="24"/>
          <w:szCs w:val="24"/>
        </w:rPr>
        <w:t>to</w:t>
      </w:r>
      <w:proofErr w:type="spellEnd"/>
      <w:r w:rsidRPr="003F1DEE">
        <w:rPr>
          <w:sz w:val="24"/>
          <w:szCs w:val="24"/>
        </w:rPr>
        <w:t xml:space="preserve"> data </w:t>
      </w:r>
      <w:proofErr w:type="spellStart"/>
      <w:r w:rsidRPr="003F1DEE">
        <w:rPr>
          <w:sz w:val="24"/>
          <w:szCs w:val="24"/>
        </w:rPr>
        <w:t>from</w:t>
      </w:r>
      <w:proofErr w:type="spellEnd"/>
      <w:r w:rsidRPr="003F1DEE">
        <w:rPr>
          <w:sz w:val="24"/>
          <w:szCs w:val="24"/>
        </w:rPr>
        <w:t xml:space="preserve"> 11</w:t>
      </w:r>
      <w:r w:rsidRPr="008A281A">
        <w:rPr>
          <w:sz w:val="24"/>
          <w:szCs w:val="24"/>
        </w:rPr>
        <w:t xml:space="preserve"> ADDM </w:t>
      </w:r>
      <w:proofErr w:type="spellStart"/>
      <w:r w:rsidRPr="008A281A">
        <w:rPr>
          <w:sz w:val="24"/>
          <w:szCs w:val="24"/>
        </w:rPr>
        <w:t>communities</w:t>
      </w:r>
      <w:proofErr w:type="spellEnd"/>
      <w:r w:rsidRPr="008A281A">
        <w:rPr>
          <w:sz w:val="24"/>
          <w:szCs w:val="24"/>
        </w:rPr>
        <w:t>. MMWR, 23 mar. 2023. Disponível em: https://www.cdc.gov/media/releases/2023/p0323-autism.html. Acesso em: 29 jun. 2025.</w:t>
      </w:r>
    </w:p>
    <w:p w14:paraId="72B394FC" w14:textId="77777777" w:rsidR="00230A21" w:rsidRPr="008A281A" w:rsidRDefault="00230A21" w:rsidP="00230A21">
      <w:pPr>
        <w:spacing w:before="180" w:after="180" w:line="240" w:lineRule="auto"/>
        <w:rPr>
          <w:sz w:val="24"/>
          <w:szCs w:val="24"/>
        </w:rPr>
      </w:pPr>
      <w:r w:rsidRPr="008A281A">
        <w:rPr>
          <w:sz w:val="24"/>
          <w:szCs w:val="24"/>
        </w:rPr>
        <w:t xml:space="preserve">CONNELL, R. </w:t>
      </w:r>
      <w:proofErr w:type="spellStart"/>
      <w:r w:rsidRPr="003F1DEE">
        <w:rPr>
          <w:b/>
          <w:bCs/>
          <w:sz w:val="24"/>
          <w:szCs w:val="24"/>
        </w:rPr>
        <w:t>Masculinities</w:t>
      </w:r>
      <w:proofErr w:type="spellEnd"/>
      <w:r w:rsidRPr="008A281A">
        <w:rPr>
          <w:sz w:val="24"/>
          <w:szCs w:val="24"/>
        </w:rPr>
        <w:t xml:space="preserve">. 2. ed. Berkeley: </w:t>
      </w:r>
      <w:proofErr w:type="spellStart"/>
      <w:r w:rsidRPr="008A281A">
        <w:rPr>
          <w:sz w:val="24"/>
          <w:szCs w:val="24"/>
        </w:rPr>
        <w:t>University</w:t>
      </w:r>
      <w:proofErr w:type="spellEnd"/>
      <w:r w:rsidRPr="008A281A">
        <w:rPr>
          <w:sz w:val="24"/>
          <w:szCs w:val="24"/>
        </w:rPr>
        <w:t xml:space="preserve"> </w:t>
      </w:r>
      <w:proofErr w:type="spellStart"/>
      <w:r w:rsidRPr="008A281A">
        <w:rPr>
          <w:sz w:val="24"/>
          <w:szCs w:val="24"/>
        </w:rPr>
        <w:t>of</w:t>
      </w:r>
      <w:proofErr w:type="spellEnd"/>
      <w:r w:rsidRPr="008A281A">
        <w:rPr>
          <w:sz w:val="24"/>
          <w:szCs w:val="24"/>
        </w:rPr>
        <w:t xml:space="preserve"> California Press, 2005.</w:t>
      </w:r>
    </w:p>
    <w:p w14:paraId="6E678AE5" w14:textId="77777777" w:rsidR="00230A21" w:rsidRPr="008A281A" w:rsidRDefault="00230A21" w:rsidP="00230A21">
      <w:pPr>
        <w:spacing w:before="180" w:after="180" w:line="240" w:lineRule="auto"/>
        <w:rPr>
          <w:sz w:val="24"/>
          <w:szCs w:val="24"/>
        </w:rPr>
      </w:pPr>
      <w:r w:rsidRPr="008A281A">
        <w:rPr>
          <w:sz w:val="24"/>
          <w:szCs w:val="24"/>
        </w:rPr>
        <w:t xml:space="preserve">FEDERICI, S. </w:t>
      </w:r>
      <w:r w:rsidRPr="003F1DEE">
        <w:rPr>
          <w:b/>
          <w:bCs/>
          <w:sz w:val="24"/>
          <w:szCs w:val="24"/>
        </w:rPr>
        <w:t xml:space="preserve">O </w:t>
      </w:r>
      <w:proofErr w:type="spellStart"/>
      <w:r w:rsidRPr="003F1DEE">
        <w:rPr>
          <w:b/>
          <w:bCs/>
          <w:sz w:val="24"/>
          <w:szCs w:val="24"/>
        </w:rPr>
        <w:t>Calibã</w:t>
      </w:r>
      <w:proofErr w:type="spellEnd"/>
      <w:r w:rsidRPr="003F1DEE">
        <w:rPr>
          <w:b/>
          <w:bCs/>
          <w:sz w:val="24"/>
          <w:szCs w:val="24"/>
        </w:rPr>
        <w:t xml:space="preserve"> e a bruxa: mulheres, corpo e acumulação primitiva</w:t>
      </w:r>
      <w:r w:rsidRPr="008A281A">
        <w:rPr>
          <w:sz w:val="24"/>
          <w:szCs w:val="24"/>
        </w:rPr>
        <w:t>. São Paulo: Elefante, 2017.</w:t>
      </w:r>
    </w:p>
    <w:p w14:paraId="15485D11" w14:textId="77777777" w:rsidR="00230A21" w:rsidRPr="008A281A" w:rsidRDefault="00230A21" w:rsidP="00230A21">
      <w:pPr>
        <w:spacing w:before="180" w:after="180" w:line="240" w:lineRule="auto"/>
        <w:rPr>
          <w:sz w:val="24"/>
          <w:szCs w:val="24"/>
        </w:rPr>
      </w:pPr>
      <w:r w:rsidRPr="008A281A">
        <w:rPr>
          <w:sz w:val="24"/>
          <w:szCs w:val="24"/>
        </w:rPr>
        <w:t xml:space="preserve">FOMBONNE, E. </w:t>
      </w:r>
      <w:proofErr w:type="spellStart"/>
      <w:r w:rsidRPr="003F1DEE">
        <w:rPr>
          <w:b/>
          <w:bCs/>
          <w:sz w:val="24"/>
          <w:szCs w:val="24"/>
        </w:rPr>
        <w:t>Epidemiological</w:t>
      </w:r>
      <w:proofErr w:type="spellEnd"/>
      <w:r w:rsidRPr="003F1DEE">
        <w:rPr>
          <w:b/>
          <w:bCs/>
          <w:sz w:val="24"/>
          <w:szCs w:val="24"/>
        </w:rPr>
        <w:t xml:space="preserve"> </w:t>
      </w:r>
      <w:proofErr w:type="spellStart"/>
      <w:r w:rsidRPr="003F1DEE">
        <w:rPr>
          <w:b/>
          <w:bCs/>
          <w:sz w:val="24"/>
          <w:szCs w:val="24"/>
        </w:rPr>
        <w:t>surveys</w:t>
      </w:r>
      <w:proofErr w:type="spellEnd"/>
      <w:r w:rsidRPr="003F1DEE">
        <w:rPr>
          <w:b/>
          <w:bCs/>
          <w:sz w:val="24"/>
          <w:szCs w:val="24"/>
        </w:rPr>
        <w:t xml:space="preserve"> </w:t>
      </w:r>
      <w:proofErr w:type="spellStart"/>
      <w:r w:rsidRPr="003F1DEE">
        <w:rPr>
          <w:b/>
          <w:bCs/>
          <w:sz w:val="24"/>
          <w:szCs w:val="24"/>
        </w:rPr>
        <w:t>of</w:t>
      </w:r>
      <w:proofErr w:type="spellEnd"/>
      <w:r w:rsidRPr="003F1DEE">
        <w:rPr>
          <w:b/>
          <w:bCs/>
          <w:sz w:val="24"/>
          <w:szCs w:val="24"/>
        </w:rPr>
        <w:t xml:space="preserve"> </w:t>
      </w:r>
      <w:proofErr w:type="spellStart"/>
      <w:r w:rsidRPr="003F1DEE">
        <w:rPr>
          <w:b/>
          <w:bCs/>
          <w:sz w:val="24"/>
          <w:szCs w:val="24"/>
        </w:rPr>
        <w:t>autism</w:t>
      </w:r>
      <w:proofErr w:type="spellEnd"/>
      <w:r w:rsidRPr="008A281A">
        <w:rPr>
          <w:sz w:val="24"/>
          <w:szCs w:val="24"/>
        </w:rPr>
        <w:t xml:space="preserve">. J. </w:t>
      </w:r>
      <w:proofErr w:type="spellStart"/>
      <w:r w:rsidRPr="008A281A">
        <w:rPr>
          <w:sz w:val="24"/>
          <w:szCs w:val="24"/>
        </w:rPr>
        <w:t>Autism</w:t>
      </w:r>
      <w:proofErr w:type="spellEnd"/>
      <w:r w:rsidRPr="008A281A">
        <w:rPr>
          <w:sz w:val="24"/>
          <w:szCs w:val="24"/>
        </w:rPr>
        <w:t xml:space="preserve"> Dev. </w:t>
      </w:r>
      <w:proofErr w:type="spellStart"/>
      <w:r w:rsidRPr="008A281A">
        <w:rPr>
          <w:sz w:val="24"/>
          <w:szCs w:val="24"/>
        </w:rPr>
        <w:t>Disord</w:t>
      </w:r>
      <w:proofErr w:type="spellEnd"/>
      <w:r w:rsidRPr="008A281A">
        <w:rPr>
          <w:sz w:val="24"/>
          <w:szCs w:val="24"/>
        </w:rPr>
        <w:t>., v. 33, n. 4, p. 365–382, 2003.</w:t>
      </w:r>
    </w:p>
    <w:p w14:paraId="142721FB" w14:textId="77777777" w:rsidR="00230A21" w:rsidRPr="008A281A" w:rsidRDefault="00230A21" w:rsidP="00230A21">
      <w:pPr>
        <w:spacing w:before="180" w:after="180" w:line="240" w:lineRule="auto"/>
        <w:rPr>
          <w:sz w:val="24"/>
          <w:szCs w:val="24"/>
        </w:rPr>
      </w:pPr>
      <w:r w:rsidRPr="008A281A">
        <w:rPr>
          <w:sz w:val="24"/>
          <w:szCs w:val="24"/>
        </w:rPr>
        <w:t xml:space="preserve">GIL, A. C. </w:t>
      </w:r>
      <w:r w:rsidRPr="003F1DEE">
        <w:rPr>
          <w:b/>
          <w:bCs/>
          <w:sz w:val="24"/>
          <w:szCs w:val="24"/>
        </w:rPr>
        <w:t>Métodos e técnicas de pesquisa social</w:t>
      </w:r>
      <w:r w:rsidRPr="008A281A">
        <w:rPr>
          <w:sz w:val="24"/>
          <w:szCs w:val="24"/>
        </w:rPr>
        <w:t>. 7. ed. São Paulo: Atlas, 2019.</w:t>
      </w:r>
    </w:p>
    <w:p w14:paraId="3C4F54A1" w14:textId="77777777" w:rsidR="00230A21" w:rsidRPr="008A281A" w:rsidRDefault="00230A21" w:rsidP="00230A21">
      <w:pPr>
        <w:spacing w:before="180" w:after="180" w:line="240" w:lineRule="auto"/>
        <w:rPr>
          <w:sz w:val="24"/>
          <w:szCs w:val="24"/>
        </w:rPr>
      </w:pPr>
      <w:r w:rsidRPr="008A281A">
        <w:rPr>
          <w:sz w:val="24"/>
          <w:szCs w:val="24"/>
        </w:rPr>
        <w:t xml:space="preserve">GLAT, R.; PLETSCH, M. D. </w:t>
      </w:r>
      <w:r w:rsidRPr="003F1DEE">
        <w:rPr>
          <w:b/>
          <w:bCs/>
          <w:sz w:val="24"/>
          <w:szCs w:val="24"/>
        </w:rPr>
        <w:t>Inclusão escolar de alunos com necessidades educacionais especiais</w:t>
      </w:r>
      <w:r w:rsidRPr="008A281A">
        <w:rPr>
          <w:sz w:val="24"/>
          <w:szCs w:val="24"/>
        </w:rPr>
        <w:t xml:space="preserve">. Rio de Janeiro: </w:t>
      </w:r>
      <w:proofErr w:type="spellStart"/>
      <w:r w:rsidRPr="008A281A">
        <w:rPr>
          <w:sz w:val="24"/>
          <w:szCs w:val="24"/>
        </w:rPr>
        <w:t>EdUERJ</w:t>
      </w:r>
      <w:proofErr w:type="spellEnd"/>
      <w:r w:rsidRPr="008A281A">
        <w:rPr>
          <w:sz w:val="24"/>
          <w:szCs w:val="24"/>
        </w:rPr>
        <w:t>, 2011.</w:t>
      </w:r>
    </w:p>
    <w:p w14:paraId="4A6E720A" w14:textId="77777777" w:rsidR="00230A21" w:rsidRPr="008A281A" w:rsidRDefault="00230A21" w:rsidP="00230A21">
      <w:pPr>
        <w:spacing w:before="180" w:after="180" w:line="240" w:lineRule="auto"/>
        <w:rPr>
          <w:sz w:val="24"/>
          <w:szCs w:val="24"/>
        </w:rPr>
      </w:pPr>
      <w:r w:rsidRPr="008A281A">
        <w:rPr>
          <w:sz w:val="24"/>
          <w:szCs w:val="24"/>
        </w:rPr>
        <w:t xml:space="preserve">GRANDIN, T.; PANEK, R. </w:t>
      </w:r>
      <w:r w:rsidRPr="003F1DEE">
        <w:rPr>
          <w:b/>
          <w:bCs/>
          <w:sz w:val="24"/>
          <w:szCs w:val="24"/>
        </w:rPr>
        <w:t>O cérebro autista: pensando através do espectro</w:t>
      </w:r>
      <w:r w:rsidRPr="008A281A">
        <w:rPr>
          <w:sz w:val="24"/>
          <w:szCs w:val="24"/>
        </w:rPr>
        <w:t>. Rio de Janeiro: Record, 2014.</w:t>
      </w:r>
    </w:p>
    <w:p w14:paraId="0A19C367" w14:textId="77777777" w:rsidR="00230A21" w:rsidRPr="008A281A" w:rsidRDefault="00230A21" w:rsidP="00230A21">
      <w:pPr>
        <w:spacing w:before="180" w:after="180" w:line="240" w:lineRule="auto"/>
        <w:rPr>
          <w:sz w:val="24"/>
          <w:szCs w:val="24"/>
        </w:rPr>
      </w:pPr>
      <w:r w:rsidRPr="008A281A">
        <w:rPr>
          <w:sz w:val="24"/>
          <w:szCs w:val="24"/>
        </w:rPr>
        <w:t xml:space="preserve">HULL, L.; PETRIDES, K. V.; MANDY, W. </w:t>
      </w:r>
      <w:r w:rsidRPr="003F1DEE">
        <w:rPr>
          <w:b/>
          <w:bCs/>
          <w:sz w:val="24"/>
          <w:szCs w:val="24"/>
        </w:rPr>
        <w:t xml:space="preserve">The </w:t>
      </w:r>
      <w:proofErr w:type="spellStart"/>
      <w:r w:rsidRPr="003F1DEE">
        <w:rPr>
          <w:b/>
          <w:bCs/>
          <w:sz w:val="24"/>
          <w:szCs w:val="24"/>
        </w:rPr>
        <w:t>female</w:t>
      </w:r>
      <w:proofErr w:type="spellEnd"/>
      <w:r w:rsidRPr="003F1DEE">
        <w:rPr>
          <w:b/>
          <w:bCs/>
          <w:sz w:val="24"/>
          <w:szCs w:val="24"/>
        </w:rPr>
        <w:t xml:space="preserve"> </w:t>
      </w:r>
      <w:proofErr w:type="spellStart"/>
      <w:r w:rsidRPr="003F1DEE">
        <w:rPr>
          <w:b/>
          <w:bCs/>
          <w:sz w:val="24"/>
          <w:szCs w:val="24"/>
        </w:rPr>
        <w:t>autism</w:t>
      </w:r>
      <w:proofErr w:type="spellEnd"/>
      <w:r w:rsidRPr="003F1DEE">
        <w:rPr>
          <w:b/>
          <w:bCs/>
          <w:sz w:val="24"/>
          <w:szCs w:val="24"/>
        </w:rPr>
        <w:t xml:space="preserve"> </w:t>
      </w:r>
      <w:proofErr w:type="spellStart"/>
      <w:r w:rsidRPr="003F1DEE">
        <w:rPr>
          <w:b/>
          <w:bCs/>
          <w:sz w:val="24"/>
          <w:szCs w:val="24"/>
        </w:rPr>
        <w:t>phenotype</w:t>
      </w:r>
      <w:proofErr w:type="spellEnd"/>
      <w:r w:rsidRPr="003F1DEE">
        <w:rPr>
          <w:b/>
          <w:bCs/>
          <w:sz w:val="24"/>
          <w:szCs w:val="24"/>
        </w:rPr>
        <w:t xml:space="preserve"> </w:t>
      </w:r>
      <w:proofErr w:type="spellStart"/>
      <w:r w:rsidRPr="003F1DEE">
        <w:rPr>
          <w:b/>
          <w:bCs/>
          <w:sz w:val="24"/>
          <w:szCs w:val="24"/>
        </w:rPr>
        <w:t>and</w:t>
      </w:r>
      <w:proofErr w:type="spellEnd"/>
      <w:r w:rsidRPr="003F1DEE">
        <w:rPr>
          <w:b/>
          <w:bCs/>
          <w:sz w:val="24"/>
          <w:szCs w:val="24"/>
        </w:rPr>
        <w:t xml:space="preserve"> </w:t>
      </w:r>
      <w:proofErr w:type="spellStart"/>
      <w:r w:rsidRPr="003F1DEE">
        <w:rPr>
          <w:b/>
          <w:bCs/>
          <w:sz w:val="24"/>
          <w:szCs w:val="24"/>
        </w:rPr>
        <w:t>camouflaging</w:t>
      </w:r>
      <w:proofErr w:type="spellEnd"/>
      <w:r w:rsidRPr="003F1DEE">
        <w:rPr>
          <w:b/>
          <w:bCs/>
          <w:sz w:val="24"/>
          <w:szCs w:val="24"/>
        </w:rPr>
        <w:t xml:space="preserve">: a </w:t>
      </w:r>
      <w:proofErr w:type="spellStart"/>
      <w:r w:rsidRPr="003F1DEE">
        <w:rPr>
          <w:b/>
          <w:bCs/>
          <w:sz w:val="24"/>
          <w:szCs w:val="24"/>
        </w:rPr>
        <w:t>narrative</w:t>
      </w:r>
      <w:proofErr w:type="spellEnd"/>
      <w:r w:rsidRPr="003F1DEE">
        <w:rPr>
          <w:b/>
          <w:bCs/>
          <w:sz w:val="24"/>
          <w:szCs w:val="24"/>
        </w:rPr>
        <w:t xml:space="preserve"> review</w:t>
      </w:r>
      <w:r w:rsidRPr="008A281A">
        <w:rPr>
          <w:sz w:val="24"/>
          <w:szCs w:val="24"/>
        </w:rPr>
        <w:t xml:space="preserve">. Rev. J. </w:t>
      </w:r>
      <w:proofErr w:type="spellStart"/>
      <w:r w:rsidRPr="008A281A">
        <w:rPr>
          <w:sz w:val="24"/>
          <w:szCs w:val="24"/>
        </w:rPr>
        <w:t>Autism</w:t>
      </w:r>
      <w:proofErr w:type="spellEnd"/>
      <w:r w:rsidRPr="008A281A">
        <w:rPr>
          <w:sz w:val="24"/>
          <w:szCs w:val="24"/>
        </w:rPr>
        <w:t xml:space="preserve"> Dev. </w:t>
      </w:r>
      <w:proofErr w:type="spellStart"/>
      <w:r w:rsidRPr="008A281A">
        <w:rPr>
          <w:sz w:val="24"/>
          <w:szCs w:val="24"/>
        </w:rPr>
        <w:t>Disord</w:t>
      </w:r>
      <w:proofErr w:type="spellEnd"/>
      <w:r w:rsidRPr="008A281A">
        <w:rPr>
          <w:sz w:val="24"/>
          <w:szCs w:val="24"/>
        </w:rPr>
        <w:t>., v. 7, p. 306–317, 2020.</w:t>
      </w:r>
    </w:p>
    <w:p w14:paraId="1969EAC3" w14:textId="77777777" w:rsidR="00230A21" w:rsidRPr="008A281A" w:rsidRDefault="00230A21" w:rsidP="00230A21">
      <w:pPr>
        <w:spacing w:before="180" w:after="180" w:line="240" w:lineRule="auto"/>
        <w:rPr>
          <w:sz w:val="24"/>
          <w:szCs w:val="24"/>
        </w:rPr>
      </w:pPr>
      <w:r w:rsidRPr="008A281A">
        <w:rPr>
          <w:sz w:val="24"/>
          <w:szCs w:val="24"/>
        </w:rPr>
        <w:lastRenderedPageBreak/>
        <w:t>IBGE</w:t>
      </w:r>
      <w:r>
        <w:rPr>
          <w:sz w:val="24"/>
          <w:szCs w:val="24"/>
        </w:rPr>
        <w:t xml:space="preserve">. </w:t>
      </w:r>
      <w:r w:rsidRPr="004F0844">
        <w:rPr>
          <w:b/>
          <w:bCs/>
          <w:sz w:val="24"/>
          <w:szCs w:val="24"/>
        </w:rPr>
        <w:t>Censo Demográfico 2022</w:t>
      </w:r>
      <w:r>
        <w:rPr>
          <w:sz w:val="24"/>
          <w:szCs w:val="24"/>
        </w:rPr>
        <w:t>.</w:t>
      </w:r>
      <w:r w:rsidRPr="008A281A">
        <w:rPr>
          <w:sz w:val="24"/>
          <w:szCs w:val="24"/>
        </w:rPr>
        <w:t xml:space="preserve"> </w:t>
      </w:r>
      <w:r>
        <w:rPr>
          <w:sz w:val="24"/>
          <w:szCs w:val="24"/>
        </w:rPr>
        <w:t xml:space="preserve">Disponível em </w:t>
      </w:r>
      <w:r w:rsidRPr="008A281A">
        <w:rPr>
          <w:sz w:val="24"/>
          <w:szCs w:val="24"/>
        </w:rPr>
        <w:t>2025.</w:t>
      </w:r>
      <w:r>
        <w:rPr>
          <w:sz w:val="24"/>
          <w:szCs w:val="24"/>
        </w:rPr>
        <w:t xml:space="preserve"> </w:t>
      </w:r>
      <w:r w:rsidRPr="008A281A">
        <w:rPr>
          <w:sz w:val="24"/>
          <w:szCs w:val="24"/>
        </w:rPr>
        <w:t>Disponível em: https://agenciadenoticias.ibge.gov.br. Acesso em: 29 jun. 2025.</w:t>
      </w:r>
    </w:p>
    <w:p w14:paraId="0F5FF1FE" w14:textId="77777777" w:rsidR="00230A21" w:rsidRPr="008A281A" w:rsidRDefault="00230A21" w:rsidP="00230A21">
      <w:pPr>
        <w:spacing w:before="180" w:after="180" w:line="240" w:lineRule="auto"/>
        <w:rPr>
          <w:sz w:val="24"/>
          <w:szCs w:val="24"/>
        </w:rPr>
      </w:pPr>
      <w:r w:rsidRPr="008A281A">
        <w:rPr>
          <w:sz w:val="24"/>
          <w:szCs w:val="24"/>
        </w:rPr>
        <w:t xml:space="preserve">KEHL, M. R. </w:t>
      </w:r>
      <w:r w:rsidRPr="003F1DEE">
        <w:rPr>
          <w:b/>
          <w:bCs/>
          <w:sz w:val="24"/>
          <w:szCs w:val="24"/>
        </w:rPr>
        <w:t>Deslocamentos do feminino</w:t>
      </w:r>
      <w:r w:rsidRPr="008A281A">
        <w:rPr>
          <w:sz w:val="24"/>
          <w:szCs w:val="24"/>
        </w:rPr>
        <w:t>. Rio de Janeiro: Imago, 1998.</w:t>
      </w:r>
    </w:p>
    <w:p w14:paraId="6ED344C2" w14:textId="77777777" w:rsidR="00230A21" w:rsidRPr="008A281A" w:rsidRDefault="00230A21" w:rsidP="00230A21">
      <w:pPr>
        <w:spacing w:before="180" w:after="180" w:line="240" w:lineRule="auto"/>
        <w:rPr>
          <w:sz w:val="24"/>
          <w:szCs w:val="24"/>
        </w:rPr>
      </w:pPr>
      <w:r w:rsidRPr="008A281A">
        <w:rPr>
          <w:sz w:val="24"/>
          <w:szCs w:val="24"/>
        </w:rPr>
        <w:t xml:space="preserve">KEHL, M. R. </w:t>
      </w:r>
      <w:r w:rsidRPr="003F1DEE">
        <w:rPr>
          <w:b/>
          <w:bCs/>
          <w:sz w:val="24"/>
          <w:szCs w:val="24"/>
        </w:rPr>
        <w:t>Sobre ética e psicanálise</w:t>
      </w:r>
      <w:r w:rsidRPr="008A281A">
        <w:rPr>
          <w:sz w:val="24"/>
          <w:szCs w:val="24"/>
        </w:rPr>
        <w:t>. São Paulo: Companhia das Letras, 2009.</w:t>
      </w:r>
    </w:p>
    <w:p w14:paraId="3A01BC1D" w14:textId="77777777" w:rsidR="00230A21" w:rsidRPr="008A281A" w:rsidRDefault="00230A21" w:rsidP="00230A21">
      <w:pPr>
        <w:spacing w:before="180" w:after="180" w:line="240" w:lineRule="auto"/>
        <w:rPr>
          <w:sz w:val="24"/>
          <w:szCs w:val="24"/>
        </w:rPr>
      </w:pPr>
      <w:r w:rsidRPr="008A281A">
        <w:rPr>
          <w:sz w:val="24"/>
          <w:szCs w:val="24"/>
        </w:rPr>
        <w:t xml:space="preserve">LAURENZI, C. A. et al. </w:t>
      </w:r>
      <w:r w:rsidRPr="003F1DEE">
        <w:rPr>
          <w:b/>
          <w:bCs/>
          <w:sz w:val="24"/>
          <w:szCs w:val="24"/>
        </w:rPr>
        <w:t>Epidemiologia do TEA: uma revisão integrativa</w:t>
      </w:r>
      <w:r w:rsidRPr="008A281A">
        <w:rPr>
          <w:sz w:val="24"/>
          <w:szCs w:val="24"/>
        </w:rPr>
        <w:t>. Rev. Saúde Mental, v. 11, n. 2, p. 54–63, 2019.</w:t>
      </w:r>
    </w:p>
    <w:p w14:paraId="6F9A8544" w14:textId="77777777" w:rsidR="00230A21" w:rsidRPr="008A281A" w:rsidRDefault="00230A21" w:rsidP="00230A21">
      <w:pPr>
        <w:spacing w:before="180" w:after="180" w:line="240" w:lineRule="auto"/>
        <w:rPr>
          <w:sz w:val="24"/>
          <w:szCs w:val="24"/>
        </w:rPr>
      </w:pPr>
      <w:r w:rsidRPr="008A281A">
        <w:rPr>
          <w:sz w:val="24"/>
          <w:szCs w:val="24"/>
        </w:rPr>
        <w:t xml:space="preserve">MARANHÃO. </w:t>
      </w:r>
      <w:r w:rsidRPr="003F1DEE">
        <w:rPr>
          <w:b/>
          <w:bCs/>
          <w:sz w:val="24"/>
          <w:szCs w:val="24"/>
        </w:rPr>
        <w:t>Lei nº 11.379, de 21 jan. 2020</w:t>
      </w:r>
      <w:r w:rsidRPr="008A281A">
        <w:rPr>
          <w:sz w:val="24"/>
          <w:szCs w:val="24"/>
        </w:rPr>
        <w:t>. Diário Oficial do Estado do Maranhão, 22 jan. 2020.</w:t>
      </w:r>
    </w:p>
    <w:p w14:paraId="15F76EA7" w14:textId="77777777" w:rsidR="00230A21" w:rsidRDefault="00230A21" w:rsidP="00230A21">
      <w:pPr>
        <w:spacing w:before="180" w:after="180" w:line="240" w:lineRule="auto"/>
        <w:rPr>
          <w:sz w:val="24"/>
          <w:szCs w:val="24"/>
        </w:rPr>
      </w:pPr>
      <w:r w:rsidRPr="008A281A">
        <w:rPr>
          <w:sz w:val="24"/>
          <w:szCs w:val="24"/>
        </w:rPr>
        <w:t xml:space="preserve">MARANHÃO. </w:t>
      </w:r>
      <w:r w:rsidRPr="003F1DEE">
        <w:rPr>
          <w:b/>
          <w:bCs/>
          <w:sz w:val="24"/>
          <w:szCs w:val="24"/>
        </w:rPr>
        <w:t>Lei nº 11.456, de 27 abr. 2021</w:t>
      </w:r>
      <w:r w:rsidRPr="008A281A">
        <w:rPr>
          <w:sz w:val="24"/>
          <w:szCs w:val="24"/>
        </w:rPr>
        <w:t xml:space="preserve">. Diário Oficial do Estado do Maranhão, 28 abr. 2021. </w:t>
      </w:r>
    </w:p>
    <w:p w14:paraId="505CB457" w14:textId="77777777" w:rsidR="00230A21" w:rsidRPr="008A281A" w:rsidRDefault="00230A21" w:rsidP="00230A21">
      <w:pPr>
        <w:spacing w:before="180" w:after="180" w:line="240" w:lineRule="auto"/>
        <w:rPr>
          <w:sz w:val="24"/>
          <w:szCs w:val="24"/>
        </w:rPr>
      </w:pPr>
      <w:r w:rsidRPr="008A281A">
        <w:rPr>
          <w:sz w:val="24"/>
          <w:szCs w:val="24"/>
        </w:rPr>
        <w:t>MARANHÃO</w:t>
      </w:r>
      <w:r w:rsidRPr="003F1DEE">
        <w:rPr>
          <w:b/>
          <w:bCs/>
          <w:sz w:val="24"/>
          <w:szCs w:val="24"/>
        </w:rPr>
        <w:t>. Lei nº 12.264, de 18 jan. 2024</w:t>
      </w:r>
      <w:r w:rsidRPr="008A281A">
        <w:rPr>
          <w:sz w:val="24"/>
          <w:szCs w:val="24"/>
        </w:rPr>
        <w:t>. Diário Oficial do Estado do Maranhão, 19 jan. 2024.</w:t>
      </w:r>
    </w:p>
    <w:p w14:paraId="0F7F45E0" w14:textId="77777777" w:rsidR="00230A21" w:rsidRPr="008A281A" w:rsidRDefault="00230A21" w:rsidP="00230A21">
      <w:pPr>
        <w:spacing w:before="180" w:after="180" w:line="240" w:lineRule="auto"/>
        <w:rPr>
          <w:sz w:val="24"/>
          <w:szCs w:val="24"/>
        </w:rPr>
      </w:pPr>
      <w:r w:rsidRPr="008A281A">
        <w:rPr>
          <w:sz w:val="24"/>
          <w:szCs w:val="24"/>
        </w:rPr>
        <w:t xml:space="preserve">MARANHÃO. </w:t>
      </w:r>
      <w:r w:rsidRPr="003F1DEE">
        <w:rPr>
          <w:b/>
          <w:bCs/>
          <w:sz w:val="24"/>
          <w:szCs w:val="24"/>
        </w:rPr>
        <w:t>Lei nº 12.457, de 15 abr. 2024</w:t>
      </w:r>
      <w:r w:rsidRPr="008A281A">
        <w:rPr>
          <w:sz w:val="24"/>
          <w:szCs w:val="24"/>
        </w:rPr>
        <w:t>. Diário Oficial do Estado do Maranhão, 16 abr. 2024.</w:t>
      </w:r>
    </w:p>
    <w:p w14:paraId="20A854CE" w14:textId="77777777" w:rsidR="00230A21" w:rsidRPr="008A281A" w:rsidRDefault="00230A21" w:rsidP="00230A21">
      <w:pPr>
        <w:spacing w:before="180" w:after="180" w:line="240" w:lineRule="auto"/>
        <w:rPr>
          <w:sz w:val="24"/>
          <w:szCs w:val="24"/>
        </w:rPr>
      </w:pPr>
      <w:r w:rsidRPr="008A281A">
        <w:rPr>
          <w:sz w:val="24"/>
          <w:szCs w:val="24"/>
        </w:rPr>
        <w:t xml:space="preserve">MARANHÃO. Tribunal de Justiça. </w:t>
      </w:r>
      <w:r w:rsidRPr="003F1DEE">
        <w:rPr>
          <w:b/>
          <w:bCs/>
          <w:sz w:val="24"/>
          <w:szCs w:val="24"/>
        </w:rPr>
        <w:t xml:space="preserve">AI nº 0810123-34.2024.8.10.0000. Rel. Des. </w:t>
      </w:r>
      <w:proofErr w:type="spellStart"/>
      <w:r w:rsidRPr="003F1DEE">
        <w:rPr>
          <w:b/>
          <w:bCs/>
          <w:sz w:val="24"/>
          <w:szCs w:val="24"/>
        </w:rPr>
        <w:t>Cleones</w:t>
      </w:r>
      <w:proofErr w:type="spellEnd"/>
      <w:r w:rsidRPr="003F1DEE">
        <w:rPr>
          <w:b/>
          <w:bCs/>
          <w:sz w:val="24"/>
          <w:szCs w:val="24"/>
        </w:rPr>
        <w:t xml:space="preserve"> Carvalho Cunha. Julgado em 28 nov. 2024</w:t>
      </w:r>
      <w:r w:rsidRPr="008A281A">
        <w:rPr>
          <w:sz w:val="24"/>
          <w:szCs w:val="24"/>
        </w:rPr>
        <w:t>.</w:t>
      </w:r>
    </w:p>
    <w:p w14:paraId="74CA1FAD" w14:textId="77777777" w:rsidR="00230A21" w:rsidRPr="008A281A" w:rsidRDefault="00230A21" w:rsidP="00230A21">
      <w:pPr>
        <w:spacing w:before="180" w:after="180" w:line="240" w:lineRule="auto"/>
        <w:rPr>
          <w:sz w:val="24"/>
          <w:szCs w:val="24"/>
        </w:rPr>
      </w:pPr>
      <w:r w:rsidRPr="008A281A">
        <w:rPr>
          <w:sz w:val="24"/>
          <w:szCs w:val="24"/>
        </w:rPr>
        <w:t xml:space="preserve">MCQUAID, G. A. et al. </w:t>
      </w:r>
      <w:proofErr w:type="spellStart"/>
      <w:r w:rsidRPr="003F1DEE">
        <w:rPr>
          <w:b/>
          <w:bCs/>
          <w:sz w:val="24"/>
          <w:szCs w:val="24"/>
        </w:rPr>
        <w:t>Camouflaging</w:t>
      </w:r>
      <w:proofErr w:type="spellEnd"/>
      <w:r w:rsidRPr="003F1DEE">
        <w:rPr>
          <w:b/>
          <w:bCs/>
          <w:sz w:val="24"/>
          <w:szCs w:val="24"/>
        </w:rPr>
        <w:t xml:space="preserve"> in </w:t>
      </w:r>
      <w:proofErr w:type="spellStart"/>
      <w:r w:rsidRPr="003F1DEE">
        <w:rPr>
          <w:b/>
          <w:bCs/>
          <w:sz w:val="24"/>
          <w:szCs w:val="24"/>
        </w:rPr>
        <w:t>autism</w:t>
      </w:r>
      <w:proofErr w:type="spellEnd"/>
      <w:r w:rsidRPr="003F1DEE">
        <w:rPr>
          <w:b/>
          <w:bCs/>
          <w:sz w:val="24"/>
          <w:szCs w:val="24"/>
        </w:rPr>
        <w:t xml:space="preserve"> </w:t>
      </w:r>
      <w:proofErr w:type="spellStart"/>
      <w:r w:rsidRPr="003F1DEE">
        <w:rPr>
          <w:b/>
          <w:bCs/>
          <w:sz w:val="24"/>
          <w:szCs w:val="24"/>
        </w:rPr>
        <w:t>spectrum</w:t>
      </w:r>
      <w:proofErr w:type="spellEnd"/>
      <w:r w:rsidRPr="003F1DEE">
        <w:rPr>
          <w:b/>
          <w:bCs/>
          <w:sz w:val="24"/>
          <w:szCs w:val="24"/>
        </w:rPr>
        <w:t xml:space="preserve"> </w:t>
      </w:r>
      <w:proofErr w:type="spellStart"/>
      <w:r w:rsidRPr="003F1DEE">
        <w:rPr>
          <w:b/>
          <w:bCs/>
          <w:sz w:val="24"/>
          <w:szCs w:val="24"/>
        </w:rPr>
        <w:t>disorder</w:t>
      </w:r>
      <w:proofErr w:type="spellEnd"/>
      <w:r w:rsidRPr="003F1DEE">
        <w:rPr>
          <w:b/>
          <w:bCs/>
          <w:sz w:val="24"/>
          <w:szCs w:val="24"/>
        </w:rPr>
        <w:t xml:space="preserve">: sex, </w:t>
      </w:r>
      <w:proofErr w:type="spellStart"/>
      <w:r w:rsidRPr="003F1DEE">
        <w:rPr>
          <w:b/>
          <w:bCs/>
          <w:sz w:val="24"/>
          <w:szCs w:val="24"/>
        </w:rPr>
        <w:t>gender</w:t>
      </w:r>
      <w:proofErr w:type="spellEnd"/>
      <w:r w:rsidRPr="003F1DEE">
        <w:rPr>
          <w:b/>
          <w:bCs/>
          <w:sz w:val="24"/>
          <w:szCs w:val="24"/>
        </w:rPr>
        <w:t xml:space="preserve"> </w:t>
      </w:r>
      <w:proofErr w:type="spellStart"/>
      <w:r w:rsidRPr="003F1DEE">
        <w:rPr>
          <w:b/>
          <w:bCs/>
          <w:sz w:val="24"/>
          <w:szCs w:val="24"/>
        </w:rPr>
        <w:t>identity</w:t>
      </w:r>
      <w:proofErr w:type="spellEnd"/>
      <w:r w:rsidRPr="003F1DEE">
        <w:rPr>
          <w:b/>
          <w:bCs/>
          <w:sz w:val="24"/>
          <w:szCs w:val="24"/>
        </w:rPr>
        <w:t xml:space="preserve"> </w:t>
      </w:r>
      <w:proofErr w:type="spellStart"/>
      <w:r w:rsidRPr="003F1DEE">
        <w:rPr>
          <w:b/>
          <w:bCs/>
          <w:sz w:val="24"/>
          <w:szCs w:val="24"/>
        </w:rPr>
        <w:t>and</w:t>
      </w:r>
      <w:proofErr w:type="spellEnd"/>
      <w:r w:rsidRPr="003F1DEE">
        <w:rPr>
          <w:b/>
          <w:bCs/>
          <w:sz w:val="24"/>
          <w:szCs w:val="24"/>
        </w:rPr>
        <w:t xml:space="preserve"> </w:t>
      </w:r>
      <w:proofErr w:type="spellStart"/>
      <w:r w:rsidRPr="003F1DEE">
        <w:rPr>
          <w:b/>
          <w:bCs/>
          <w:sz w:val="24"/>
          <w:szCs w:val="24"/>
        </w:rPr>
        <w:t>diagnostic</w:t>
      </w:r>
      <w:proofErr w:type="spellEnd"/>
      <w:r w:rsidRPr="003F1DEE">
        <w:rPr>
          <w:b/>
          <w:bCs/>
          <w:sz w:val="24"/>
          <w:szCs w:val="24"/>
        </w:rPr>
        <w:t xml:space="preserve"> timing</w:t>
      </w:r>
      <w:r w:rsidRPr="008A281A">
        <w:rPr>
          <w:sz w:val="24"/>
          <w:szCs w:val="24"/>
        </w:rPr>
        <w:t xml:space="preserve">. </w:t>
      </w:r>
      <w:proofErr w:type="spellStart"/>
      <w:r w:rsidRPr="008A281A">
        <w:rPr>
          <w:sz w:val="24"/>
          <w:szCs w:val="24"/>
        </w:rPr>
        <w:t>Autism</w:t>
      </w:r>
      <w:proofErr w:type="spellEnd"/>
      <w:r w:rsidRPr="008A281A">
        <w:rPr>
          <w:sz w:val="24"/>
          <w:szCs w:val="24"/>
        </w:rPr>
        <w:t>, v. 26, n. 2, p. 552–559, 2022. DOI: https://doi.org/10.1177/13623613211042131.</w:t>
      </w:r>
    </w:p>
    <w:p w14:paraId="092E1C93" w14:textId="77777777" w:rsidR="00230A21" w:rsidRPr="008A281A" w:rsidRDefault="00230A21" w:rsidP="00230A21">
      <w:pPr>
        <w:spacing w:before="180" w:after="180" w:line="240" w:lineRule="auto"/>
        <w:rPr>
          <w:sz w:val="24"/>
          <w:szCs w:val="24"/>
        </w:rPr>
      </w:pPr>
      <w:r w:rsidRPr="008A281A">
        <w:rPr>
          <w:sz w:val="24"/>
          <w:szCs w:val="24"/>
        </w:rPr>
        <w:t xml:space="preserve">MICAI, M. et al. </w:t>
      </w:r>
      <w:proofErr w:type="spellStart"/>
      <w:r w:rsidRPr="003F1DEE">
        <w:rPr>
          <w:b/>
          <w:bCs/>
          <w:sz w:val="24"/>
          <w:szCs w:val="24"/>
        </w:rPr>
        <w:t>Autistic</w:t>
      </w:r>
      <w:proofErr w:type="spellEnd"/>
      <w:r w:rsidRPr="003F1DEE">
        <w:rPr>
          <w:b/>
          <w:bCs/>
          <w:sz w:val="24"/>
          <w:szCs w:val="24"/>
        </w:rPr>
        <w:t xml:space="preserve"> </w:t>
      </w:r>
      <w:proofErr w:type="spellStart"/>
      <w:r w:rsidRPr="003F1DEE">
        <w:rPr>
          <w:b/>
          <w:bCs/>
          <w:sz w:val="24"/>
          <w:szCs w:val="24"/>
        </w:rPr>
        <w:t>adult</w:t>
      </w:r>
      <w:proofErr w:type="spellEnd"/>
      <w:r w:rsidRPr="003F1DEE">
        <w:rPr>
          <w:b/>
          <w:bCs/>
          <w:sz w:val="24"/>
          <w:szCs w:val="24"/>
        </w:rPr>
        <w:t xml:space="preserve"> </w:t>
      </w:r>
      <w:proofErr w:type="spellStart"/>
      <w:r w:rsidRPr="003F1DEE">
        <w:rPr>
          <w:b/>
          <w:bCs/>
          <w:sz w:val="24"/>
          <w:szCs w:val="24"/>
        </w:rPr>
        <w:t>health</w:t>
      </w:r>
      <w:proofErr w:type="spellEnd"/>
      <w:r w:rsidRPr="003F1DEE">
        <w:rPr>
          <w:b/>
          <w:bCs/>
          <w:sz w:val="24"/>
          <w:szCs w:val="24"/>
        </w:rPr>
        <w:t xml:space="preserve"> </w:t>
      </w:r>
      <w:proofErr w:type="spellStart"/>
      <w:r w:rsidRPr="003F1DEE">
        <w:rPr>
          <w:b/>
          <w:bCs/>
          <w:sz w:val="24"/>
          <w:szCs w:val="24"/>
        </w:rPr>
        <w:t>and</w:t>
      </w:r>
      <w:proofErr w:type="spellEnd"/>
      <w:r w:rsidRPr="003F1DEE">
        <w:rPr>
          <w:b/>
          <w:bCs/>
          <w:sz w:val="24"/>
          <w:szCs w:val="24"/>
        </w:rPr>
        <w:t xml:space="preserve"> professional </w:t>
      </w:r>
      <w:proofErr w:type="spellStart"/>
      <w:r w:rsidRPr="003F1DEE">
        <w:rPr>
          <w:b/>
          <w:bCs/>
          <w:sz w:val="24"/>
          <w:szCs w:val="24"/>
        </w:rPr>
        <w:t>perceptions</w:t>
      </w:r>
      <w:proofErr w:type="spellEnd"/>
      <w:r w:rsidRPr="008A281A">
        <w:rPr>
          <w:sz w:val="24"/>
          <w:szCs w:val="24"/>
        </w:rPr>
        <w:t xml:space="preserve">: ASDEU </w:t>
      </w:r>
      <w:proofErr w:type="spellStart"/>
      <w:r w:rsidRPr="008A281A">
        <w:rPr>
          <w:sz w:val="24"/>
          <w:szCs w:val="24"/>
        </w:rPr>
        <w:t>project</w:t>
      </w:r>
      <w:proofErr w:type="spellEnd"/>
      <w:r w:rsidRPr="008A281A">
        <w:rPr>
          <w:sz w:val="24"/>
          <w:szCs w:val="24"/>
        </w:rPr>
        <w:t xml:space="preserve">. </w:t>
      </w:r>
      <w:proofErr w:type="spellStart"/>
      <w:r w:rsidRPr="008A281A">
        <w:rPr>
          <w:sz w:val="24"/>
          <w:szCs w:val="24"/>
        </w:rPr>
        <w:t>Frontiers</w:t>
      </w:r>
      <w:proofErr w:type="spellEnd"/>
      <w:r w:rsidRPr="008A281A">
        <w:rPr>
          <w:sz w:val="24"/>
          <w:szCs w:val="24"/>
        </w:rPr>
        <w:t xml:space="preserve"> in </w:t>
      </w:r>
      <w:proofErr w:type="spellStart"/>
      <w:r w:rsidRPr="008A281A">
        <w:rPr>
          <w:sz w:val="24"/>
          <w:szCs w:val="24"/>
        </w:rPr>
        <w:t>Psychiatry</w:t>
      </w:r>
      <w:proofErr w:type="spellEnd"/>
      <w:r w:rsidRPr="008A281A">
        <w:rPr>
          <w:sz w:val="24"/>
          <w:szCs w:val="24"/>
        </w:rPr>
        <w:t>, v. 12, 2021. DOI: https://doi.org/10.3389/fpsyt.2021.614102.</w:t>
      </w:r>
    </w:p>
    <w:p w14:paraId="490AD618" w14:textId="77777777" w:rsidR="00230A21" w:rsidRPr="008A281A" w:rsidRDefault="00230A21" w:rsidP="00230A21">
      <w:pPr>
        <w:spacing w:before="180" w:after="180" w:line="240" w:lineRule="auto"/>
        <w:rPr>
          <w:sz w:val="24"/>
          <w:szCs w:val="24"/>
        </w:rPr>
      </w:pPr>
      <w:r w:rsidRPr="008A281A">
        <w:rPr>
          <w:sz w:val="24"/>
          <w:szCs w:val="24"/>
        </w:rPr>
        <w:t xml:space="preserve">MIRANDA, V. P. </w:t>
      </w:r>
      <w:r w:rsidRPr="003F1DEE">
        <w:rPr>
          <w:b/>
          <w:bCs/>
          <w:sz w:val="24"/>
          <w:szCs w:val="24"/>
        </w:rPr>
        <w:t>Como estereótipos de gênero afetam o subdiagnóstico de meninas e mulheres autistas</w:t>
      </w:r>
      <w:r w:rsidRPr="008A281A">
        <w:rPr>
          <w:sz w:val="24"/>
          <w:szCs w:val="24"/>
        </w:rPr>
        <w:t>, 2023.</w:t>
      </w:r>
    </w:p>
    <w:p w14:paraId="3FC43461" w14:textId="77777777" w:rsidR="00230A21" w:rsidRPr="008A281A" w:rsidRDefault="00230A21" w:rsidP="00230A21">
      <w:pPr>
        <w:spacing w:before="180" w:after="180" w:line="240" w:lineRule="auto"/>
        <w:rPr>
          <w:sz w:val="24"/>
          <w:szCs w:val="24"/>
        </w:rPr>
      </w:pPr>
      <w:r w:rsidRPr="008A281A">
        <w:rPr>
          <w:sz w:val="24"/>
          <w:szCs w:val="24"/>
        </w:rPr>
        <w:t xml:space="preserve">SANTOS, B. S. </w:t>
      </w:r>
      <w:r w:rsidRPr="003F1DEE">
        <w:rPr>
          <w:b/>
          <w:bCs/>
          <w:sz w:val="24"/>
          <w:szCs w:val="24"/>
        </w:rPr>
        <w:t>A gramática do tempo: para uma nova cultura política</w:t>
      </w:r>
      <w:r w:rsidRPr="008A281A">
        <w:rPr>
          <w:sz w:val="24"/>
          <w:szCs w:val="24"/>
        </w:rPr>
        <w:t>. 3. ed. São Paulo: Cortez, 2009.</w:t>
      </w:r>
    </w:p>
    <w:p w14:paraId="651A4906" w14:textId="77777777" w:rsidR="00230A21" w:rsidRPr="008A281A" w:rsidRDefault="00230A21" w:rsidP="00230A21">
      <w:pPr>
        <w:spacing w:before="180" w:after="180" w:line="240" w:lineRule="auto"/>
        <w:rPr>
          <w:sz w:val="24"/>
          <w:szCs w:val="24"/>
        </w:rPr>
      </w:pPr>
      <w:r w:rsidRPr="008A281A">
        <w:rPr>
          <w:sz w:val="24"/>
          <w:szCs w:val="24"/>
        </w:rPr>
        <w:t xml:space="preserve">SBP – SOCIEDADE BRASILEIRA DE PEDIATRIA. </w:t>
      </w:r>
      <w:r w:rsidRPr="003F1DEE">
        <w:rPr>
          <w:b/>
          <w:bCs/>
          <w:sz w:val="24"/>
          <w:szCs w:val="24"/>
        </w:rPr>
        <w:t>Transtorno do Espectro do Autismo (TEA)</w:t>
      </w:r>
      <w:r w:rsidRPr="008A281A">
        <w:rPr>
          <w:sz w:val="24"/>
          <w:szCs w:val="24"/>
        </w:rPr>
        <w:t>. Rio de Janeiro: SBP, 2019.</w:t>
      </w:r>
    </w:p>
    <w:p w14:paraId="3C705893" w14:textId="77777777" w:rsidR="00230A21" w:rsidRPr="008A281A" w:rsidRDefault="00230A21" w:rsidP="00230A21">
      <w:pPr>
        <w:spacing w:before="180" w:after="180" w:line="240" w:lineRule="auto"/>
        <w:jc w:val="both"/>
        <w:rPr>
          <w:rFonts w:ascii="Calibri" w:eastAsia="Calibri" w:hAnsi="Calibri" w:cs="Calibri"/>
          <w:sz w:val="28"/>
          <w:szCs w:val="28"/>
        </w:rPr>
      </w:pPr>
      <w:r w:rsidRPr="008A281A">
        <w:rPr>
          <w:sz w:val="24"/>
          <w:szCs w:val="24"/>
        </w:rPr>
        <w:t xml:space="preserve">STRANG, J. F. et al. </w:t>
      </w:r>
      <w:r w:rsidRPr="003F1DEE">
        <w:rPr>
          <w:b/>
          <w:bCs/>
          <w:sz w:val="24"/>
          <w:szCs w:val="24"/>
        </w:rPr>
        <w:t xml:space="preserve">Common </w:t>
      </w:r>
      <w:proofErr w:type="spellStart"/>
      <w:r w:rsidRPr="003F1DEE">
        <w:rPr>
          <w:b/>
          <w:bCs/>
          <w:sz w:val="24"/>
          <w:szCs w:val="24"/>
        </w:rPr>
        <w:t>intersection</w:t>
      </w:r>
      <w:proofErr w:type="spellEnd"/>
      <w:r w:rsidRPr="003F1DEE">
        <w:rPr>
          <w:b/>
          <w:bCs/>
          <w:sz w:val="24"/>
          <w:szCs w:val="24"/>
        </w:rPr>
        <w:t xml:space="preserve"> </w:t>
      </w:r>
      <w:proofErr w:type="spellStart"/>
      <w:r w:rsidRPr="003F1DEE">
        <w:rPr>
          <w:b/>
          <w:bCs/>
          <w:sz w:val="24"/>
          <w:szCs w:val="24"/>
        </w:rPr>
        <w:t>of</w:t>
      </w:r>
      <w:proofErr w:type="spellEnd"/>
      <w:r w:rsidRPr="003F1DEE">
        <w:rPr>
          <w:b/>
          <w:bCs/>
          <w:sz w:val="24"/>
          <w:szCs w:val="24"/>
        </w:rPr>
        <w:t xml:space="preserve"> </w:t>
      </w:r>
      <w:proofErr w:type="spellStart"/>
      <w:r w:rsidRPr="003F1DEE">
        <w:rPr>
          <w:b/>
          <w:bCs/>
          <w:sz w:val="24"/>
          <w:szCs w:val="24"/>
        </w:rPr>
        <w:t>autism</w:t>
      </w:r>
      <w:proofErr w:type="spellEnd"/>
      <w:r w:rsidRPr="003F1DEE">
        <w:rPr>
          <w:b/>
          <w:bCs/>
          <w:sz w:val="24"/>
          <w:szCs w:val="24"/>
        </w:rPr>
        <w:t xml:space="preserve"> </w:t>
      </w:r>
      <w:proofErr w:type="spellStart"/>
      <w:r w:rsidRPr="003F1DEE">
        <w:rPr>
          <w:b/>
          <w:bCs/>
          <w:sz w:val="24"/>
          <w:szCs w:val="24"/>
        </w:rPr>
        <w:t>and</w:t>
      </w:r>
      <w:proofErr w:type="spellEnd"/>
      <w:r w:rsidRPr="003F1DEE">
        <w:rPr>
          <w:b/>
          <w:bCs/>
          <w:sz w:val="24"/>
          <w:szCs w:val="24"/>
        </w:rPr>
        <w:t xml:space="preserve"> </w:t>
      </w:r>
      <w:proofErr w:type="spellStart"/>
      <w:r w:rsidRPr="003F1DEE">
        <w:rPr>
          <w:b/>
          <w:bCs/>
          <w:sz w:val="24"/>
          <w:szCs w:val="24"/>
        </w:rPr>
        <w:t>gender</w:t>
      </w:r>
      <w:proofErr w:type="spellEnd"/>
      <w:r w:rsidRPr="003F1DEE">
        <w:rPr>
          <w:b/>
          <w:bCs/>
          <w:sz w:val="24"/>
          <w:szCs w:val="24"/>
        </w:rPr>
        <w:t xml:space="preserve"> </w:t>
      </w:r>
      <w:proofErr w:type="spellStart"/>
      <w:r w:rsidRPr="003F1DEE">
        <w:rPr>
          <w:b/>
          <w:bCs/>
          <w:sz w:val="24"/>
          <w:szCs w:val="24"/>
        </w:rPr>
        <w:t>diversity</w:t>
      </w:r>
      <w:proofErr w:type="spellEnd"/>
      <w:r w:rsidRPr="003F1DEE">
        <w:rPr>
          <w:b/>
          <w:bCs/>
          <w:sz w:val="24"/>
          <w:szCs w:val="24"/>
        </w:rPr>
        <w:t xml:space="preserve"> in </w:t>
      </w:r>
      <w:proofErr w:type="spellStart"/>
      <w:r w:rsidRPr="003F1DEE">
        <w:rPr>
          <w:b/>
          <w:bCs/>
          <w:sz w:val="24"/>
          <w:szCs w:val="24"/>
        </w:rPr>
        <w:t>youth</w:t>
      </w:r>
      <w:proofErr w:type="spellEnd"/>
      <w:r w:rsidRPr="003F1DEE">
        <w:rPr>
          <w:b/>
          <w:bCs/>
          <w:sz w:val="24"/>
          <w:szCs w:val="24"/>
        </w:rPr>
        <w:t xml:space="preserve">: </w:t>
      </w:r>
      <w:proofErr w:type="spellStart"/>
      <w:r w:rsidRPr="003F1DEE">
        <w:rPr>
          <w:b/>
          <w:bCs/>
          <w:sz w:val="24"/>
          <w:szCs w:val="24"/>
        </w:rPr>
        <w:t>clinical</w:t>
      </w:r>
      <w:proofErr w:type="spellEnd"/>
      <w:r w:rsidRPr="003F1DEE">
        <w:rPr>
          <w:b/>
          <w:bCs/>
          <w:sz w:val="24"/>
          <w:szCs w:val="24"/>
        </w:rPr>
        <w:t xml:space="preserve"> perspectives. </w:t>
      </w:r>
      <w:proofErr w:type="spellStart"/>
      <w:r w:rsidRPr="003F1DEE">
        <w:rPr>
          <w:b/>
          <w:bCs/>
          <w:sz w:val="24"/>
          <w:szCs w:val="24"/>
        </w:rPr>
        <w:t>Child</w:t>
      </w:r>
      <w:proofErr w:type="spellEnd"/>
      <w:r w:rsidRPr="003F1DEE">
        <w:rPr>
          <w:b/>
          <w:bCs/>
          <w:sz w:val="24"/>
          <w:szCs w:val="24"/>
        </w:rPr>
        <w:t xml:space="preserve"> </w:t>
      </w:r>
      <w:proofErr w:type="spellStart"/>
      <w:r w:rsidRPr="003F1DEE">
        <w:rPr>
          <w:b/>
          <w:bCs/>
          <w:sz w:val="24"/>
          <w:szCs w:val="24"/>
        </w:rPr>
        <w:t>Adolesc</w:t>
      </w:r>
      <w:proofErr w:type="spellEnd"/>
      <w:r w:rsidRPr="008A281A">
        <w:rPr>
          <w:sz w:val="24"/>
          <w:szCs w:val="24"/>
        </w:rPr>
        <w:t xml:space="preserve">. </w:t>
      </w:r>
      <w:proofErr w:type="spellStart"/>
      <w:r w:rsidRPr="008A281A">
        <w:rPr>
          <w:sz w:val="24"/>
          <w:szCs w:val="24"/>
        </w:rPr>
        <w:t>Psychiatr</w:t>
      </w:r>
      <w:proofErr w:type="spellEnd"/>
      <w:r w:rsidRPr="008A281A">
        <w:rPr>
          <w:sz w:val="24"/>
          <w:szCs w:val="24"/>
        </w:rPr>
        <w:t>. Clin., v. 32, n. 4, p. 747–760, 2023. DOI: https://doi.org/10.1016/j.chc.2023.06.001.</w:t>
      </w:r>
    </w:p>
    <w:sectPr w:rsidR="00230A21" w:rsidRPr="008A281A" w:rsidSect="004F0844">
      <w:headerReference w:type="default" r:id="rId8"/>
      <w:pgSz w:w="11909" w:h="16834"/>
      <w:pgMar w:top="2977" w:right="1134" w:bottom="1276" w:left="1701" w:header="1696"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B5E4E" w14:textId="77777777" w:rsidR="00017C6D" w:rsidRDefault="00017C6D">
      <w:pPr>
        <w:spacing w:line="240" w:lineRule="auto"/>
      </w:pPr>
      <w:r>
        <w:separator/>
      </w:r>
    </w:p>
  </w:endnote>
  <w:endnote w:type="continuationSeparator" w:id="0">
    <w:p w14:paraId="531C1872" w14:textId="77777777" w:rsidR="00017C6D" w:rsidRDefault="00017C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F5280" w14:textId="77777777" w:rsidR="00017C6D" w:rsidRDefault="00017C6D">
      <w:pPr>
        <w:spacing w:line="240" w:lineRule="auto"/>
      </w:pPr>
      <w:r>
        <w:separator/>
      </w:r>
    </w:p>
  </w:footnote>
  <w:footnote w:type="continuationSeparator" w:id="0">
    <w:p w14:paraId="49E89572" w14:textId="77777777" w:rsidR="00017C6D" w:rsidRDefault="00017C6D">
      <w:pPr>
        <w:spacing w:line="240" w:lineRule="auto"/>
      </w:pPr>
      <w:r>
        <w:continuationSeparator/>
      </w:r>
    </w:p>
  </w:footnote>
  <w:footnote w:id="1">
    <w:p w14:paraId="284369F3" w14:textId="77777777" w:rsidR="004F0844" w:rsidRPr="004F0844" w:rsidRDefault="004F0844" w:rsidP="004F0844">
      <w:pPr>
        <w:pStyle w:val="Textodenotaderodap"/>
        <w:rPr>
          <w:rFonts w:ascii="Arial" w:hAnsi="Arial"/>
        </w:rPr>
      </w:pPr>
      <w:r w:rsidRPr="004F0844">
        <w:rPr>
          <w:rStyle w:val="Refdenotaderodap"/>
          <w:rFonts w:ascii="Arial" w:hAnsi="Arial"/>
        </w:rPr>
        <w:footnoteRef/>
      </w:r>
      <w:r w:rsidRPr="004F0844">
        <w:rPr>
          <w:rFonts w:ascii="Arial" w:hAnsi="Arial"/>
        </w:rPr>
        <w:t xml:space="preserve"> Acadêmico do curso de Direito da Universidade Federal do Maranhão, Campus Imperatriz. E-mail: barros.matheus@discente.ufma.com</w:t>
      </w:r>
    </w:p>
  </w:footnote>
  <w:footnote w:id="2">
    <w:p w14:paraId="042B12BF" w14:textId="01EBADE9" w:rsidR="005E52AE" w:rsidRPr="005165C1" w:rsidRDefault="005E52AE">
      <w:pPr>
        <w:pStyle w:val="Textodenotaderodap"/>
        <w:rPr>
          <w:rFonts w:ascii="Arial" w:hAnsi="Arial"/>
        </w:rPr>
      </w:pPr>
      <w:r>
        <w:rPr>
          <w:rStyle w:val="Refdenotaderodap"/>
        </w:rPr>
        <w:footnoteRef/>
      </w:r>
      <w:r>
        <w:t xml:space="preserve"> </w:t>
      </w:r>
      <w:r w:rsidRPr="00813C79">
        <w:rPr>
          <w:rFonts w:ascii="Arial" w:hAnsi="Arial"/>
        </w:rPr>
        <w:t xml:space="preserve">A íntegra da minuta legislativa desenvolvida nesta pesquisa, originalmente apresentada como Apêndice, encontra-se disponível para consulta </w:t>
      </w:r>
      <w:r w:rsidR="00125B10">
        <w:rPr>
          <w:rFonts w:ascii="Arial" w:hAnsi="Arial"/>
        </w:rPr>
        <w:t>em</w:t>
      </w:r>
      <w:r w:rsidR="005165C1">
        <w:rPr>
          <w:rFonts w:ascii="Arial" w:hAnsi="Arial"/>
        </w:rPr>
        <w:t xml:space="preserve"> </w:t>
      </w:r>
      <w:hyperlink r:id="rId1" w:history="1">
        <w:r w:rsidR="00230A21">
          <w:rPr>
            <w:rStyle w:val="Hyperlink"/>
            <w:rFonts w:ascii="Arial" w:hAnsi="Arial"/>
          </w:rPr>
          <w:t>dx.doi.org/10.6084/m9.figshare.29435588</w:t>
        </w:r>
      </w:hyperlink>
      <w:r w:rsidR="006234C3">
        <w:rPr>
          <w:rFonts w:ascii="Arial" w:hAnsi="Arial"/>
        </w:rPr>
        <w:t xml:space="preserve">, </w:t>
      </w:r>
      <w:r w:rsidRPr="00813C79">
        <w:rPr>
          <w:rFonts w:ascii="Arial" w:hAnsi="Arial"/>
        </w:rPr>
        <w:t xml:space="preserve">em PDF, sem identificação de autoria, conforme as diretrizes da </w:t>
      </w:r>
      <w:r w:rsidR="00AE3DB2">
        <w:rPr>
          <w:rFonts w:ascii="Arial" w:hAnsi="Arial"/>
        </w:rPr>
        <w:t xml:space="preserve">XII </w:t>
      </w:r>
      <w:r w:rsidRPr="00813C79">
        <w:rPr>
          <w:rFonts w:ascii="Arial" w:hAnsi="Arial"/>
        </w:rPr>
        <w:t>Jornada Internacional de Políticas Públicas da UFMA.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07D57" w14:textId="77777777" w:rsidR="00FF4348" w:rsidRDefault="00BA6EAC">
    <w:r>
      <w:rPr>
        <w:noProof/>
      </w:rPr>
      <w:pict w14:anchorId="16DF8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55pt;width:595.55pt;height:844.7pt;z-index:-251658240;visibility:visible;mso-wrap-distance-top:9pt;mso-wrap-distance-bottom:9pt;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6FAB"/>
    <w:rsid w:val="00017C6D"/>
    <w:rsid w:val="000247F3"/>
    <w:rsid w:val="00031FFD"/>
    <w:rsid w:val="0003221F"/>
    <w:rsid w:val="000405D5"/>
    <w:rsid w:val="0005167D"/>
    <w:rsid w:val="00057CEA"/>
    <w:rsid w:val="00066163"/>
    <w:rsid w:val="0008549A"/>
    <w:rsid w:val="000940A9"/>
    <w:rsid w:val="000D33B4"/>
    <w:rsid w:val="000D3E0A"/>
    <w:rsid w:val="000D51EA"/>
    <w:rsid w:val="000D59AA"/>
    <w:rsid w:val="000F663F"/>
    <w:rsid w:val="00105188"/>
    <w:rsid w:val="00110428"/>
    <w:rsid w:val="00123820"/>
    <w:rsid w:val="00125B10"/>
    <w:rsid w:val="00126EA1"/>
    <w:rsid w:val="00137F4A"/>
    <w:rsid w:val="00140267"/>
    <w:rsid w:val="00150EDF"/>
    <w:rsid w:val="00167D4A"/>
    <w:rsid w:val="001816F1"/>
    <w:rsid w:val="0018203F"/>
    <w:rsid w:val="00194133"/>
    <w:rsid w:val="001A3EB9"/>
    <w:rsid w:val="001D79F4"/>
    <w:rsid w:val="001E6BBE"/>
    <w:rsid w:val="001F3655"/>
    <w:rsid w:val="00203BE3"/>
    <w:rsid w:val="00220855"/>
    <w:rsid w:val="00227848"/>
    <w:rsid w:val="00230A21"/>
    <w:rsid w:val="00232FB9"/>
    <w:rsid w:val="00250DEE"/>
    <w:rsid w:val="00251707"/>
    <w:rsid w:val="002643FE"/>
    <w:rsid w:val="00292980"/>
    <w:rsid w:val="002B22E3"/>
    <w:rsid w:val="002B30E2"/>
    <w:rsid w:val="002D2749"/>
    <w:rsid w:val="002D7401"/>
    <w:rsid w:val="0033539B"/>
    <w:rsid w:val="00342405"/>
    <w:rsid w:val="0034266A"/>
    <w:rsid w:val="00380D5D"/>
    <w:rsid w:val="00383C2B"/>
    <w:rsid w:val="003A1774"/>
    <w:rsid w:val="003A204F"/>
    <w:rsid w:val="003B37FB"/>
    <w:rsid w:val="003D533F"/>
    <w:rsid w:val="003F1DEE"/>
    <w:rsid w:val="003F3B02"/>
    <w:rsid w:val="003F5FB2"/>
    <w:rsid w:val="00403E59"/>
    <w:rsid w:val="00407A43"/>
    <w:rsid w:val="00414241"/>
    <w:rsid w:val="00446EE5"/>
    <w:rsid w:val="00456659"/>
    <w:rsid w:val="00486F14"/>
    <w:rsid w:val="0049372B"/>
    <w:rsid w:val="00497869"/>
    <w:rsid w:val="004B6620"/>
    <w:rsid w:val="004C5239"/>
    <w:rsid w:val="004D247A"/>
    <w:rsid w:val="004D36F2"/>
    <w:rsid w:val="004D5EDC"/>
    <w:rsid w:val="004F0844"/>
    <w:rsid w:val="004F1955"/>
    <w:rsid w:val="004F2CE2"/>
    <w:rsid w:val="004F776F"/>
    <w:rsid w:val="005165C1"/>
    <w:rsid w:val="005333D4"/>
    <w:rsid w:val="005432DB"/>
    <w:rsid w:val="00545E8C"/>
    <w:rsid w:val="00561A8D"/>
    <w:rsid w:val="00577BC4"/>
    <w:rsid w:val="0058044A"/>
    <w:rsid w:val="00582A0F"/>
    <w:rsid w:val="005947EE"/>
    <w:rsid w:val="005B7479"/>
    <w:rsid w:val="005C4655"/>
    <w:rsid w:val="005C4CF8"/>
    <w:rsid w:val="005D689A"/>
    <w:rsid w:val="005E52AE"/>
    <w:rsid w:val="005E7207"/>
    <w:rsid w:val="005F2E1F"/>
    <w:rsid w:val="005F3387"/>
    <w:rsid w:val="00600426"/>
    <w:rsid w:val="00606E35"/>
    <w:rsid w:val="00613748"/>
    <w:rsid w:val="00614CF8"/>
    <w:rsid w:val="006234C3"/>
    <w:rsid w:val="00624675"/>
    <w:rsid w:val="006253E8"/>
    <w:rsid w:val="00644615"/>
    <w:rsid w:val="00644628"/>
    <w:rsid w:val="006464C3"/>
    <w:rsid w:val="0065503D"/>
    <w:rsid w:val="00656D58"/>
    <w:rsid w:val="00662E86"/>
    <w:rsid w:val="00663D70"/>
    <w:rsid w:val="00681514"/>
    <w:rsid w:val="00684A15"/>
    <w:rsid w:val="00694F86"/>
    <w:rsid w:val="006C0A1A"/>
    <w:rsid w:val="006C159C"/>
    <w:rsid w:val="006F68A6"/>
    <w:rsid w:val="0070047A"/>
    <w:rsid w:val="007073D6"/>
    <w:rsid w:val="00707C7B"/>
    <w:rsid w:val="00710CEF"/>
    <w:rsid w:val="00711AAD"/>
    <w:rsid w:val="007143AD"/>
    <w:rsid w:val="00721D14"/>
    <w:rsid w:val="007225C7"/>
    <w:rsid w:val="007344FF"/>
    <w:rsid w:val="00751F20"/>
    <w:rsid w:val="00757844"/>
    <w:rsid w:val="00761740"/>
    <w:rsid w:val="0077070D"/>
    <w:rsid w:val="00776458"/>
    <w:rsid w:val="00792087"/>
    <w:rsid w:val="007A5F89"/>
    <w:rsid w:val="007F0487"/>
    <w:rsid w:val="0080783F"/>
    <w:rsid w:val="00811710"/>
    <w:rsid w:val="008127AB"/>
    <w:rsid w:val="00813C79"/>
    <w:rsid w:val="008141F9"/>
    <w:rsid w:val="00834893"/>
    <w:rsid w:val="008348EC"/>
    <w:rsid w:val="00840381"/>
    <w:rsid w:val="00850E07"/>
    <w:rsid w:val="00861A22"/>
    <w:rsid w:val="008630DB"/>
    <w:rsid w:val="00865928"/>
    <w:rsid w:val="00876592"/>
    <w:rsid w:val="008767E2"/>
    <w:rsid w:val="0087789D"/>
    <w:rsid w:val="008A281A"/>
    <w:rsid w:val="008A3D1E"/>
    <w:rsid w:val="008A3DC2"/>
    <w:rsid w:val="008A6E66"/>
    <w:rsid w:val="008C0F3F"/>
    <w:rsid w:val="008C12A3"/>
    <w:rsid w:val="008C4AED"/>
    <w:rsid w:val="008D295D"/>
    <w:rsid w:val="008D7D22"/>
    <w:rsid w:val="008F66D7"/>
    <w:rsid w:val="009102A9"/>
    <w:rsid w:val="00915E6D"/>
    <w:rsid w:val="0093295F"/>
    <w:rsid w:val="00937B43"/>
    <w:rsid w:val="00970726"/>
    <w:rsid w:val="00996256"/>
    <w:rsid w:val="009A24D8"/>
    <w:rsid w:val="009A6B6D"/>
    <w:rsid w:val="009B5A7E"/>
    <w:rsid w:val="009C3A4D"/>
    <w:rsid w:val="009D304B"/>
    <w:rsid w:val="009D7597"/>
    <w:rsid w:val="00A06D30"/>
    <w:rsid w:val="00A466C1"/>
    <w:rsid w:val="00A60F8F"/>
    <w:rsid w:val="00A669C2"/>
    <w:rsid w:val="00A90EDF"/>
    <w:rsid w:val="00A92F3E"/>
    <w:rsid w:val="00AC16BA"/>
    <w:rsid w:val="00AC69FA"/>
    <w:rsid w:val="00AD2715"/>
    <w:rsid w:val="00AE3DB2"/>
    <w:rsid w:val="00AE5089"/>
    <w:rsid w:val="00AE54DD"/>
    <w:rsid w:val="00AE79B4"/>
    <w:rsid w:val="00B021CD"/>
    <w:rsid w:val="00B53F41"/>
    <w:rsid w:val="00B619E4"/>
    <w:rsid w:val="00B701E7"/>
    <w:rsid w:val="00B82FA0"/>
    <w:rsid w:val="00BA2390"/>
    <w:rsid w:val="00BB06AC"/>
    <w:rsid w:val="00BB2EE2"/>
    <w:rsid w:val="00BC7C70"/>
    <w:rsid w:val="00C05877"/>
    <w:rsid w:val="00C2759B"/>
    <w:rsid w:val="00C33B0E"/>
    <w:rsid w:val="00C3459C"/>
    <w:rsid w:val="00C45161"/>
    <w:rsid w:val="00C45F42"/>
    <w:rsid w:val="00C54DE3"/>
    <w:rsid w:val="00C62A99"/>
    <w:rsid w:val="00C82D9F"/>
    <w:rsid w:val="00CA09A3"/>
    <w:rsid w:val="00CD2C90"/>
    <w:rsid w:val="00CD75E4"/>
    <w:rsid w:val="00D030DB"/>
    <w:rsid w:val="00D10172"/>
    <w:rsid w:val="00D26F0A"/>
    <w:rsid w:val="00D45A57"/>
    <w:rsid w:val="00D45E50"/>
    <w:rsid w:val="00D5046A"/>
    <w:rsid w:val="00D76935"/>
    <w:rsid w:val="00D772F0"/>
    <w:rsid w:val="00D85A39"/>
    <w:rsid w:val="00D95C4D"/>
    <w:rsid w:val="00D96E10"/>
    <w:rsid w:val="00D96ED0"/>
    <w:rsid w:val="00DA69D1"/>
    <w:rsid w:val="00DB037B"/>
    <w:rsid w:val="00DB658A"/>
    <w:rsid w:val="00DE2EE7"/>
    <w:rsid w:val="00DF0B6B"/>
    <w:rsid w:val="00E204D3"/>
    <w:rsid w:val="00E21550"/>
    <w:rsid w:val="00E22175"/>
    <w:rsid w:val="00E41376"/>
    <w:rsid w:val="00E46A7B"/>
    <w:rsid w:val="00E61C1D"/>
    <w:rsid w:val="00E63ED9"/>
    <w:rsid w:val="00E64E46"/>
    <w:rsid w:val="00E67B2D"/>
    <w:rsid w:val="00E856D5"/>
    <w:rsid w:val="00E8799F"/>
    <w:rsid w:val="00EA23D0"/>
    <w:rsid w:val="00EE5D18"/>
    <w:rsid w:val="00F138B4"/>
    <w:rsid w:val="00F14D3B"/>
    <w:rsid w:val="00F17478"/>
    <w:rsid w:val="00F2735F"/>
    <w:rsid w:val="00F374B4"/>
    <w:rsid w:val="00F42FF0"/>
    <w:rsid w:val="00F4391D"/>
    <w:rsid w:val="00F84B61"/>
    <w:rsid w:val="00F86C97"/>
    <w:rsid w:val="00F91249"/>
    <w:rsid w:val="00FA7AB3"/>
    <w:rsid w:val="00FC2ED6"/>
    <w:rsid w:val="00FC77B4"/>
    <w:rsid w:val="00FE79B3"/>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DC2A2"/>
  <w15:docId w15:val="{9695DE36-FABD-4E40-849D-A7B10431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07"/>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4F0844"/>
    <w:pPr>
      <w:spacing w:line="240" w:lineRule="auto"/>
    </w:pPr>
    <w:rPr>
      <w:rFonts w:ascii="Aptos" w:eastAsia="Aptos" w:hAnsi="Aptos"/>
      <w:kern w:val="2"/>
      <w:sz w:val="20"/>
      <w:szCs w:val="20"/>
      <w:lang w:eastAsia="en-US"/>
    </w:rPr>
  </w:style>
  <w:style w:type="character" w:customStyle="1" w:styleId="TextodenotaderodapChar">
    <w:name w:val="Texto de nota de rodapé Char"/>
    <w:link w:val="Textodenotaderodap"/>
    <w:uiPriority w:val="99"/>
    <w:semiHidden/>
    <w:rsid w:val="004F0844"/>
    <w:rPr>
      <w:rFonts w:ascii="Aptos" w:eastAsia="Aptos" w:hAnsi="Aptos"/>
      <w:kern w:val="2"/>
      <w:lang w:eastAsia="en-US"/>
    </w:rPr>
  </w:style>
  <w:style w:type="character" w:styleId="Refdenotaderodap">
    <w:name w:val="footnote reference"/>
    <w:uiPriority w:val="99"/>
    <w:semiHidden/>
    <w:unhideWhenUsed/>
    <w:rsid w:val="004F0844"/>
    <w:rPr>
      <w:vertAlign w:val="superscript"/>
    </w:rPr>
  </w:style>
  <w:style w:type="character" w:styleId="Hyperlink">
    <w:name w:val="Hyperlink"/>
    <w:uiPriority w:val="99"/>
    <w:unhideWhenUsed/>
    <w:rsid w:val="004F0844"/>
    <w:rPr>
      <w:color w:val="467886"/>
      <w:u w:val="single"/>
    </w:rPr>
  </w:style>
  <w:style w:type="character" w:styleId="MenoPendente">
    <w:name w:val="Unresolved Mention"/>
    <w:uiPriority w:val="99"/>
    <w:semiHidden/>
    <w:unhideWhenUsed/>
    <w:rsid w:val="004F0844"/>
    <w:rPr>
      <w:color w:val="605E5C"/>
      <w:shd w:val="clear" w:color="auto" w:fill="E1DFDD"/>
    </w:rPr>
  </w:style>
  <w:style w:type="character" w:styleId="HiperlinkVisitado">
    <w:name w:val="FollowedHyperlink"/>
    <w:uiPriority w:val="99"/>
    <w:semiHidden/>
    <w:unhideWhenUsed/>
    <w:rsid w:val="00F84B61"/>
    <w:rPr>
      <w:color w:val="96607D"/>
      <w:u w:val="single"/>
    </w:rPr>
  </w:style>
  <w:style w:type="table" w:customStyle="1" w:styleId="TableNormal1">
    <w:name w:val="Table Normal1"/>
    <w:rsid w:val="00D85A39"/>
    <w:pPr>
      <w:spacing w:line="276" w:lineRule="auto"/>
    </w:pPr>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x.doi.org/10.6084/m9.figshare.294355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A6D6A-00FC-45D0-8AAD-4C2B86B8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3960</Words>
  <Characters>21387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25297</CharactersWithSpaces>
  <SharedDoc>false</SharedDoc>
  <HLinks>
    <vt:vector size="6" baseType="variant">
      <vt:variant>
        <vt:i4>2162740</vt:i4>
      </vt:variant>
      <vt:variant>
        <vt:i4>0</vt:i4>
      </vt:variant>
      <vt:variant>
        <vt:i4>0</vt:i4>
      </vt:variant>
      <vt:variant>
        <vt:i4>5</vt:i4>
      </vt:variant>
      <vt:variant>
        <vt:lpwstr>https://dx.doi.org/10.6084/m9.figshare.29435588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matheus barros</cp:lastModifiedBy>
  <cp:revision>2</cp:revision>
  <cp:lastPrinted>2025-07-04T22:17:00Z</cp:lastPrinted>
  <dcterms:created xsi:type="dcterms:W3CDTF">2025-07-05T00:50:00Z</dcterms:created>
  <dcterms:modified xsi:type="dcterms:W3CDTF">2025-07-05T00:50:00Z</dcterms:modified>
</cp:coreProperties>
</file>