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F8863" w14:textId="4DF16E5A" w:rsidR="00A53456" w:rsidRDefault="00000000" w:rsidP="003B0BA1">
      <w:pPr>
        <w:spacing w:line="360" w:lineRule="auto"/>
        <w:jc w:val="center"/>
        <w:rPr>
          <w:b/>
          <w:sz w:val="24"/>
          <w:szCs w:val="24"/>
        </w:rPr>
      </w:pPr>
      <w:r>
        <w:rPr>
          <w:b/>
          <w:sz w:val="24"/>
          <w:szCs w:val="24"/>
        </w:rPr>
        <w:t>DOMÍNIOS DO SUPORTE SOCIAL ENTRE CUIDADORES DA PESSOA IDOSA NO MUNICÍPIO DE VITÓRIA</w:t>
      </w:r>
    </w:p>
    <w:p w14:paraId="79CBC6D8" w14:textId="77777777" w:rsidR="00DA3C48" w:rsidRDefault="00DA3C48" w:rsidP="003B0BA1">
      <w:pPr>
        <w:spacing w:line="360" w:lineRule="auto"/>
        <w:jc w:val="center"/>
        <w:rPr>
          <w:sz w:val="20"/>
          <w:szCs w:val="20"/>
        </w:rPr>
      </w:pPr>
    </w:p>
    <w:p w14:paraId="477C58F2" w14:textId="7D401C34" w:rsidR="00513D7D" w:rsidRPr="00DA3C48" w:rsidRDefault="00DA3C48" w:rsidP="00513D7D">
      <w:pPr>
        <w:pStyle w:val="Autores"/>
        <w:spacing w:after="0"/>
        <w:ind w:hanging="2"/>
        <w:rPr>
          <w:rFonts w:ascii="Arial" w:hAnsi="Arial" w:cs="Arial"/>
          <w:b w:val="0"/>
          <w:bCs/>
        </w:rPr>
      </w:pPr>
      <w:r w:rsidRPr="00DA3C48">
        <w:rPr>
          <w:rFonts w:ascii="Arial" w:hAnsi="Arial" w:cs="Arial"/>
          <w:b w:val="0"/>
          <w:bCs/>
          <w:noProof/>
        </w:rPr>
        <w:t xml:space="preserve">Millena Morellato De Souza </w:t>
      </w:r>
      <w:r w:rsidR="00513D7D" w:rsidRPr="00DA3C48">
        <w:rPr>
          <w:rStyle w:val="ncoradanotaderodap"/>
          <w:rFonts w:ascii="Arial" w:hAnsi="Arial" w:cs="Arial"/>
          <w:b w:val="0"/>
          <w:bCs/>
        </w:rPr>
        <w:footnoteReference w:id="1"/>
      </w:r>
      <w:r w:rsidRPr="00DA3C48">
        <w:rPr>
          <w:rFonts w:ascii="Arial" w:hAnsi="Arial" w:cs="Arial"/>
          <w:b w:val="0"/>
          <w:bCs/>
        </w:rPr>
        <w:t xml:space="preserve"> </w:t>
      </w:r>
    </w:p>
    <w:p w14:paraId="086D1289" w14:textId="5856B66E" w:rsidR="00513D7D" w:rsidRPr="00537CA7" w:rsidRDefault="00DA3C48" w:rsidP="00513D7D">
      <w:pPr>
        <w:pStyle w:val="Autores"/>
        <w:spacing w:after="0"/>
        <w:ind w:hanging="2"/>
        <w:rPr>
          <w:rFonts w:ascii="Arial" w:hAnsi="Arial" w:cs="Arial"/>
          <w:b w:val="0"/>
          <w:bCs/>
        </w:rPr>
      </w:pPr>
      <w:r w:rsidRPr="00DA3C48">
        <w:rPr>
          <w:rFonts w:ascii="Arial" w:hAnsi="Arial" w:cs="Arial"/>
          <w:b w:val="0"/>
          <w:bCs/>
          <w:noProof/>
        </w:rPr>
        <w:t>Keffyne Gonçalves De Sten Da Silva</w:t>
      </w:r>
      <w:r w:rsidRPr="00537CA7">
        <w:rPr>
          <w:rStyle w:val="ncoradanotaderodap"/>
          <w:rFonts w:ascii="Arial" w:hAnsi="Arial" w:cs="Arial"/>
          <w:b w:val="0"/>
          <w:bCs/>
        </w:rPr>
        <w:t xml:space="preserve"> </w:t>
      </w:r>
      <w:r w:rsidR="00513D7D" w:rsidRPr="00537CA7">
        <w:rPr>
          <w:rStyle w:val="ncoradanotaderodap"/>
          <w:rFonts w:ascii="Arial" w:hAnsi="Arial" w:cs="Arial"/>
          <w:b w:val="0"/>
          <w:bCs/>
        </w:rPr>
        <w:footnoteReference w:id="2"/>
      </w:r>
    </w:p>
    <w:p w14:paraId="5B6CC458" w14:textId="3111D089" w:rsidR="00513D7D" w:rsidRPr="00537CA7" w:rsidRDefault="00513D7D" w:rsidP="00513D7D">
      <w:pPr>
        <w:pStyle w:val="Autores"/>
        <w:spacing w:after="0"/>
        <w:ind w:hanging="2"/>
        <w:rPr>
          <w:rFonts w:ascii="Arial" w:hAnsi="Arial" w:cs="Arial"/>
          <w:b w:val="0"/>
          <w:bCs/>
        </w:rPr>
      </w:pPr>
      <w:r w:rsidRPr="00537CA7">
        <w:rPr>
          <w:rFonts w:ascii="Arial" w:hAnsi="Arial" w:cs="Arial"/>
          <w:b w:val="0"/>
          <w:bCs/>
        </w:rPr>
        <w:t>Maressa da Silva Felici</w:t>
      </w:r>
      <w:r w:rsidRPr="00537CA7">
        <w:rPr>
          <w:rStyle w:val="ncoradanotaderodap"/>
          <w:rFonts w:ascii="Arial" w:hAnsi="Arial" w:cs="Arial"/>
          <w:b w:val="0"/>
          <w:bCs/>
        </w:rPr>
        <w:t xml:space="preserve"> </w:t>
      </w:r>
      <w:r w:rsidRPr="00537CA7">
        <w:rPr>
          <w:rStyle w:val="ncoradanotaderodap"/>
          <w:rFonts w:ascii="Arial" w:hAnsi="Arial" w:cs="Arial"/>
          <w:b w:val="0"/>
          <w:bCs/>
        </w:rPr>
        <w:footnoteReference w:id="3"/>
      </w:r>
    </w:p>
    <w:p w14:paraId="76B5551C" w14:textId="77777777" w:rsidR="00513D7D" w:rsidRPr="00537CA7" w:rsidRDefault="00513D7D" w:rsidP="00513D7D">
      <w:pPr>
        <w:pStyle w:val="Autores"/>
        <w:spacing w:after="0"/>
        <w:ind w:hanging="2"/>
        <w:rPr>
          <w:rFonts w:ascii="Arial" w:hAnsi="Arial" w:cs="Arial"/>
          <w:b w:val="0"/>
          <w:bCs/>
        </w:rPr>
      </w:pPr>
      <w:r w:rsidRPr="00537CA7">
        <w:rPr>
          <w:rFonts w:ascii="Arial" w:hAnsi="Arial" w:cs="Arial"/>
          <w:b w:val="0"/>
          <w:bCs/>
        </w:rPr>
        <w:t>Maria Carolina Pereira e Silva</w:t>
      </w:r>
      <w:r w:rsidRPr="00537CA7">
        <w:rPr>
          <w:rStyle w:val="ncoradanotaderodap"/>
          <w:rFonts w:ascii="Arial" w:hAnsi="Arial" w:cs="Arial"/>
          <w:b w:val="0"/>
          <w:bCs/>
        </w:rPr>
        <w:footnoteReference w:id="4"/>
      </w:r>
    </w:p>
    <w:p w14:paraId="258EF7A7" w14:textId="77777777" w:rsidR="00513D7D" w:rsidRPr="00537CA7" w:rsidRDefault="00513D7D" w:rsidP="00513D7D">
      <w:pPr>
        <w:pStyle w:val="Autores"/>
        <w:spacing w:after="0"/>
        <w:ind w:hanging="2"/>
        <w:rPr>
          <w:rFonts w:ascii="Arial" w:hAnsi="Arial" w:cs="Arial"/>
          <w:b w:val="0"/>
          <w:bCs/>
        </w:rPr>
      </w:pPr>
      <w:r w:rsidRPr="00537CA7">
        <w:rPr>
          <w:rFonts w:ascii="Arial" w:hAnsi="Arial" w:cs="Arial"/>
          <w:b w:val="0"/>
          <w:bCs/>
        </w:rPr>
        <w:t>Luciana Carrupt Machado Sogame</w:t>
      </w:r>
      <w:r w:rsidRPr="00537CA7">
        <w:rPr>
          <w:rFonts w:ascii="Arial" w:hAnsi="Arial" w:cs="Arial"/>
          <w:b w:val="0"/>
          <w:bCs/>
          <w:vertAlign w:val="superscript"/>
        </w:rPr>
        <w:t>5</w:t>
      </w:r>
    </w:p>
    <w:p w14:paraId="78BF8B78" w14:textId="77777777" w:rsidR="00513D7D" w:rsidRPr="00EC7C94" w:rsidRDefault="00513D7D" w:rsidP="00513D7D">
      <w:pPr>
        <w:spacing w:line="240" w:lineRule="auto"/>
        <w:ind w:hanging="2"/>
        <w:jc w:val="both"/>
        <w:rPr>
          <w:sz w:val="20"/>
          <w:szCs w:val="20"/>
        </w:rPr>
      </w:pPr>
    </w:p>
    <w:p w14:paraId="1DAC4797" w14:textId="77777777" w:rsidR="00A53456" w:rsidRPr="003B0BA1" w:rsidRDefault="00000000" w:rsidP="007A5CF9">
      <w:pPr>
        <w:spacing w:line="240" w:lineRule="auto"/>
        <w:jc w:val="both"/>
        <w:rPr>
          <w:sz w:val="20"/>
          <w:szCs w:val="20"/>
        </w:rPr>
      </w:pPr>
      <w:r w:rsidRPr="003B0BA1">
        <w:rPr>
          <w:b/>
          <w:sz w:val="20"/>
          <w:szCs w:val="20"/>
        </w:rPr>
        <w:t>Resumo</w:t>
      </w:r>
    </w:p>
    <w:p w14:paraId="75432240" w14:textId="1B7041B7" w:rsidR="00A53456" w:rsidRPr="003B0BA1" w:rsidRDefault="00000000" w:rsidP="007A5CF9">
      <w:pPr>
        <w:spacing w:line="240" w:lineRule="auto"/>
        <w:jc w:val="both"/>
        <w:rPr>
          <w:sz w:val="20"/>
          <w:szCs w:val="20"/>
        </w:rPr>
      </w:pPr>
      <w:r w:rsidRPr="003B0BA1">
        <w:rPr>
          <w:rFonts w:eastAsia="Arial Unicode MS"/>
          <w:sz w:val="20"/>
          <w:szCs w:val="20"/>
        </w:rPr>
        <w:t xml:space="preserve">As demandas do cuidado podem gerar sobrecarga ao cuidador, sendo o suporte social necessário para qualidade de vida. </w:t>
      </w:r>
      <w:r w:rsidR="00513D7D" w:rsidRPr="003B0BA1">
        <w:rPr>
          <w:rFonts w:eastAsia="Arial Unicode MS"/>
          <w:sz w:val="20"/>
          <w:szCs w:val="20"/>
        </w:rPr>
        <w:t>Identificar</w:t>
      </w:r>
      <w:r w:rsidRPr="003B0BA1">
        <w:rPr>
          <w:rFonts w:eastAsia="Arial Unicode MS"/>
          <w:sz w:val="20"/>
          <w:szCs w:val="20"/>
        </w:rPr>
        <w:t xml:space="preserve"> o suporte social em cuidadores de pessoas idosas de uma unidade de saúde da família em Vitória-ES. Estudo de séries de casos realizado com 23 cuidadores e analisados o perfil sociodemográfico, econômico e suporte social. Para o suporte social foi utilizada a MOS-SSS, que possui 5 domínios: interação social positiva, suporte afetivo, suporte emocional, suporte de informação e apoio material. </w:t>
      </w:r>
      <w:r w:rsidR="00513D7D" w:rsidRPr="003B0BA1">
        <w:rPr>
          <w:rFonts w:eastAsia="Arial Unicode MS"/>
          <w:sz w:val="20"/>
          <w:szCs w:val="20"/>
        </w:rPr>
        <w:t xml:space="preserve">A maioria dos </w:t>
      </w:r>
      <w:r w:rsidRPr="003B0BA1">
        <w:rPr>
          <w:rFonts w:eastAsia="Arial Unicode MS"/>
          <w:sz w:val="20"/>
          <w:szCs w:val="20"/>
        </w:rPr>
        <w:t xml:space="preserve"> cuidadores eram mulheres, aposentados,</w:t>
      </w:r>
      <w:r w:rsidR="00513D7D" w:rsidRPr="003B0BA1">
        <w:rPr>
          <w:rFonts w:eastAsia="Arial Unicode MS"/>
          <w:sz w:val="20"/>
          <w:szCs w:val="20"/>
        </w:rPr>
        <w:t xml:space="preserve"> com</w:t>
      </w:r>
      <w:r w:rsidRPr="003B0BA1">
        <w:rPr>
          <w:rFonts w:eastAsia="Arial Unicode MS"/>
          <w:sz w:val="20"/>
          <w:szCs w:val="20"/>
        </w:rPr>
        <w:t xml:space="preserve"> renda de até um salário-mínimo, todos</w:t>
      </w:r>
      <w:r w:rsidR="00513D7D" w:rsidRPr="003B0BA1">
        <w:rPr>
          <w:rFonts w:eastAsia="Arial Unicode MS"/>
          <w:sz w:val="20"/>
          <w:szCs w:val="20"/>
        </w:rPr>
        <w:t xml:space="preserve"> eram</w:t>
      </w:r>
      <w:r w:rsidRPr="003B0BA1">
        <w:rPr>
          <w:rFonts w:eastAsia="Arial Unicode MS"/>
          <w:sz w:val="20"/>
          <w:szCs w:val="20"/>
        </w:rPr>
        <w:t xml:space="preserve"> familiares e não possuíam capacitação, apresentavam morbidades, não </w:t>
      </w:r>
      <w:r w:rsidR="00513D7D" w:rsidRPr="003B0BA1">
        <w:rPr>
          <w:rFonts w:eastAsia="Arial Unicode MS"/>
          <w:sz w:val="20"/>
          <w:szCs w:val="20"/>
        </w:rPr>
        <w:t>praticavam atividade de</w:t>
      </w:r>
      <w:r w:rsidRPr="003B0BA1">
        <w:rPr>
          <w:rFonts w:eastAsia="Arial Unicode MS"/>
          <w:sz w:val="20"/>
          <w:szCs w:val="20"/>
        </w:rPr>
        <w:t xml:space="preserve"> lazer. No suporte social, o domínio com menor percepção foi emocional e de informação (56,52%) e o maior foi suporte material (84,75%). Os achados evidenciam fragilidade emocional e informacional relacionada ao suporte social enfrentado pelos cuidadores de idosos em Vitória-ES. </w:t>
      </w:r>
    </w:p>
    <w:p w14:paraId="2B85EC82" w14:textId="184AA05D" w:rsidR="00A53456" w:rsidRPr="003B0BA1" w:rsidRDefault="00000000" w:rsidP="007A5CF9">
      <w:pPr>
        <w:spacing w:line="240" w:lineRule="auto"/>
        <w:jc w:val="both"/>
        <w:rPr>
          <w:sz w:val="20"/>
          <w:szCs w:val="20"/>
        </w:rPr>
      </w:pPr>
      <w:r w:rsidRPr="003B0BA1">
        <w:rPr>
          <w:b/>
          <w:sz w:val="20"/>
          <w:szCs w:val="20"/>
        </w:rPr>
        <w:t>Palavras-chave</w:t>
      </w:r>
      <w:r w:rsidRPr="003B0BA1">
        <w:rPr>
          <w:sz w:val="20"/>
          <w:szCs w:val="20"/>
        </w:rPr>
        <w:t>:</w:t>
      </w:r>
      <w:r w:rsidR="00513D7D" w:rsidRPr="003B0BA1">
        <w:rPr>
          <w:sz w:val="20"/>
          <w:szCs w:val="20"/>
        </w:rPr>
        <w:t xml:space="preserve"> </w:t>
      </w:r>
      <w:r w:rsidRPr="003B0BA1">
        <w:rPr>
          <w:sz w:val="20"/>
          <w:szCs w:val="20"/>
        </w:rPr>
        <w:t>Pessoa idosa; Cuidadores; Apoio social.</w:t>
      </w:r>
    </w:p>
    <w:p w14:paraId="1028CFB3" w14:textId="77777777" w:rsidR="007A5CF9" w:rsidRPr="003B0BA1" w:rsidRDefault="007A5CF9" w:rsidP="007A5CF9">
      <w:pPr>
        <w:spacing w:line="240" w:lineRule="auto"/>
        <w:jc w:val="both"/>
        <w:rPr>
          <w:b/>
          <w:sz w:val="20"/>
          <w:szCs w:val="20"/>
        </w:rPr>
      </w:pPr>
    </w:p>
    <w:p w14:paraId="60A9580A" w14:textId="297532C1" w:rsidR="00A53456" w:rsidRPr="003B0BA1" w:rsidRDefault="00000000" w:rsidP="007A5CF9">
      <w:pPr>
        <w:spacing w:line="240" w:lineRule="auto"/>
        <w:jc w:val="both"/>
        <w:rPr>
          <w:sz w:val="20"/>
          <w:szCs w:val="20"/>
        </w:rPr>
      </w:pPr>
      <w:r w:rsidRPr="003B0BA1">
        <w:rPr>
          <w:b/>
          <w:sz w:val="20"/>
          <w:szCs w:val="20"/>
        </w:rPr>
        <w:t>Abstract</w:t>
      </w:r>
    </w:p>
    <w:p w14:paraId="1869A182" w14:textId="77777777" w:rsidR="00513D7D" w:rsidRPr="00513D7D" w:rsidRDefault="00513D7D" w:rsidP="007A5CF9">
      <w:pPr>
        <w:spacing w:line="240" w:lineRule="auto"/>
        <w:jc w:val="both"/>
        <w:rPr>
          <w:sz w:val="20"/>
          <w:szCs w:val="20"/>
        </w:rPr>
      </w:pPr>
      <w:r w:rsidRPr="00513D7D">
        <w:rPr>
          <w:sz w:val="20"/>
          <w:szCs w:val="20"/>
          <w:lang w:val="en"/>
        </w:rPr>
        <w:t>The demands of care can overload the caregiver, and social support is necessary for quality of life. To identify social support in caregivers of elderly people in a family health unit in Vitória-ES. A case series study was carried out with 23 caregivers and detailed their sociodemographic, economic and social support profiles. For social support, the MOS-SSS was used, which has 5 domains: positive social interaction, affective support, emotional support, informational support and material support. Most caregivers were women, retired, with an income of up to one minimum wage, all were family members and had no training, presented morbidities, and did not practice leisure activities. In social support, the domain with the lowest perception was emotional and informational support (56.52%) and the highest was material support (84.75%). The results show emotional and informational fragility related to social support faced by caregivers of elderly people in Vitória-ES.</w:t>
      </w:r>
    </w:p>
    <w:p w14:paraId="5064C7DF" w14:textId="77777777" w:rsidR="00513D7D" w:rsidRPr="003B0BA1" w:rsidRDefault="00000000" w:rsidP="007A5CF9">
      <w:pPr>
        <w:spacing w:line="240" w:lineRule="auto"/>
        <w:jc w:val="both"/>
        <w:rPr>
          <w:sz w:val="20"/>
          <w:szCs w:val="20"/>
        </w:rPr>
      </w:pPr>
      <w:r w:rsidRPr="003B0BA1">
        <w:rPr>
          <w:b/>
          <w:sz w:val="20"/>
          <w:szCs w:val="20"/>
        </w:rPr>
        <w:t>Keywords</w:t>
      </w:r>
      <w:r w:rsidRPr="003B0BA1">
        <w:rPr>
          <w:sz w:val="20"/>
          <w:szCs w:val="20"/>
        </w:rPr>
        <w:t xml:space="preserve">: </w:t>
      </w:r>
      <w:r w:rsidR="00513D7D" w:rsidRPr="003B0BA1">
        <w:rPr>
          <w:sz w:val="20"/>
          <w:szCs w:val="20"/>
          <w:lang w:val="en"/>
        </w:rPr>
        <w:t>Elderly person; Caregivers; Social support.</w:t>
      </w:r>
    </w:p>
    <w:p w14:paraId="28671C95" w14:textId="77777777" w:rsidR="00513D7D" w:rsidRDefault="00513D7D">
      <w:pPr>
        <w:spacing w:line="360" w:lineRule="auto"/>
        <w:rPr>
          <w:b/>
          <w:sz w:val="24"/>
          <w:szCs w:val="24"/>
        </w:rPr>
      </w:pPr>
    </w:p>
    <w:p w14:paraId="67D5245F" w14:textId="77777777" w:rsidR="003B0BA1" w:rsidRDefault="003B0BA1">
      <w:pPr>
        <w:spacing w:line="360" w:lineRule="auto"/>
        <w:rPr>
          <w:b/>
          <w:sz w:val="24"/>
          <w:szCs w:val="24"/>
        </w:rPr>
      </w:pPr>
    </w:p>
    <w:p w14:paraId="3778CC7D" w14:textId="77777777" w:rsidR="003B0BA1" w:rsidRDefault="003B0BA1">
      <w:pPr>
        <w:spacing w:line="360" w:lineRule="auto"/>
        <w:rPr>
          <w:b/>
          <w:sz w:val="24"/>
          <w:szCs w:val="24"/>
        </w:rPr>
      </w:pPr>
    </w:p>
    <w:p w14:paraId="6132FECF" w14:textId="7C662C4E" w:rsidR="003B0BA1" w:rsidRDefault="00000000" w:rsidP="003B0BA1">
      <w:pPr>
        <w:pStyle w:val="PargrafodaLista"/>
        <w:numPr>
          <w:ilvl w:val="0"/>
          <w:numId w:val="1"/>
        </w:numPr>
        <w:spacing w:line="240" w:lineRule="auto"/>
        <w:rPr>
          <w:b/>
          <w:sz w:val="24"/>
          <w:szCs w:val="24"/>
        </w:rPr>
      </w:pPr>
      <w:r w:rsidRPr="003B0BA1">
        <w:rPr>
          <w:b/>
          <w:sz w:val="24"/>
          <w:szCs w:val="24"/>
        </w:rPr>
        <w:t>INTRODUÇÃO</w:t>
      </w:r>
    </w:p>
    <w:p w14:paraId="3F5755A1" w14:textId="77777777" w:rsidR="003B0BA1" w:rsidRPr="003B0BA1" w:rsidRDefault="003B0BA1" w:rsidP="003B0BA1">
      <w:pPr>
        <w:spacing w:line="240" w:lineRule="auto"/>
        <w:ind w:left="360"/>
        <w:rPr>
          <w:b/>
          <w:sz w:val="24"/>
          <w:szCs w:val="24"/>
        </w:rPr>
      </w:pPr>
    </w:p>
    <w:p w14:paraId="2C43497C" w14:textId="422359A6" w:rsidR="00A53456" w:rsidRPr="003B0BA1" w:rsidRDefault="00000000" w:rsidP="003B0BA1">
      <w:pPr>
        <w:spacing w:line="360" w:lineRule="auto"/>
        <w:ind w:firstLine="360"/>
        <w:jc w:val="both"/>
        <w:rPr>
          <w:sz w:val="24"/>
          <w:szCs w:val="24"/>
        </w:rPr>
      </w:pPr>
      <w:r w:rsidRPr="003B0BA1">
        <w:rPr>
          <w:sz w:val="24"/>
          <w:szCs w:val="24"/>
        </w:rPr>
        <w:t>O envelhecimento populacional associado ao aumento da expectativa de vida apresenta-se como um grande avanço em diferentes âmbitos, contudo apresenta desafios significativos que alertam acerca da necessidade de estudos aprofundados (Dardengo; Mafra, 2018). O envelhecimento é um processo natural que não se caracteriza por ser uma doença, possibilitando novas oportunidades e experiências para os idosos, entretanto deve-se considerar as limitações e os fatores como ambiente, aspectos psicológicos, sociais, culturais e econômicos vivenciados pela população idosa (Brasil, 2023).</w:t>
      </w:r>
    </w:p>
    <w:p w14:paraId="05259773" w14:textId="6BC6CF33" w:rsidR="00A53456" w:rsidRDefault="00000000">
      <w:pPr>
        <w:spacing w:line="360" w:lineRule="auto"/>
        <w:ind w:firstLine="709"/>
        <w:jc w:val="both"/>
        <w:rPr>
          <w:sz w:val="24"/>
          <w:szCs w:val="24"/>
        </w:rPr>
      </w:pPr>
      <w:r>
        <w:rPr>
          <w:sz w:val="24"/>
          <w:szCs w:val="24"/>
        </w:rPr>
        <w:t xml:space="preserve">Sabe-se que as alterações biopsicológicas resultantes do envelhecimento agravam as demandas do cuidado expondo a necessidade de atenção especializada para esses cuidadores, uma vez que podem experienciar sobrecarga (Macedo </w:t>
      </w:r>
      <w:r>
        <w:rPr>
          <w:i/>
          <w:sz w:val="24"/>
          <w:szCs w:val="24"/>
        </w:rPr>
        <w:t>et al.</w:t>
      </w:r>
      <w:r>
        <w:rPr>
          <w:sz w:val="24"/>
          <w:szCs w:val="24"/>
        </w:rPr>
        <w:t xml:space="preserve">, 2021). Estudos indicam que a falta de regulamentação e de capacitação adequada para os cuidadores de pessoas idosas é uma questão preocupante, podendo resultar em sobrecarga física e emocional (Figueiredo </w:t>
      </w:r>
      <w:r>
        <w:rPr>
          <w:i/>
          <w:sz w:val="24"/>
          <w:szCs w:val="24"/>
        </w:rPr>
        <w:t>et al.</w:t>
      </w:r>
      <w:r>
        <w:rPr>
          <w:sz w:val="24"/>
          <w:szCs w:val="24"/>
        </w:rPr>
        <w:t>, 2021).</w:t>
      </w:r>
    </w:p>
    <w:p w14:paraId="0E2FD44C" w14:textId="77777777" w:rsidR="00A53456" w:rsidRDefault="00000000">
      <w:pPr>
        <w:spacing w:line="360" w:lineRule="auto"/>
        <w:ind w:firstLine="709"/>
        <w:jc w:val="both"/>
        <w:rPr>
          <w:sz w:val="24"/>
          <w:szCs w:val="24"/>
        </w:rPr>
      </w:pPr>
      <w:r>
        <w:rPr>
          <w:sz w:val="24"/>
          <w:szCs w:val="24"/>
        </w:rPr>
        <w:t>O reconhecimento oficial da função de cuidador somente ocorreu em 1970, quando o trabalho não remunerado das mulheres foi formalmente descrito (Minayo, 2021). Apesar desse avanço, as cuidadoras familiares frequentemente enfrentam dificuldades econômicas e sociais significativas, levando a uma vida restringida ao cuidado, com impactos negativos na saúde física e mental, bem como menor satisfação com a vida se comparada à população geral (Minayo, 2021).</w:t>
      </w:r>
    </w:p>
    <w:p w14:paraId="5BF01FF4" w14:textId="77777777" w:rsidR="00A53456" w:rsidRDefault="00000000">
      <w:pPr>
        <w:spacing w:line="360" w:lineRule="auto"/>
        <w:ind w:firstLine="709"/>
        <w:jc w:val="both"/>
        <w:rPr>
          <w:sz w:val="24"/>
          <w:szCs w:val="24"/>
        </w:rPr>
      </w:pPr>
      <w:r>
        <w:rPr>
          <w:sz w:val="24"/>
          <w:szCs w:val="24"/>
        </w:rPr>
        <w:t xml:space="preserve">Neste contexto, uma importante estratégia de enfrentamento aos desafios experienciados é o suporte social dos cuidadores. Entende-se como suporte social, uma rede de apoio na qual o indivíduo conta com pessoas em quem confiar, conversar, demonstrar preocupação, empatia, valorizar, prestar apoio emocionais e assistência (Fonseca; Moura, 2008). O suporte social tem uma influência direta na qualidade de vida dos cuidadores (Ximenes; Queluz; Barham, 2022). </w:t>
      </w:r>
    </w:p>
    <w:p w14:paraId="2606C442" w14:textId="021EB8F2" w:rsidR="00A53456" w:rsidRDefault="00000000">
      <w:pPr>
        <w:spacing w:line="360" w:lineRule="auto"/>
        <w:ind w:firstLine="709"/>
        <w:jc w:val="both"/>
        <w:rPr>
          <w:sz w:val="24"/>
          <w:szCs w:val="24"/>
        </w:rPr>
      </w:pPr>
      <w:r>
        <w:rPr>
          <w:sz w:val="24"/>
          <w:szCs w:val="24"/>
        </w:rPr>
        <w:lastRenderedPageBreak/>
        <w:t xml:space="preserve">Uma ferramenta eficaz para avaliar a percepção do suporte social é a Escala Medical Outcomes Study Social Support Survey (MOS-SSS) composta por cinco domínios, sendo aspectos do apoio social, como suporte material, afetivo, interação social positiva, emocional e informativo (Mattos, 2009). Embora a escala demonstre alta relevância, sua aplicação em estudos com cuidadores de pessoas idosas ainda é escassa. </w:t>
      </w:r>
    </w:p>
    <w:p w14:paraId="23F7289D" w14:textId="77777777" w:rsidR="008719E6" w:rsidRDefault="00000000" w:rsidP="007A5CF9">
      <w:pPr>
        <w:spacing w:line="360" w:lineRule="auto"/>
        <w:ind w:firstLine="709"/>
        <w:jc w:val="both"/>
        <w:rPr>
          <w:sz w:val="24"/>
          <w:szCs w:val="24"/>
        </w:rPr>
      </w:pPr>
      <w:r>
        <w:rPr>
          <w:sz w:val="24"/>
          <w:szCs w:val="24"/>
        </w:rPr>
        <w:t xml:space="preserve">A escassez de pesquisas abrangentes sobre o suporte social aos cuidadores de idosos, aliada ao aumento da expectativa de vida, evidenciam a necessidade de aprofundar os estudos não apenas sobre o apoio destinado à população idosa, mas também sobre as condições e necessidades dos profissionais que cuidam. Diante do exposto, o presente estudo tem como objetivo </w:t>
      </w:r>
      <w:r w:rsidR="007A5CF9">
        <w:rPr>
          <w:sz w:val="24"/>
          <w:szCs w:val="24"/>
        </w:rPr>
        <w:t>identificar</w:t>
      </w:r>
      <w:r>
        <w:rPr>
          <w:sz w:val="24"/>
          <w:szCs w:val="24"/>
        </w:rPr>
        <w:t xml:space="preserve"> os domínios do suporte social em cuidadores de pessoas idosas assistidas por uma Unidade de Saúde da Família em Vitória-ES. </w:t>
      </w:r>
    </w:p>
    <w:p w14:paraId="21C38D7E" w14:textId="7CDEF63C" w:rsidR="00A53456" w:rsidRDefault="007A5CF9">
      <w:pPr>
        <w:spacing w:line="360" w:lineRule="auto"/>
        <w:ind w:firstLine="709"/>
        <w:jc w:val="both"/>
        <w:rPr>
          <w:sz w:val="24"/>
          <w:szCs w:val="24"/>
        </w:rPr>
      </w:pPr>
      <w:r>
        <w:rPr>
          <w:sz w:val="24"/>
          <w:szCs w:val="24"/>
        </w:rPr>
        <w:t xml:space="preserve"> </w:t>
      </w:r>
      <w:r w:rsidR="008719E6">
        <w:rPr>
          <w:sz w:val="24"/>
          <w:szCs w:val="24"/>
        </w:rPr>
        <w:t>P</w:t>
      </w:r>
      <w:r>
        <w:rPr>
          <w:sz w:val="24"/>
          <w:szCs w:val="24"/>
        </w:rPr>
        <w:t xml:space="preserve">ara atingir este objetivo foi realizado </w:t>
      </w:r>
      <w:r w:rsidR="00000000">
        <w:rPr>
          <w:sz w:val="24"/>
          <w:szCs w:val="24"/>
        </w:rPr>
        <w:t xml:space="preserve">um estudo de série de casos, realizado </w:t>
      </w:r>
      <w:r w:rsidR="008719E6">
        <w:rPr>
          <w:sz w:val="24"/>
          <w:szCs w:val="24"/>
        </w:rPr>
        <w:t>em uma</w:t>
      </w:r>
      <w:r w:rsidR="00000000">
        <w:rPr>
          <w:sz w:val="24"/>
          <w:szCs w:val="24"/>
        </w:rPr>
        <w:t xml:space="preserve"> Unidade de Saúde da Família (USF) </w:t>
      </w:r>
      <w:r w:rsidR="008719E6">
        <w:rPr>
          <w:sz w:val="24"/>
          <w:szCs w:val="24"/>
        </w:rPr>
        <w:t>de</w:t>
      </w:r>
      <w:r>
        <w:rPr>
          <w:sz w:val="24"/>
          <w:szCs w:val="24"/>
        </w:rPr>
        <w:t xml:space="preserve"> Vitória no </w:t>
      </w:r>
      <w:r w:rsidR="00000000">
        <w:rPr>
          <w:sz w:val="24"/>
          <w:szCs w:val="24"/>
        </w:rPr>
        <w:t>Espírito Santo.</w:t>
      </w:r>
      <w:r>
        <w:rPr>
          <w:sz w:val="24"/>
          <w:szCs w:val="24"/>
        </w:rPr>
        <w:t xml:space="preserve"> Foram incluídos</w:t>
      </w:r>
      <w:r w:rsidR="008719E6">
        <w:rPr>
          <w:sz w:val="24"/>
          <w:szCs w:val="24"/>
        </w:rPr>
        <w:t xml:space="preserve"> 2</w:t>
      </w:r>
      <w:r w:rsidRPr="007A5CF9">
        <w:rPr>
          <w:sz w:val="24"/>
          <w:szCs w:val="24"/>
        </w:rPr>
        <w:t xml:space="preserve">3 </w:t>
      </w:r>
      <w:r>
        <w:rPr>
          <w:sz w:val="24"/>
          <w:szCs w:val="24"/>
        </w:rPr>
        <w:t xml:space="preserve">cuidadores </w:t>
      </w:r>
      <w:r w:rsidR="00000000">
        <w:rPr>
          <w:sz w:val="24"/>
          <w:szCs w:val="24"/>
        </w:rPr>
        <w:t>de ambos os sexos, independentemente da idade, cujos idosos estavam cadastrados e eram assistidos pela USF.  O projeto foi aprovado pelo Comitê de Ética e Pesquisa (CEP) da EMESCAM sob o número de parecer: 6.479.007</w:t>
      </w:r>
      <w:r w:rsidR="00327B67">
        <w:rPr>
          <w:sz w:val="24"/>
          <w:szCs w:val="24"/>
        </w:rPr>
        <w:t>.</w:t>
      </w:r>
      <w:r w:rsidR="00000000">
        <w:rPr>
          <w:sz w:val="24"/>
          <w:szCs w:val="24"/>
        </w:rPr>
        <w:t xml:space="preserve"> Para caracterização do perfil sociodemográfico e econômico dos cuidadores foram utilizadas as seguintes variáveis: sexo, idade, </w:t>
      </w:r>
      <w:r w:rsidR="00645F2A">
        <w:rPr>
          <w:sz w:val="24"/>
          <w:szCs w:val="24"/>
        </w:rPr>
        <w:t xml:space="preserve">presença de </w:t>
      </w:r>
      <w:r w:rsidR="00000000">
        <w:rPr>
          <w:sz w:val="24"/>
          <w:szCs w:val="24"/>
        </w:rPr>
        <w:t>filhos,</w:t>
      </w:r>
      <w:r w:rsidR="00645F2A">
        <w:rPr>
          <w:sz w:val="24"/>
          <w:szCs w:val="24"/>
        </w:rPr>
        <w:t xml:space="preserve"> </w:t>
      </w:r>
      <w:r w:rsidR="00000000">
        <w:rPr>
          <w:sz w:val="24"/>
          <w:szCs w:val="24"/>
        </w:rPr>
        <w:t xml:space="preserve">ocupação, renda, </w:t>
      </w:r>
      <w:r w:rsidR="00645F2A">
        <w:rPr>
          <w:sz w:val="24"/>
          <w:szCs w:val="24"/>
        </w:rPr>
        <w:t>t</w:t>
      </w:r>
      <w:r w:rsidR="00000000">
        <w:rPr>
          <w:sz w:val="24"/>
          <w:szCs w:val="24"/>
        </w:rPr>
        <w:t>ipo de cuidador (familiar, profissional), se possui capacitação como cuidador, se é cuidador familiar</w:t>
      </w:r>
      <w:r w:rsidR="00A55120">
        <w:rPr>
          <w:sz w:val="24"/>
          <w:szCs w:val="24"/>
        </w:rPr>
        <w:t>, s</w:t>
      </w:r>
      <w:r w:rsidR="00000000">
        <w:rPr>
          <w:sz w:val="24"/>
          <w:szCs w:val="24"/>
        </w:rPr>
        <w:t>e possui doenç</w:t>
      </w:r>
      <w:r w:rsidR="00A55120">
        <w:rPr>
          <w:sz w:val="24"/>
          <w:szCs w:val="24"/>
        </w:rPr>
        <w:t>a e</w:t>
      </w:r>
      <w:r w:rsidR="00F5406A">
        <w:rPr>
          <w:sz w:val="24"/>
          <w:szCs w:val="24"/>
        </w:rPr>
        <w:t xml:space="preserve"> </w:t>
      </w:r>
      <w:r w:rsidR="00000000">
        <w:rPr>
          <w:sz w:val="24"/>
          <w:szCs w:val="24"/>
        </w:rPr>
        <w:t>se realiza atividade de laze</w:t>
      </w:r>
      <w:r w:rsidR="00F5406A">
        <w:rPr>
          <w:sz w:val="24"/>
          <w:szCs w:val="24"/>
        </w:rPr>
        <w:t>r</w:t>
      </w:r>
      <w:r w:rsidR="00000000">
        <w:rPr>
          <w:sz w:val="24"/>
          <w:szCs w:val="24"/>
        </w:rPr>
        <w:t xml:space="preserve">.  </w:t>
      </w:r>
    </w:p>
    <w:p w14:paraId="4DAA5992" w14:textId="77777777" w:rsidR="00F67748" w:rsidRDefault="00000000">
      <w:pPr>
        <w:spacing w:line="360" w:lineRule="auto"/>
        <w:ind w:firstLine="709"/>
        <w:jc w:val="both"/>
        <w:rPr>
          <w:sz w:val="24"/>
          <w:szCs w:val="24"/>
        </w:rPr>
      </w:pPr>
      <w:r>
        <w:rPr>
          <w:sz w:val="24"/>
          <w:szCs w:val="24"/>
        </w:rPr>
        <w:t xml:space="preserve">A percepção de Suporte Social foi avaliada, no presente estudo, por meio da Escala MOS-SSS elaborada por Sherbourne e Stewart (1991). A versão utilizada foi adaptada e validada para a população brasileira (Griep </w:t>
      </w:r>
      <w:r>
        <w:rPr>
          <w:i/>
          <w:sz w:val="24"/>
          <w:szCs w:val="24"/>
        </w:rPr>
        <w:t>et al.</w:t>
      </w:r>
      <w:r>
        <w:rPr>
          <w:sz w:val="24"/>
          <w:szCs w:val="24"/>
        </w:rPr>
        <w:t xml:space="preserve">, 2005) e apresenta 5 dimensões, sendo: interação social, apoio afetivo, apoio emocional, de informação e apoio material.   escala é composta por 19 questões que iniciam a partir da orientação: “Caso o senhor precise, com que frequência conta com alguém...?” e as respostas </w:t>
      </w:r>
    </w:p>
    <w:p w14:paraId="121D9214" w14:textId="6AE77CC4" w:rsidR="00A53456" w:rsidRDefault="00F67748" w:rsidP="00F67748">
      <w:pPr>
        <w:spacing w:line="360" w:lineRule="auto"/>
        <w:jc w:val="both"/>
        <w:rPr>
          <w:sz w:val="24"/>
          <w:szCs w:val="24"/>
        </w:rPr>
      </w:pPr>
      <w:r>
        <w:rPr>
          <w:sz w:val="24"/>
          <w:szCs w:val="24"/>
        </w:rPr>
        <w:lastRenderedPageBreak/>
        <w:t>p</w:t>
      </w:r>
      <w:r w:rsidR="00000000">
        <w:rPr>
          <w:sz w:val="24"/>
          <w:szCs w:val="24"/>
        </w:rPr>
        <w:t xml:space="preserve">ossíveis são: 1 – nunca, 2 – raramente, 3 – às vezes, 4 – quase sempre, 5 – sempre. </w:t>
      </w:r>
      <w:r w:rsidR="008719E6">
        <w:rPr>
          <w:sz w:val="24"/>
          <w:szCs w:val="24"/>
        </w:rPr>
        <w:t>A</w:t>
      </w:r>
      <w:r w:rsidR="00000000">
        <w:rPr>
          <w:sz w:val="24"/>
          <w:szCs w:val="24"/>
        </w:rPr>
        <w:t xml:space="preserve"> pontuação total do suporte social percebido varia de 19 a 95.  Não existe na literatura uma padronização ou ponto de corte para este instrumento, dessa forma, para este estudo foi adotado o sugerido por Santos</w:t>
      </w:r>
      <w:r w:rsidR="00000000">
        <w:rPr>
          <w:i/>
          <w:sz w:val="24"/>
          <w:szCs w:val="24"/>
        </w:rPr>
        <w:t xml:space="preserve"> et al.</w:t>
      </w:r>
      <w:r w:rsidR="00000000">
        <w:rPr>
          <w:sz w:val="24"/>
          <w:szCs w:val="24"/>
        </w:rPr>
        <w:t xml:space="preserve"> (2022), onde as respostas foram dicotomizadas em baixa e alta percepção de suporte social. O ponto de corte foi definido como 57</w:t>
      </w:r>
      <w:r w:rsidR="00327B67">
        <w:rPr>
          <w:sz w:val="24"/>
          <w:szCs w:val="24"/>
        </w:rPr>
        <w:t xml:space="preserve"> pontos</w:t>
      </w:r>
      <w:r w:rsidR="00000000">
        <w:rPr>
          <w:sz w:val="24"/>
          <w:szCs w:val="24"/>
        </w:rPr>
        <w:t xml:space="preserve">. Portanto, aqueles que obtiveram pontuações iguais ou inferiores ao ponto de corte foram classificados como tendo baixo suporte. </w:t>
      </w:r>
    </w:p>
    <w:p w14:paraId="2993D7C8" w14:textId="77777777" w:rsidR="00A53456" w:rsidRDefault="00A53456">
      <w:pPr>
        <w:spacing w:line="360" w:lineRule="auto"/>
        <w:jc w:val="both"/>
        <w:rPr>
          <w:sz w:val="24"/>
          <w:szCs w:val="24"/>
        </w:rPr>
      </w:pPr>
    </w:p>
    <w:p w14:paraId="27C9E854" w14:textId="77777777" w:rsidR="00A53456" w:rsidRDefault="00000000">
      <w:pPr>
        <w:spacing w:line="360" w:lineRule="auto"/>
        <w:jc w:val="both"/>
        <w:rPr>
          <w:b/>
          <w:sz w:val="24"/>
          <w:szCs w:val="24"/>
        </w:rPr>
      </w:pPr>
      <w:r>
        <w:rPr>
          <w:b/>
          <w:sz w:val="24"/>
          <w:szCs w:val="24"/>
        </w:rPr>
        <w:t>2</w:t>
      </w:r>
      <w:r>
        <w:rPr>
          <w:b/>
          <w:sz w:val="24"/>
          <w:szCs w:val="24"/>
        </w:rPr>
        <w:tab/>
        <w:t xml:space="preserve">DOMÍNIOS DO SUPORTE SOCIAL EM CUIDADORES DE PESSOAS IDOSAS ASSISTIDAS POR UMA UNIDADE DE SAÚDE DA FAMÍLIA EM VITÓRIA-ES. </w:t>
      </w:r>
    </w:p>
    <w:p w14:paraId="57F27FD0" w14:textId="23618DBC" w:rsidR="001A3CEB" w:rsidRDefault="00000000" w:rsidP="00F5406A">
      <w:pPr>
        <w:spacing w:line="360" w:lineRule="auto"/>
        <w:ind w:firstLine="709"/>
        <w:jc w:val="both"/>
        <w:rPr>
          <w:sz w:val="24"/>
          <w:szCs w:val="24"/>
        </w:rPr>
      </w:pPr>
      <w:r>
        <w:rPr>
          <w:sz w:val="24"/>
          <w:szCs w:val="24"/>
        </w:rPr>
        <w:t>Foram entrevistados 23 cuidadores de pessoas idosas</w:t>
      </w:r>
      <w:r w:rsidR="001A3CEB">
        <w:rPr>
          <w:sz w:val="24"/>
          <w:szCs w:val="24"/>
        </w:rPr>
        <w:t xml:space="preserve"> que identificou um</w:t>
      </w:r>
      <w:r>
        <w:rPr>
          <w:sz w:val="24"/>
          <w:szCs w:val="24"/>
        </w:rPr>
        <w:t xml:space="preserve"> perfil sociodemográfico e econômico </w:t>
      </w:r>
      <w:r w:rsidR="001A3CEB">
        <w:rPr>
          <w:sz w:val="24"/>
          <w:szCs w:val="24"/>
        </w:rPr>
        <w:t>caracterizado</w:t>
      </w:r>
      <w:r w:rsidR="001A3CEB">
        <w:rPr>
          <w:sz w:val="24"/>
          <w:szCs w:val="24"/>
        </w:rPr>
        <w:t xml:space="preserve"> </w:t>
      </w:r>
      <w:r w:rsidR="001A3CEB">
        <w:rPr>
          <w:sz w:val="24"/>
          <w:szCs w:val="24"/>
        </w:rPr>
        <w:t>em sua</w:t>
      </w:r>
      <w:r w:rsidR="001A3CEB">
        <w:rPr>
          <w:sz w:val="24"/>
          <w:szCs w:val="24"/>
        </w:rPr>
        <w:t xml:space="preserve"> maioria por mulheres</w:t>
      </w:r>
      <w:r w:rsidR="001A3CEB">
        <w:rPr>
          <w:sz w:val="24"/>
          <w:szCs w:val="24"/>
        </w:rPr>
        <w:t xml:space="preserve"> </w:t>
      </w:r>
      <w:r w:rsidR="001A3CEB">
        <w:rPr>
          <w:sz w:val="24"/>
          <w:szCs w:val="24"/>
        </w:rPr>
        <w:t>(69,57%), com idade entre 60 anos ou mais</w:t>
      </w:r>
      <w:r w:rsidR="001A3CEB">
        <w:rPr>
          <w:sz w:val="24"/>
          <w:szCs w:val="24"/>
        </w:rPr>
        <w:t xml:space="preserve"> </w:t>
      </w:r>
      <w:r w:rsidR="001A3CEB">
        <w:rPr>
          <w:sz w:val="24"/>
          <w:szCs w:val="24"/>
        </w:rPr>
        <w:t xml:space="preserve">(56,52%), destacando-se o fato de </w:t>
      </w:r>
      <w:r w:rsidR="001A3CEB">
        <w:rPr>
          <w:sz w:val="24"/>
          <w:szCs w:val="24"/>
        </w:rPr>
        <w:t xml:space="preserve">100% </w:t>
      </w:r>
      <w:r w:rsidR="001A3CEB">
        <w:rPr>
          <w:sz w:val="24"/>
          <w:szCs w:val="24"/>
        </w:rPr>
        <w:t>serem cuidadores familiares, especialmente filhas</w:t>
      </w:r>
      <w:r w:rsidR="001A3CEB">
        <w:rPr>
          <w:sz w:val="24"/>
          <w:szCs w:val="24"/>
        </w:rPr>
        <w:t xml:space="preserve"> e esposas (44%)</w:t>
      </w:r>
      <w:r w:rsidR="001A3CEB">
        <w:rPr>
          <w:sz w:val="24"/>
          <w:szCs w:val="24"/>
        </w:rPr>
        <w:t>. Dentro desse grupo, foi identificado cuidadores aposentados</w:t>
      </w:r>
      <w:r w:rsidR="00ED1FCE">
        <w:rPr>
          <w:sz w:val="24"/>
          <w:szCs w:val="24"/>
        </w:rPr>
        <w:t xml:space="preserve"> (48%)</w:t>
      </w:r>
      <w:r w:rsidR="001A3CEB">
        <w:rPr>
          <w:sz w:val="24"/>
          <w:szCs w:val="24"/>
        </w:rPr>
        <w:t>, que recebiam até um salário-mínimo</w:t>
      </w:r>
      <w:r w:rsidR="00ED1FCE">
        <w:rPr>
          <w:sz w:val="24"/>
          <w:szCs w:val="24"/>
        </w:rPr>
        <w:t xml:space="preserve"> (52%)</w:t>
      </w:r>
      <w:r w:rsidR="001A3CEB">
        <w:rPr>
          <w:sz w:val="24"/>
          <w:szCs w:val="24"/>
        </w:rPr>
        <w:t xml:space="preserve">, e </w:t>
      </w:r>
      <w:r w:rsidR="00ED1FCE">
        <w:rPr>
          <w:sz w:val="24"/>
          <w:szCs w:val="24"/>
        </w:rPr>
        <w:t xml:space="preserve">100% </w:t>
      </w:r>
      <w:r w:rsidR="001A3CEB">
        <w:rPr>
          <w:sz w:val="24"/>
          <w:szCs w:val="24"/>
        </w:rPr>
        <w:t xml:space="preserve">não possuíam qualquer tipo de capacitação para exercer a atividade de cuidado e que não se dedicavam a atividades </w:t>
      </w:r>
      <w:r w:rsidR="00ED1FCE">
        <w:rPr>
          <w:sz w:val="24"/>
          <w:szCs w:val="24"/>
        </w:rPr>
        <w:t>de</w:t>
      </w:r>
      <w:r w:rsidR="001A3CEB">
        <w:rPr>
          <w:sz w:val="24"/>
          <w:szCs w:val="24"/>
        </w:rPr>
        <w:t xml:space="preserve"> lazer</w:t>
      </w:r>
      <w:r w:rsidR="00ED1FCE">
        <w:rPr>
          <w:sz w:val="24"/>
          <w:szCs w:val="24"/>
        </w:rPr>
        <w:t xml:space="preserve"> (61%)</w:t>
      </w:r>
      <w:r w:rsidR="001A3CEB">
        <w:rPr>
          <w:sz w:val="24"/>
          <w:szCs w:val="24"/>
        </w:rPr>
        <w:t xml:space="preserve">, além de apresentarem alguma condição de saúde. Esses achados corroboram com a literatura existente sobre cuidadores de pessoas idosas (Ceccon </w:t>
      </w:r>
      <w:r w:rsidR="001A3CEB">
        <w:rPr>
          <w:i/>
          <w:sz w:val="24"/>
          <w:szCs w:val="24"/>
        </w:rPr>
        <w:t>et al.</w:t>
      </w:r>
      <w:r w:rsidR="001A3CEB">
        <w:rPr>
          <w:sz w:val="24"/>
          <w:szCs w:val="24"/>
        </w:rPr>
        <w:t xml:space="preserve">, 2021; Sousa </w:t>
      </w:r>
      <w:r w:rsidR="001A3CEB">
        <w:rPr>
          <w:i/>
          <w:sz w:val="24"/>
          <w:szCs w:val="24"/>
        </w:rPr>
        <w:t>et al</w:t>
      </w:r>
      <w:r w:rsidR="001A3CEB">
        <w:rPr>
          <w:sz w:val="24"/>
          <w:szCs w:val="24"/>
        </w:rPr>
        <w:t xml:space="preserve">, 2023; Gomes </w:t>
      </w:r>
      <w:r w:rsidR="001A3CEB">
        <w:rPr>
          <w:i/>
          <w:sz w:val="24"/>
          <w:szCs w:val="24"/>
        </w:rPr>
        <w:t>et al</w:t>
      </w:r>
      <w:r w:rsidR="001A3CEB">
        <w:rPr>
          <w:sz w:val="24"/>
          <w:szCs w:val="24"/>
        </w:rPr>
        <w:t xml:space="preserve">., 2024; Yazawa </w:t>
      </w:r>
      <w:r w:rsidR="001A3CEB">
        <w:rPr>
          <w:i/>
          <w:sz w:val="24"/>
          <w:szCs w:val="24"/>
        </w:rPr>
        <w:t>et al.</w:t>
      </w:r>
      <w:r w:rsidR="001A3CEB">
        <w:rPr>
          <w:sz w:val="24"/>
          <w:szCs w:val="24"/>
        </w:rPr>
        <w:t xml:space="preserve">, 2023; Batista </w:t>
      </w:r>
      <w:r w:rsidR="001A3CEB">
        <w:rPr>
          <w:i/>
          <w:sz w:val="24"/>
          <w:szCs w:val="24"/>
        </w:rPr>
        <w:t>et al.</w:t>
      </w:r>
      <w:r w:rsidR="001A3CEB">
        <w:rPr>
          <w:sz w:val="24"/>
          <w:szCs w:val="24"/>
        </w:rPr>
        <w:t xml:space="preserve">, 2012; Martins </w:t>
      </w:r>
      <w:r w:rsidR="001A3CEB">
        <w:rPr>
          <w:i/>
          <w:sz w:val="24"/>
          <w:szCs w:val="24"/>
        </w:rPr>
        <w:t>et al</w:t>
      </w:r>
      <w:r w:rsidR="001A3CEB">
        <w:rPr>
          <w:sz w:val="24"/>
          <w:szCs w:val="24"/>
        </w:rPr>
        <w:t>., 2023).</w:t>
      </w:r>
    </w:p>
    <w:p w14:paraId="26F0672B" w14:textId="77777777" w:rsidR="00F5406A" w:rsidRPr="00615443" w:rsidRDefault="00F5406A" w:rsidP="00F5406A">
      <w:pPr>
        <w:spacing w:line="360" w:lineRule="auto"/>
        <w:ind w:firstLine="720"/>
        <w:jc w:val="both"/>
        <w:rPr>
          <w:sz w:val="24"/>
          <w:szCs w:val="24"/>
        </w:rPr>
      </w:pPr>
      <w:r>
        <w:rPr>
          <w:sz w:val="24"/>
          <w:szCs w:val="24"/>
        </w:rPr>
        <w:t xml:space="preserve">Os resultados do presente estudo evidenciam uma predominância de </w:t>
      </w:r>
      <w:r w:rsidRPr="00615443">
        <w:rPr>
          <w:sz w:val="24"/>
          <w:szCs w:val="24"/>
        </w:rPr>
        <w:t xml:space="preserve">cuidadores familiares, com destaque para os filhos, que assumem a principal responsabilidade pelos cuidados com os idosos, corroborando os achados de Ceccon </w:t>
      </w:r>
      <w:r w:rsidRPr="00615443">
        <w:rPr>
          <w:i/>
          <w:sz w:val="24"/>
          <w:szCs w:val="24"/>
        </w:rPr>
        <w:t>et al.</w:t>
      </w:r>
      <w:r w:rsidRPr="00615443">
        <w:rPr>
          <w:sz w:val="24"/>
          <w:szCs w:val="24"/>
        </w:rPr>
        <w:t xml:space="preserve">, (2021), que também identificaram uma prevalência de filhas como cuidadoras familiares. A intensidade dessa dedicação, frequentemente movida pelo amor e pelo desejo de ajudar, pode resultar em desafios significativos para o cuidador, incluindo a renúncia de aspectos importantes de sua vida pessoal e profissional (Sousa </w:t>
      </w:r>
      <w:r w:rsidRPr="00615443">
        <w:rPr>
          <w:i/>
          <w:sz w:val="24"/>
          <w:szCs w:val="24"/>
        </w:rPr>
        <w:t>et al.</w:t>
      </w:r>
      <w:r w:rsidRPr="00615443">
        <w:rPr>
          <w:sz w:val="24"/>
          <w:szCs w:val="24"/>
        </w:rPr>
        <w:t xml:space="preserve">, 2023). Essa situação é exacerbada pela falta de capacitação e suporte social </w:t>
      </w:r>
      <w:r w:rsidRPr="00615443">
        <w:rPr>
          <w:sz w:val="24"/>
          <w:szCs w:val="24"/>
        </w:rPr>
        <w:lastRenderedPageBreak/>
        <w:t xml:space="preserve">adequado, o que torna desafiador equilibrar as responsabilidades de cuidado e o bem-estar pessoal (Carvalho </w:t>
      </w:r>
      <w:r w:rsidRPr="00615443">
        <w:rPr>
          <w:i/>
          <w:sz w:val="24"/>
          <w:szCs w:val="24"/>
        </w:rPr>
        <w:t>et al.</w:t>
      </w:r>
      <w:r w:rsidRPr="00615443">
        <w:rPr>
          <w:sz w:val="24"/>
          <w:szCs w:val="24"/>
        </w:rPr>
        <w:t xml:space="preserve">, 2023). Como consequência, esses cuidadores podem enfrentar sérias consequências físicas e psicológicas, como desgaste emocional e deterioração da saúde mental e física (Gutierrez </w:t>
      </w:r>
      <w:r w:rsidRPr="00615443">
        <w:rPr>
          <w:i/>
          <w:sz w:val="24"/>
          <w:szCs w:val="24"/>
        </w:rPr>
        <w:t>et al</w:t>
      </w:r>
      <w:r w:rsidRPr="00615443">
        <w:rPr>
          <w:sz w:val="24"/>
          <w:szCs w:val="24"/>
        </w:rPr>
        <w:t xml:space="preserve">., 2021). </w:t>
      </w:r>
    </w:p>
    <w:p w14:paraId="6FB29C28" w14:textId="77777777" w:rsidR="00F5406A" w:rsidRPr="00615443" w:rsidRDefault="00F5406A" w:rsidP="00F5406A">
      <w:pPr>
        <w:spacing w:line="360" w:lineRule="auto"/>
        <w:ind w:firstLine="720"/>
        <w:jc w:val="both"/>
        <w:rPr>
          <w:sz w:val="24"/>
          <w:szCs w:val="24"/>
        </w:rPr>
      </w:pPr>
      <w:r w:rsidRPr="00615443">
        <w:rPr>
          <w:sz w:val="24"/>
          <w:szCs w:val="24"/>
        </w:rPr>
        <w:t xml:space="preserve">A pesquisa atual revelou que a maioria dos cuidadores são mulheres. Essa predominância feminina é atribuída a fatores culturais e sociais que moldam os papéis de gênero na sociedade brasileira (Sousa </w:t>
      </w:r>
      <w:r w:rsidRPr="00615443">
        <w:rPr>
          <w:i/>
          <w:sz w:val="24"/>
          <w:szCs w:val="24"/>
        </w:rPr>
        <w:t>et al.</w:t>
      </w:r>
      <w:r w:rsidRPr="00615443">
        <w:rPr>
          <w:sz w:val="24"/>
          <w:szCs w:val="24"/>
        </w:rPr>
        <w:t>, 2023). O gênero sempre impactou as atribuições do cuidado ao longo das gerações, com o cuidado feminino se destacando por suas características específicas, sendo que desde a infância, as mulheres são incentivadas a assumir responsabilidades relacionadas ao cuidado, o que resulta em uma carga física e psicológica considerável (Sousa</w:t>
      </w:r>
      <w:r w:rsidRPr="00615443">
        <w:rPr>
          <w:i/>
          <w:sz w:val="24"/>
          <w:szCs w:val="24"/>
        </w:rPr>
        <w:t xml:space="preserve"> et al</w:t>
      </w:r>
      <w:r w:rsidRPr="00615443">
        <w:rPr>
          <w:sz w:val="24"/>
          <w:szCs w:val="24"/>
        </w:rPr>
        <w:t xml:space="preserve">., 2023). </w:t>
      </w:r>
    </w:p>
    <w:p w14:paraId="321DABEF" w14:textId="1866DE56" w:rsidR="00F5406A" w:rsidRDefault="00F5406A" w:rsidP="00F5406A">
      <w:pPr>
        <w:spacing w:line="360" w:lineRule="auto"/>
        <w:ind w:firstLine="720"/>
        <w:jc w:val="both"/>
        <w:rPr>
          <w:sz w:val="24"/>
          <w:szCs w:val="24"/>
        </w:rPr>
      </w:pPr>
      <w:r w:rsidRPr="00615443">
        <w:rPr>
          <w:sz w:val="24"/>
          <w:szCs w:val="24"/>
        </w:rPr>
        <w:t>Diante do cenário etário, os cuidadores apresentaram idade entre 60 anos ou mais, refletindo um envelhecimento entre os cuidadores. O envelhecimento desses cuidadores pode comprometer a qualidade do cuidado prestado, uma vez que o declínio das capacidades funcionais está associado ao avanço da idade (Bento, Amaral, Silva, 2021). Em contrapartida, o trabalho de Renik,</w:t>
      </w:r>
      <w:r>
        <w:rPr>
          <w:sz w:val="24"/>
          <w:szCs w:val="24"/>
        </w:rPr>
        <w:t xml:space="preserve"> Buziquia e Bordini, (2022), encontrou que 43% das cuidadoras tinham entre 41 e 60 anos, revelando uma presença significativa de cuidadoras mais jovens em comparação com a nossa amostra. Essa variação é influenciada por fatores geográficos e dinâmicas familiares, ressaltando a necessidade de adaptar intervenções e políticas de suporte para diferentes faixas etárias. </w:t>
      </w:r>
    </w:p>
    <w:p w14:paraId="6B8CAD1B" w14:textId="0B5FE6C2" w:rsidR="00A55120" w:rsidRDefault="00A55120" w:rsidP="00A55120">
      <w:pPr>
        <w:spacing w:line="360" w:lineRule="auto"/>
        <w:ind w:firstLine="720"/>
        <w:jc w:val="both"/>
        <w:rPr>
          <w:sz w:val="24"/>
          <w:szCs w:val="24"/>
        </w:rPr>
      </w:pPr>
      <w:r w:rsidRPr="00615443">
        <w:rPr>
          <w:sz w:val="24"/>
          <w:szCs w:val="24"/>
        </w:rPr>
        <w:t xml:space="preserve">Diante da idade, a maioria </w:t>
      </w:r>
      <w:r w:rsidRPr="00615443">
        <w:rPr>
          <w:sz w:val="24"/>
          <w:szCs w:val="24"/>
        </w:rPr>
        <w:t>dos cuidadores</w:t>
      </w:r>
      <w:r w:rsidRPr="00615443">
        <w:rPr>
          <w:sz w:val="24"/>
          <w:szCs w:val="24"/>
        </w:rPr>
        <w:t xml:space="preserve"> </w:t>
      </w:r>
      <w:r w:rsidRPr="00615443">
        <w:rPr>
          <w:sz w:val="24"/>
          <w:szCs w:val="24"/>
        </w:rPr>
        <w:t>são</w:t>
      </w:r>
      <w:r w:rsidRPr="00615443">
        <w:rPr>
          <w:sz w:val="24"/>
          <w:szCs w:val="24"/>
        </w:rPr>
        <w:t xml:space="preserve"> aposentados que recebem uma renda de até um salário-mínimo. De</w:t>
      </w:r>
      <w:r>
        <w:rPr>
          <w:sz w:val="24"/>
          <w:szCs w:val="24"/>
        </w:rPr>
        <w:t xml:space="preserve"> maneira semelhante, a pesquisa de Gomes </w:t>
      </w:r>
      <w:r>
        <w:rPr>
          <w:i/>
          <w:sz w:val="24"/>
          <w:szCs w:val="24"/>
        </w:rPr>
        <w:t>et al.</w:t>
      </w:r>
      <w:r>
        <w:rPr>
          <w:sz w:val="24"/>
          <w:szCs w:val="24"/>
        </w:rPr>
        <w:t xml:space="preserve"> (2024), encontrou na amostra analisada, uma prevalência de 82,2% de cuidadores com renda familiar inferior a três salários-mínimos. De forma complementar, os achados de Hubert (2022), indicou que a maioria da sua amostra apresentou dificuldades sociais (75,0%), destacando a vulnerabilidade econômica. </w:t>
      </w:r>
    </w:p>
    <w:p w14:paraId="1DF1AABE" w14:textId="77777777" w:rsidR="00A55120" w:rsidRDefault="00A55120" w:rsidP="00A55120">
      <w:pPr>
        <w:spacing w:line="360" w:lineRule="auto"/>
        <w:ind w:firstLine="720"/>
        <w:jc w:val="both"/>
        <w:rPr>
          <w:sz w:val="24"/>
          <w:szCs w:val="24"/>
        </w:rPr>
      </w:pPr>
      <w:r>
        <w:rPr>
          <w:sz w:val="24"/>
          <w:szCs w:val="24"/>
        </w:rPr>
        <w:t xml:space="preserve">Conforme exposto anteriormente, essa vulnerabilidade econômica impacta diretamente na saúde e bem-estar das pessoas, uma vez que, esta pesquisa revelou </w:t>
      </w:r>
      <w:r>
        <w:rPr>
          <w:sz w:val="24"/>
          <w:szCs w:val="24"/>
        </w:rPr>
        <w:lastRenderedPageBreak/>
        <w:t xml:space="preserve">que grande parte dos cuidadores não se dedicavam atividades de lazer. Esse achado destaca o impacto significativo que a dedicação ao cuidado de outra pessoa pode ter no autocuidado, evidenciando a renúncia a atividades de lazer e físicas em prol do ato de cuidar, o que pode levar a uma negligência do próprio bem-estar (Batista </w:t>
      </w:r>
      <w:r>
        <w:rPr>
          <w:i/>
          <w:sz w:val="24"/>
          <w:szCs w:val="24"/>
        </w:rPr>
        <w:t>et al,</w:t>
      </w:r>
      <w:r>
        <w:rPr>
          <w:sz w:val="24"/>
          <w:szCs w:val="24"/>
        </w:rPr>
        <w:t xml:space="preserve"> 2012).</w:t>
      </w:r>
    </w:p>
    <w:p w14:paraId="54006634" w14:textId="67074BBE" w:rsidR="00A55120" w:rsidRPr="00615443" w:rsidRDefault="00A55120" w:rsidP="00A55120">
      <w:pPr>
        <w:spacing w:line="360" w:lineRule="auto"/>
        <w:ind w:firstLine="720"/>
        <w:jc w:val="both"/>
        <w:rPr>
          <w:sz w:val="24"/>
          <w:szCs w:val="24"/>
        </w:rPr>
      </w:pPr>
      <w:r w:rsidRPr="00615443">
        <w:rPr>
          <w:sz w:val="24"/>
          <w:szCs w:val="24"/>
        </w:rPr>
        <w:t xml:space="preserve">Em relação a atividade de lazer, Batista </w:t>
      </w:r>
      <w:r w:rsidRPr="00615443">
        <w:rPr>
          <w:i/>
          <w:sz w:val="24"/>
          <w:szCs w:val="24"/>
        </w:rPr>
        <w:t xml:space="preserve">et al. </w:t>
      </w:r>
      <w:r w:rsidRPr="00615443">
        <w:rPr>
          <w:sz w:val="24"/>
          <w:szCs w:val="24"/>
        </w:rPr>
        <w:t xml:space="preserve">(2012) encontraram em seu estudo que uma significativa parte da amostra cessou a prática de atividades voltadas ao lazer, e acreditavam que somente conseguirá retomar essas atividades após a morte do idoso, o que evidencia o quanto o cuidado, sem o suporte adequado, pode anular aspectos importantes da vida pessoal do cuidador. No presente estudo, a maior parte dos participantes não praticava atividades de lazer. </w:t>
      </w:r>
    </w:p>
    <w:p w14:paraId="4D93066D" w14:textId="5B2FF205" w:rsidR="00F5406A" w:rsidRDefault="00000000" w:rsidP="00F5406A">
      <w:pPr>
        <w:spacing w:line="360" w:lineRule="auto"/>
        <w:ind w:firstLine="720"/>
        <w:jc w:val="both"/>
        <w:rPr>
          <w:sz w:val="24"/>
          <w:szCs w:val="24"/>
        </w:rPr>
      </w:pPr>
      <w:r w:rsidRPr="00615443">
        <w:rPr>
          <w:sz w:val="24"/>
          <w:szCs w:val="24"/>
        </w:rPr>
        <w:t>Em relação à saúde dos cuidadores, observou-se que a maioria apresentava algum tipo de doença (91,30</w:t>
      </w:r>
      <w:r>
        <w:rPr>
          <w:sz w:val="24"/>
          <w:szCs w:val="24"/>
        </w:rPr>
        <w:t>%) sendo a hipertensão (47,83%) a mais frequente</w:t>
      </w:r>
      <w:r w:rsidR="00F5406A">
        <w:rPr>
          <w:sz w:val="24"/>
          <w:szCs w:val="24"/>
        </w:rPr>
        <w:t>.</w:t>
      </w:r>
      <w:r w:rsidR="00F5406A" w:rsidRPr="00F5406A">
        <w:rPr>
          <w:sz w:val="24"/>
          <w:szCs w:val="24"/>
        </w:rPr>
        <w:t xml:space="preserve"> </w:t>
      </w:r>
      <w:r w:rsidR="00F5406A">
        <w:rPr>
          <w:sz w:val="24"/>
          <w:szCs w:val="24"/>
        </w:rPr>
        <w:t xml:space="preserve">Sendo assim </w:t>
      </w:r>
      <w:r w:rsidR="00F5406A">
        <w:rPr>
          <w:sz w:val="24"/>
          <w:szCs w:val="24"/>
        </w:rPr>
        <w:t xml:space="preserve">a maioria dos cuidadores apresentava algum problema de saúde. Esse achado é semelhante ao de Martins </w:t>
      </w:r>
      <w:r w:rsidR="00F5406A">
        <w:rPr>
          <w:i/>
          <w:sz w:val="24"/>
          <w:szCs w:val="24"/>
        </w:rPr>
        <w:t>et al.</w:t>
      </w:r>
      <w:r w:rsidR="00F5406A">
        <w:rPr>
          <w:sz w:val="24"/>
          <w:szCs w:val="24"/>
        </w:rPr>
        <w:t xml:space="preserve"> (2023), que também identificaram elevada prevalência de doenças entre cuidadores, e aos resultados de Hubert (2021), que constatou que muitos cuidadores relataram ter desenvolvido doenças (60,7%), problemas emocionais (75,0%) durante a atividade de cuidar. </w:t>
      </w:r>
    </w:p>
    <w:p w14:paraId="1C6A508D" w14:textId="77777777" w:rsidR="00F5406A" w:rsidRDefault="00F5406A" w:rsidP="00F5406A">
      <w:pPr>
        <w:spacing w:line="360" w:lineRule="auto"/>
        <w:ind w:firstLine="720"/>
        <w:jc w:val="both"/>
        <w:rPr>
          <w:sz w:val="24"/>
          <w:szCs w:val="24"/>
        </w:rPr>
      </w:pPr>
      <w:r>
        <w:rPr>
          <w:sz w:val="24"/>
          <w:szCs w:val="24"/>
        </w:rPr>
        <w:t xml:space="preserve">O crescimento das doenças crônicas não transmissíveis (DCNT) está relacionada ao envelhecimento e hábitos de vida da população brasileira (Simões </w:t>
      </w:r>
      <w:r>
        <w:rPr>
          <w:i/>
          <w:sz w:val="24"/>
          <w:szCs w:val="24"/>
        </w:rPr>
        <w:t>et al.</w:t>
      </w:r>
      <w:r>
        <w:rPr>
          <w:sz w:val="24"/>
          <w:szCs w:val="24"/>
        </w:rPr>
        <w:t xml:space="preserve">, 2021). A DCNT é uma das principais causas de mortalidade, e demanda adaptações diárias nos hábitos de vida, a não adaptação a essas mudanças pode trazer sérias consequências e gerar insegurança e ansiedade nos indivíduos afetados (Lima Junior; Lima, 2021).  </w:t>
      </w:r>
    </w:p>
    <w:p w14:paraId="27E0DCC4" w14:textId="25162023" w:rsidR="00A53456" w:rsidRDefault="00000000" w:rsidP="00A55120">
      <w:pPr>
        <w:spacing w:line="360" w:lineRule="auto"/>
        <w:ind w:firstLine="720"/>
        <w:jc w:val="both"/>
        <w:rPr>
          <w:sz w:val="24"/>
          <w:szCs w:val="24"/>
        </w:rPr>
      </w:pPr>
      <w:r>
        <w:rPr>
          <w:sz w:val="24"/>
          <w:szCs w:val="24"/>
        </w:rPr>
        <w:t xml:space="preserve">Em relação ao suporte obtido dentro do total da escala, foi observado que 16 participantes (69,57%) da amostra apresentaram um alto nível de suporte social percebido. Nos domínios do suporte social, observou-se uma predominância de alto nível de suporte na maior parte da amostra, conforme indicado na Tabela </w:t>
      </w:r>
      <w:r w:rsidR="00615443">
        <w:rPr>
          <w:sz w:val="24"/>
          <w:szCs w:val="24"/>
        </w:rPr>
        <w:t>1</w:t>
      </w:r>
      <w:r>
        <w:rPr>
          <w:sz w:val="24"/>
          <w:szCs w:val="24"/>
        </w:rPr>
        <w:t>.  </w:t>
      </w:r>
    </w:p>
    <w:p w14:paraId="27E4A5CC" w14:textId="77777777" w:rsidR="00615443" w:rsidRDefault="00615443" w:rsidP="00A55120">
      <w:pPr>
        <w:spacing w:line="360" w:lineRule="auto"/>
        <w:ind w:firstLine="720"/>
        <w:jc w:val="both"/>
        <w:rPr>
          <w:rFonts w:ascii="Quattrocento Sans" w:eastAsia="Quattrocento Sans" w:hAnsi="Quattrocento Sans" w:cs="Quattrocento Sans"/>
          <w:sz w:val="18"/>
          <w:szCs w:val="18"/>
        </w:rPr>
      </w:pPr>
    </w:p>
    <w:p w14:paraId="7882087E" w14:textId="3D875D8B" w:rsidR="00A53456" w:rsidRDefault="00000000" w:rsidP="00F5406A">
      <w:pPr>
        <w:keepNext/>
        <w:spacing w:line="240" w:lineRule="auto"/>
        <w:jc w:val="center"/>
        <w:rPr>
          <w:b/>
          <w:sz w:val="24"/>
          <w:szCs w:val="24"/>
        </w:rPr>
      </w:pPr>
      <w:r>
        <w:rPr>
          <w:b/>
          <w:sz w:val="24"/>
          <w:szCs w:val="24"/>
        </w:rPr>
        <w:lastRenderedPageBreak/>
        <w:t xml:space="preserve">TABELA </w:t>
      </w:r>
      <w:r w:rsidR="00A45DA2">
        <w:rPr>
          <w:b/>
          <w:sz w:val="24"/>
          <w:szCs w:val="24"/>
        </w:rPr>
        <w:t>1</w:t>
      </w:r>
      <w:r>
        <w:rPr>
          <w:b/>
          <w:sz w:val="24"/>
          <w:szCs w:val="24"/>
        </w:rPr>
        <w:t xml:space="preserve"> - </w:t>
      </w:r>
      <w:r w:rsidR="00615443">
        <w:rPr>
          <w:bCs/>
          <w:sz w:val="24"/>
          <w:szCs w:val="24"/>
        </w:rPr>
        <w:t>R</w:t>
      </w:r>
      <w:r w:rsidR="00615443" w:rsidRPr="00615443">
        <w:rPr>
          <w:bCs/>
          <w:sz w:val="24"/>
          <w:szCs w:val="24"/>
        </w:rPr>
        <w:t>esultado dos domínios do suporte social</w:t>
      </w:r>
      <w:r w:rsidR="00615443">
        <w:rPr>
          <w:b/>
          <w:sz w:val="24"/>
          <w:szCs w:val="24"/>
        </w:rPr>
        <w:t xml:space="preserve">  </w:t>
      </w:r>
    </w:p>
    <w:p w14:paraId="77807634" w14:textId="77777777" w:rsidR="00615443" w:rsidRDefault="00615443" w:rsidP="00F5406A">
      <w:pPr>
        <w:keepNext/>
        <w:spacing w:line="240" w:lineRule="auto"/>
        <w:jc w:val="center"/>
        <w:rPr>
          <w:b/>
          <w:sz w:val="24"/>
          <w:szCs w:val="24"/>
        </w:rPr>
      </w:pPr>
    </w:p>
    <w:tbl>
      <w:tblPr>
        <w:tblStyle w:val="a0"/>
        <w:tblW w:w="906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015"/>
        <w:gridCol w:w="3015"/>
        <w:gridCol w:w="3030"/>
      </w:tblGrid>
      <w:tr w:rsidR="00A53456" w14:paraId="44C6293E" w14:textId="77777777">
        <w:trPr>
          <w:trHeight w:val="300"/>
        </w:trPr>
        <w:tc>
          <w:tcPr>
            <w:tcW w:w="9060" w:type="dxa"/>
            <w:gridSpan w:val="3"/>
            <w:tcBorders>
              <w:top w:val="single" w:sz="6" w:space="0" w:color="000000"/>
              <w:left w:val="nil"/>
              <w:bottom w:val="single" w:sz="4" w:space="0" w:color="000000"/>
              <w:right w:val="nil"/>
            </w:tcBorders>
            <w:shd w:val="clear" w:color="auto" w:fill="auto"/>
          </w:tcPr>
          <w:p w14:paraId="2F8CB9F1" w14:textId="77777777" w:rsidR="00A53456" w:rsidRDefault="00000000" w:rsidP="00F5406A">
            <w:pPr>
              <w:spacing w:line="240" w:lineRule="auto"/>
              <w:jc w:val="center"/>
              <w:rPr>
                <w:sz w:val="24"/>
                <w:szCs w:val="24"/>
              </w:rPr>
            </w:pPr>
            <w:r>
              <w:rPr>
                <w:b/>
                <w:sz w:val="24"/>
                <w:szCs w:val="24"/>
              </w:rPr>
              <w:t>Domínios do suporte social</w:t>
            </w:r>
          </w:p>
        </w:tc>
      </w:tr>
      <w:tr w:rsidR="00A53456" w14:paraId="3CA1110A" w14:textId="77777777">
        <w:trPr>
          <w:trHeight w:val="300"/>
        </w:trPr>
        <w:tc>
          <w:tcPr>
            <w:tcW w:w="3015" w:type="dxa"/>
            <w:tcBorders>
              <w:top w:val="single" w:sz="4" w:space="0" w:color="000000"/>
              <w:left w:val="nil"/>
              <w:bottom w:val="single" w:sz="4" w:space="0" w:color="000000"/>
              <w:right w:val="nil"/>
            </w:tcBorders>
            <w:shd w:val="clear" w:color="auto" w:fill="auto"/>
          </w:tcPr>
          <w:p w14:paraId="01290F70" w14:textId="77777777" w:rsidR="00A53456" w:rsidRDefault="00000000" w:rsidP="00F5406A">
            <w:pPr>
              <w:spacing w:line="240" w:lineRule="auto"/>
              <w:jc w:val="center"/>
              <w:rPr>
                <w:sz w:val="24"/>
                <w:szCs w:val="24"/>
              </w:rPr>
            </w:pPr>
            <w:r>
              <w:rPr>
                <w:b/>
                <w:sz w:val="24"/>
                <w:szCs w:val="24"/>
              </w:rPr>
              <w:t>Domínios</w:t>
            </w:r>
          </w:p>
        </w:tc>
        <w:tc>
          <w:tcPr>
            <w:tcW w:w="6045" w:type="dxa"/>
            <w:gridSpan w:val="2"/>
            <w:tcBorders>
              <w:top w:val="single" w:sz="4" w:space="0" w:color="000000"/>
              <w:left w:val="nil"/>
              <w:bottom w:val="single" w:sz="4" w:space="0" w:color="000000"/>
              <w:right w:val="nil"/>
            </w:tcBorders>
            <w:shd w:val="clear" w:color="auto" w:fill="auto"/>
          </w:tcPr>
          <w:p w14:paraId="1F41DBFC" w14:textId="77777777" w:rsidR="00A53456" w:rsidRDefault="00000000" w:rsidP="00F5406A">
            <w:pPr>
              <w:spacing w:line="240" w:lineRule="auto"/>
              <w:jc w:val="center"/>
              <w:rPr>
                <w:sz w:val="24"/>
                <w:szCs w:val="24"/>
              </w:rPr>
            </w:pPr>
            <w:r>
              <w:rPr>
                <w:b/>
                <w:sz w:val="24"/>
                <w:szCs w:val="24"/>
              </w:rPr>
              <w:t>Suporte social</w:t>
            </w:r>
          </w:p>
        </w:tc>
      </w:tr>
      <w:tr w:rsidR="00A53456" w14:paraId="08290AA2" w14:textId="77777777">
        <w:trPr>
          <w:trHeight w:val="300"/>
        </w:trPr>
        <w:tc>
          <w:tcPr>
            <w:tcW w:w="3015" w:type="dxa"/>
            <w:tcBorders>
              <w:top w:val="single" w:sz="4" w:space="0" w:color="000000"/>
              <w:left w:val="nil"/>
              <w:bottom w:val="nil"/>
              <w:right w:val="nil"/>
            </w:tcBorders>
            <w:shd w:val="clear" w:color="auto" w:fill="auto"/>
          </w:tcPr>
          <w:p w14:paraId="0A177E59" w14:textId="77777777" w:rsidR="00A53456" w:rsidRDefault="00A53456" w:rsidP="00F5406A">
            <w:pPr>
              <w:spacing w:line="240" w:lineRule="auto"/>
              <w:jc w:val="center"/>
              <w:rPr>
                <w:sz w:val="24"/>
                <w:szCs w:val="24"/>
              </w:rPr>
            </w:pPr>
          </w:p>
        </w:tc>
        <w:tc>
          <w:tcPr>
            <w:tcW w:w="3015" w:type="dxa"/>
            <w:tcBorders>
              <w:top w:val="single" w:sz="4" w:space="0" w:color="000000"/>
              <w:left w:val="nil"/>
              <w:bottom w:val="nil"/>
              <w:right w:val="nil"/>
            </w:tcBorders>
            <w:shd w:val="clear" w:color="auto" w:fill="auto"/>
          </w:tcPr>
          <w:p w14:paraId="4256BFB3" w14:textId="77777777" w:rsidR="00A53456" w:rsidRDefault="00000000" w:rsidP="00F5406A">
            <w:pPr>
              <w:spacing w:line="240" w:lineRule="auto"/>
              <w:jc w:val="center"/>
              <w:rPr>
                <w:b/>
                <w:sz w:val="24"/>
                <w:szCs w:val="24"/>
              </w:rPr>
            </w:pPr>
            <w:r>
              <w:rPr>
                <w:b/>
                <w:sz w:val="24"/>
                <w:szCs w:val="24"/>
              </w:rPr>
              <w:t>Alto</w:t>
            </w:r>
          </w:p>
          <w:p w14:paraId="150505AE" w14:textId="77777777" w:rsidR="00A53456" w:rsidRDefault="00000000" w:rsidP="00F5406A">
            <w:pPr>
              <w:spacing w:line="240" w:lineRule="auto"/>
              <w:jc w:val="center"/>
              <w:rPr>
                <w:b/>
                <w:sz w:val="24"/>
                <w:szCs w:val="24"/>
              </w:rPr>
            </w:pPr>
            <w:r>
              <w:rPr>
                <w:b/>
                <w:sz w:val="24"/>
                <w:szCs w:val="24"/>
              </w:rPr>
              <w:t>n    (%)</w:t>
            </w:r>
          </w:p>
          <w:p w14:paraId="7CB79AE8" w14:textId="77777777" w:rsidR="00A53456" w:rsidRDefault="00A53456" w:rsidP="00F5406A">
            <w:pPr>
              <w:spacing w:line="240" w:lineRule="auto"/>
              <w:jc w:val="center"/>
              <w:rPr>
                <w:b/>
                <w:sz w:val="24"/>
                <w:szCs w:val="24"/>
              </w:rPr>
            </w:pPr>
          </w:p>
        </w:tc>
        <w:tc>
          <w:tcPr>
            <w:tcW w:w="3030" w:type="dxa"/>
            <w:tcBorders>
              <w:top w:val="single" w:sz="4" w:space="0" w:color="000000"/>
              <w:left w:val="nil"/>
              <w:bottom w:val="nil"/>
              <w:right w:val="nil"/>
            </w:tcBorders>
            <w:shd w:val="clear" w:color="auto" w:fill="auto"/>
          </w:tcPr>
          <w:p w14:paraId="2ABEA70D" w14:textId="77777777" w:rsidR="00A53456" w:rsidRDefault="00000000" w:rsidP="00F5406A">
            <w:pPr>
              <w:spacing w:line="240" w:lineRule="auto"/>
              <w:jc w:val="center"/>
              <w:rPr>
                <w:b/>
                <w:sz w:val="24"/>
                <w:szCs w:val="24"/>
              </w:rPr>
            </w:pPr>
            <w:r>
              <w:rPr>
                <w:b/>
                <w:sz w:val="24"/>
                <w:szCs w:val="24"/>
              </w:rPr>
              <w:t>Baixo</w:t>
            </w:r>
          </w:p>
          <w:p w14:paraId="6F1B5F6F" w14:textId="77777777" w:rsidR="00A53456" w:rsidRDefault="00000000" w:rsidP="00F5406A">
            <w:pPr>
              <w:spacing w:line="240" w:lineRule="auto"/>
              <w:jc w:val="center"/>
              <w:rPr>
                <w:b/>
                <w:sz w:val="24"/>
                <w:szCs w:val="24"/>
              </w:rPr>
            </w:pPr>
            <w:r>
              <w:rPr>
                <w:b/>
                <w:sz w:val="24"/>
                <w:szCs w:val="24"/>
              </w:rPr>
              <w:t>n  (%)</w:t>
            </w:r>
          </w:p>
        </w:tc>
      </w:tr>
      <w:tr w:rsidR="00A53456" w14:paraId="28D73D72" w14:textId="77777777">
        <w:trPr>
          <w:trHeight w:val="300"/>
        </w:trPr>
        <w:tc>
          <w:tcPr>
            <w:tcW w:w="3015" w:type="dxa"/>
            <w:tcBorders>
              <w:top w:val="nil"/>
              <w:left w:val="nil"/>
              <w:bottom w:val="nil"/>
              <w:right w:val="nil"/>
            </w:tcBorders>
            <w:shd w:val="clear" w:color="auto" w:fill="auto"/>
          </w:tcPr>
          <w:p w14:paraId="29898C25" w14:textId="77777777" w:rsidR="00A53456" w:rsidRDefault="00000000" w:rsidP="00F5406A">
            <w:pPr>
              <w:spacing w:line="240" w:lineRule="auto"/>
              <w:rPr>
                <w:sz w:val="24"/>
                <w:szCs w:val="24"/>
              </w:rPr>
            </w:pPr>
            <w:r>
              <w:rPr>
                <w:sz w:val="24"/>
                <w:szCs w:val="24"/>
              </w:rPr>
              <w:t>Interação Social Positiva</w:t>
            </w:r>
          </w:p>
        </w:tc>
        <w:tc>
          <w:tcPr>
            <w:tcW w:w="3015" w:type="dxa"/>
            <w:tcBorders>
              <w:top w:val="nil"/>
              <w:left w:val="nil"/>
              <w:bottom w:val="nil"/>
              <w:right w:val="nil"/>
            </w:tcBorders>
            <w:shd w:val="clear" w:color="auto" w:fill="auto"/>
            <w:vAlign w:val="center"/>
          </w:tcPr>
          <w:p w14:paraId="1CD23020" w14:textId="77777777" w:rsidR="00A53456" w:rsidRDefault="00000000" w:rsidP="00F5406A">
            <w:pPr>
              <w:spacing w:line="240" w:lineRule="auto"/>
              <w:jc w:val="center"/>
              <w:rPr>
                <w:sz w:val="24"/>
                <w:szCs w:val="24"/>
              </w:rPr>
            </w:pPr>
            <w:r>
              <w:rPr>
                <w:sz w:val="24"/>
                <w:szCs w:val="24"/>
              </w:rPr>
              <w:t>14  (60,87%)</w:t>
            </w:r>
          </w:p>
        </w:tc>
        <w:tc>
          <w:tcPr>
            <w:tcW w:w="3030" w:type="dxa"/>
            <w:tcBorders>
              <w:top w:val="nil"/>
              <w:left w:val="nil"/>
              <w:bottom w:val="nil"/>
              <w:right w:val="nil"/>
            </w:tcBorders>
            <w:shd w:val="clear" w:color="auto" w:fill="auto"/>
            <w:vAlign w:val="center"/>
          </w:tcPr>
          <w:p w14:paraId="468CF672" w14:textId="77777777" w:rsidR="00A53456" w:rsidRDefault="00000000" w:rsidP="00F5406A">
            <w:pPr>
              <w:spacing w:line="240" w:lineRule="auto"/>
              <w:jc w:val="center"/>
              <w:rPr>
                <w:sz w:val="24"/>
                <w:szCs w:val="24"/>
              </w:rPr>
            </w:pPr>
            <w:r>
              <w:rPr>
                <w:sz w:val="24"/>
                <w:szCs w:val="24"/>
              </w:rPr>
              <w:t>9  (39,13%)</w:t>
            </w:r>
          </w:p>
        </w:tc>
      </w:tr>
      <w:tr w:rsidR="00A53456" w14:paraId="023E04E9" w14:textId="77777777">
        <w:trPr>
          <w:trHeight w:val="300"/>
        </w:trPr>
        <w:tc>
          <w:tcPr>
            <w:tcW w:w="3015" w:type="dxa"/>
            <w:tcBorders>
              <w:top w:val="nil"/>
              <w:left w:val="nil"/>
              <w:bottom w:val="nil"/>
              <w:right w:val="nil"/>
            </w:tcBorders>
            <w:shd w:val="clear" w:color="auto" w:fill="auto"/>
          </w:tcPr>
          <w:p w14:paraId="645D0392" w14:textId="77777777" w:rsidR="00A53456" w:rsidRDefault="00000000" w:rsidP="00F5406A">
            <w:pPr>
              <w:spacing w:line="240" w:lineRule="auto"/>
              <w:rPr>
                <w:sz w:val="24"/>
                <w:szCs w:val="24"/>
              </w:rPr>
            </w:pPr>
            <w:r>
              <w:rPr>
                <w:sz w:val="24"/>
                <w:szCs w:val="24"/>
              </w:rPr>
              <w:t>Suporte afetivo</w:t>
            </w:r>
          </w:p>
        </w:tc>
        <w:tc>
          <w:tcPr>
            <w:tcW w:w="3015" w:type="dxa"/>
            <w:tcBorders>
              <w:top w:val="nil"/>
              <w:left w:val="nil"/>
              <w:bottom w:val="nil"/>
              <w:right w:val="nil"/>
            </w:tcBorders>
            <w:shd w:val="clear" w:color="auto" w:fill="auto"/>
            <w:vAlign w:val="center"/>
          </w:tcPr>
          <w:p w14:paraId="5F5EEAFA" w14:textId="77777777" w:rsidR="00A53456" w:rsidRDefault="00000000" w:rsidP="00F5406A">
            <w:pPr>
              <w:spacing w:line="240" w:lineRule="auto"/>
              <w:jc w:val="center"/>
              <w:rPr>
                <w:sz w:val="24"/>
                <w:szCs w:val="24"/>
              </w:rPr>
            </w:pPr>
            <w:r>
              <w:rPr>
                <w:sz w:val="24"/>
                <w:szCs w:val="24"/>
              </w:rPr>
              <w:t>16  (69,57%)</w:t>
            </w:r>
          </w:p>
        </w:tc>
        <w:tc>
          <w:tcPr>
            <w:tcW w:w="3030" w:type="dxa"/>
            <w:tcBorders>
              <w:top w:val="nil"/>
              <w:left w:val="nil"/>
              <w:bottom w:val="nil"/>
              <w:right w:val="nil"/>
            </w:tcBorders>
            <w:shd w:val="clear" w:color="auto" w:fill="auto"/>
            <w:vAlign w:val="center"/>
          </w:tcPr>
          <w:p w14:paraId="57696B16" w14:textId="77777777" w:rsidR="00A53456" w:rsidRDefault="00000000" w:rsidP="00F5406A">
            <w:pPr>
              <w:spacing w:line="240" w:lineRule="auto"/>
              <w:jc w:val="center"/>
              <w:rPr>
                <w:sz w:val="24"/>
                <w:szCs w:val="24"/>
              </w:rPr>
            </w:pPr>
            <w:r>
              <w:rPr>
                <w:sz w:val="24"/>
                <w:szCs w:val="24"/>
              </w:rPr>
              <w:t>7  (30,43%)</w:t>
            </w:r>
          </w:p>
        </w:tc>
      </w:tr>
      <w:tr w:rsidR="00A53456" w14:paraId="701B4341" w14:textId="77777777">
        <w:trPr>
          <w:trHeight w:val="300"/>
        </w:trPr>
        <w:tc>
          <w:tcPr>
            <w:tcW w:w="3015" w:type="dxa"/>
            <w:tcBorders>
              <w:top w:val="nil"/>
              <w:left w:val="nil"/>
              <w:bottom w:val="nil"/>
              <w:right w:val="nil"/>
            </w:tcBorders>
            <w:shd w:val="clear" w:color="auto" w:fill="auto"/>
          </w:tcPr>
          <w:p w14:paraId="204F10EC" w14:textId="77777777" w:rsidR="00A53456" w:rsidRDefault="00000000" w:rsidP="00F5406A">
            <w:pPr>
              <w:spacing w:line="240" w:lineRule="auto"/>
              <w:rPr>
                <w:sz w:val="24"/>
                <w:szCs w:val="24"/>
              </w:rPr>
            </w:pPr>
            <w:r>
              <w:rPr>
                <w:sz w:val="24"/>
                <w:szCs w:val="24"/>
              </w:rPr>
              <w:t>Suporte emocional</w:t>
            </w:r>
          </w:p>
        </w:tc>
        <w:tc>
          <w:tcPr>
            <w:tcW w:w="3015" w:type="dxa"/>
            <w:tcBorders>
              <w:top w:val="nil"/>
              <w:left w:val="nil"/>
              <w:bottom w:val="nil"/>
              <w:right w:val="nil"/>
            </w:tcBorders>
            <w:shd w:val="clear" w:color="auto" w:fill="auto"/>
            <w:vAlign w:val="center"/>
          </w:tcPr>
          <w:p w14:paraId="14490302" w14:textId="77777777" w:rsidR="00A53456" w:rsidRDefault="00000000" w:rsidP="00F5406A">
            <w:pPr>
              <w:spacing w:line="240" w:lineRule="auto"/>
              <w:jc w:val="center"/>
              <w:rPr>
                <w:sz w:val="24"/>
                <w:szCs w:val="24"/>
              </w:rPr>
            </w:pPr>
            <w:r>
              <w:rPr>
                <w:sz w:val="24"/>
                <w:szCs w:val="24"/>
              </w:rPr>
              <w:t>13  (56,52%)</w:t>
            </w:r>
          </w:p>
        </w:tc>
        <w:tc>
          <w:tcPr>
            <w:tcW w:w="3030" w:type="dxa"/>
            <w:tcBorders>
              <w:top w:val="nil"/>
              <w:left w:val="nil"/>
              <w:bottom w:val="nil"/>
              <w:right w:val="nil"/>
            </w:tcBorders>
            <w:shd w:val="clear" w:color="auto" w:fill="auto"/>
            <w:vAlign w:val="center"/>
          </w:tcPr>
          <w:p w14:paraId="500522F7" w14:textId="77777777" w:rsidR="00A53456" w:rsidRDefault="00000000" w:rsidP="00F5406A">
            <w:pPr>
              <w:spacing w:line="240" w:lineRule="auto"/>
              <w:jc w:val="center"/>
              <w:rPr>
                <w:sz w:val="24"/>
                <w:szCs w:val="24"/>
              </w:rPr>
            </w:pPr>
            <w:r>
              <w:rPr>
                <w:sz w:val="24"/>
                <w:szCs w:val="24"/>
              </w:rPr>
              <w:t>10  (43,48%)</w:t>
            </w:r>
          </w:p>
        </w:tc>
      </w:tr>
      <w:tr w:rsidR="00A53456" w14:paraId="6BB87C63" w14:textId="77777777">
        <w:trPr>
          <w:trHeight w:val="300"/>
        </w:trPr>
        <w:tc>
          <w:tcPr>
            <w:tcW w:w="3015" w:type="dxa"/>
            <w:tcBorders>
              <w:top w:val="nil"/>
              <w:left w:val="nil"/>
              <w:bottom w:val="nil"/>
              <w:right w:val="nil"/>
            </w:tcBorders>
            <w:shd w:val="clear" w:color="auto" w:fill="auto"/>
          </w:tcPr>
          <w:p w14:paraId="60F01989" w14:textId="77777777" w:rsidR="00A53456" w:rsidRDefault="00000000" w:rsidP="00F5406A">
            <w:pPr>
              <w:spacing w:line="240" w:lineRule="auto"/>
              <w:rPr>
                <w:sz w:val="24"/>
                <w:szCs w:val="24"/>
              </w:rPr>
            </w:pPr>
            <w:r>
              <w:rPr>
                <w:sz w:val="24"/>
                <w:szCs w:val="24"/>
              </w:rPr>
              <w:t>Suporte de informação</w:t>
            </w:r>
          </w:p>
        </w:tc>
        <w:tc>
          <w:tcPr>
            <w:tcW w:w="3015" w:type="dxa"/>
            <w:tcBorders>
              <w:top w:val="nil"/>
              <w:left w:val="nil"/>
              <w:bottom w:val="nil"/>
              <w:right w:val="nil"/>
            </w:tcBorders>
            <w:shd w:val="clear" w:color="auto" w:fill="auto"/>
            <w:vAlign w:val="center"/>
          </w:tcPr>
          <w:p w14:paraId="76107F99" w14:textId="77777777" w:rsidR="00A53456" w:rsidRDefault="00000000" w:rsidP="00F5406A">
            <w:pPr>
              <w:spacing w:line="240" w:lineRule="auto"/>
              <w:jc w:val="center"/>
              <w:rPr>
                <w:sz w:val="24"/>
                <w:szCs w:val="24"/>
              </w:rPr>
            </w:pPr>
            <w:r>
              <w:rPr>
                <w:sz w:val="24"/>
                <w:szCs w:val="24"/>
              </w:rPr>
              <w:t>13  (56,52%)</w:t>
            </w:r>
          </w:p>
        </w:tc>
        <w:tc>
          <w:tcPr>
            <w:tcW w:w="3030" w:type="dxa"/>
            <w:tcBorders>
              <w:top w:val="nil"/>
              <w:left w:val="nil"/>
              <w:bottom w:val="nil"/>
              <w:right w:val="nil"/>
            </w:tcBorders>
            <w:shd w:val="clear" w:color="auto" w:fill="auto"/>
            <w:vAlign w:val="center"/>
          </w:tcPr>
          <w:p w14:paraId="71FC00D2" w14:textId="77777777" w:rsidR="00A53456" w:rsidRDefault="00000000" w:rsidP="00F5406A">
            <w:pPr>
              <w:spacing w:line="240" w:lineRule="auto"/>
              <w:jc w:val="center"/>
              <w:rPr>
                <w:sz w:val="24"/>
                <w:szCs w:val="24"/>
              </w:rPr>
            </w:pPr>
            <w:r>
              <w:rPr>
                <w:sz w:val="24"/>
                <w:szCs w:val="24"/>
              </w:rPr>
              <w:t>10  (43,48%)</w:t>
            </w:r>
          </w:p>
        </w:tc>
      </w:tr>
      <w:tr w:rsidR="00A53456" w14:paraId="3367D8D9" w14:textId="77777777">
        <w:trPr>
          <w:trHeight w:val="300"/>
        </w:trPr>
        <w:tc>
          <w:tcPr>
            <w:tcW w:w="3015" w:type="dxa"/>
            <w:tcBorders>
              <w:top w:val="nil"/>
              <w:left w:val="nil"/>
              <w:bottom w:val="single" w:sz="4" w:space="0" w:color="000000"/>
              <w:right w:val="nil"/>
            </w:tcBorders>
            <w:shd w:val="clear" w:color="auto" w:fill="auto"/>
          </w:tcPr>
          <w:p w14:paraId="1F88C4CC" w14:textId="77777777" w:rsidR="00A53456" w:rsidRDefault="00000000" w:rsidP="00F5406A">
            <w:pPr>
              <w:spacing w:line="240" w:lineRule="auto"/>
              <w:rPr>
                <w:sz w:val="24"/>
                <w:szCs w:val="24"/>
              </w:rPr>
            </w:pPr>
            <w:r>
              <w:rPr>
                <w:sz w:val="24"/>
                <w:szCs w:val="24"/>
              </w:rPr>
              <w:t>Suporte de material</w:t>
            </w:r>
          </w:p>
        </w:tc>
        <w:tc>
          <w:tcPr>
            <w:tcW w:w="3015" w:type="dxa"/>
            <w:tcBorders>
              <w:top w:val="nil"/>
              <w:left w:val="nil"/>
              <w:bottom w:val="single" w:sz="4" w:space="0" w:color="000000"/>
              <w:right w:val="nil"/>
            </w:tcBorders>
            <w:shd w:val="clear" w:color="auto" w:fill="auto"/>
            <w:vAlign w:val="center"/>
          </w:tcPr>
          <w:p w14:paraId="5CF29010" w14:textId="77777777" w:rsidR="00A53456" w:rsidRDefault="00000000" w:rsidP="00F5406A">
            <w:pPr>
              <w:spacing w:line="240" w:lineRule="auto"/>
              <w:jc w:val="center"/>
              <w:rPr>
                <w:sz w:val="24"/>
                <w:szCs w:val="24"/>
              </w:rPr>
            </w:pPr>
            <w:r>
              <w:rPr>
                <w:sz w:val="24"/>
                <w:szCs w:val="24"/>
              </w:rPr>
              <w:t>19  (82,61%)</w:t>
            </w:r>
          </w:p>
        </w:tc>
        <w:tc>
          <w:tcPr>
            <w:tcW w:w="3030" w:type="dxa"/>
            <w:tcBorders>
              <w:top w:val="nil"/>
              <w:left w:val="nil"/>
              <w:bottom w:val="single" w:sz="4" w:space="0" w:color="000000"/>
              <w:right w:val="nil"/>
            </w:tcBorders>
            <w:shd w:val="clear" w:color="auto" w:fill="auto"/>
            <w:vAlign w:val="center"/>
          </w:tcPr>
          <w:p w14:paraId="608D9A5D" w14:textId="77777777" w:rsidR="00A53456" w:rsidRDefault="00000000" w:rsidP="00F5406A">
            <w:pPr>
              <w:spacing w:line="240" w:lineRule="auto"/>
              <w:jc w:val="center"/>
              <w:rPr>
                <w:sz w:val="24"/>
                <w:szCs w:val="24"/>
              </w:rPr>
            </w:pPr>
            <w:r>
              <w:rPr>
                <w:sz w:val="24"/>
                <w:szCs w:val="24"/>
              </w:rPr>
              <w:t>4  (17,39%)</w:t>
            </w:r>
          </w:p>
        </w:tc>
      </w:tr>
    </w:tbl>
    <w:p w14:paraId="31F6C85C" w14:textId="77777777" w:rsidR="00A53456" w:rsidRDefault="00000000" w:rsidP="00F5406A">
      <w:pPr>
        <w:spacing w:line="360" w:lineRule="auto"/>
        <w:rPr>
          <w:sz w:val="20"/>
          <w:szCs w:val="20"/>
        </w:rPr>
      </w:pPr>
      <w:r>
        <w:rPr>
          <w:sz w:val="20"/>
          <w:szCs w:val="20"/>
        </w:rPr>
        <w:t xml:space="preserve">Fonte: Elaborada pelo autor </w:t>
      </w:r>
    </w:p>
    <w:p w14:paraId="63714EDB" w14:textId="77777777" w:rsidR="00A53456" w:rsidRDefault="00000000" w:rsidP="00F5406A">
      <w:pPr>
        <w:spacing w:line="360" w:lineRule="auto"/>
        <w:ind w:firstLine="720"/>
        <w:jc w:val="both"/>
        <w:rPr>
          <w:sz w:val="24"/>
          <w:szCs w:val="24"/>
        </w:rPr>
      </w:pPr>
      <w:r>
        <w:rPr>
          <w:sz w:val="24"/>
          <w:szCs w:val="24"/>
        </w:rPr>
        <w:t xml:space="preserve">Diante desse cenário, percebe-se que a ausência de uma rede de apoio que proporcione conforto, compreensão e empatia pode levar a sentimentos de solidão e sobrecarga emocional (Yazawa </w:t>
      </w:r>
      <w:r>
        <w:rPr>
          <w:i/>
          <w:sz w:val="24"/>
          <w:szCs w:val="24"/>
        </w:rPr>
        <w:t>et al</w:t>
      </w:r>
      <w:r>
        <w:rPr>
          <w:sz w:val="24"/>
          <w:szCs w:val="24"/>
        </w:rPr>
        <w:t>., 2023). Ademais, a carência de informações claras e úteis, especialmente sobre como atender às necessidades do idoso ou lidar com questões de saúde, também pode agravar a insegurança e as dificuldades na gestão das responsabilidades relacionadas ao cuidado (Yazawa</w:t>
      </w:r>
      <w:r>
        <w:rPr>
          <w:i/>
          <w:sz w:val="24"/>
          <w:szCs w:val="24"/>
        </w:rPr>
        <w:t xml:space="preserve"> et al</w:t>
      </w:r>
      <w:r>
        <w:rPr>
          <w:sz w:val="24"/>
          <w:szCs w:val="24"/>
        </w:rPr>
        <w:t>., 2023). </w:t>
      </w:r>
    </w:p>
    <w:p w14:paraId="0CEB14CF" w14:textId="77777777" w:rsidR="00A53456" w:rsidRDefault="00000000" w:rsidP="00F5406A">
      <w:pPr>
        <w:spacing w:line="360" w:lineRule="auto"/>
        <w:ind w:firstLine="720"/>
        <w:jc w:val="both"/>
        <w:rPr>
          <w:sz w:val="24"/>
          <w:szCs w:val="24"/>
        </w:rPr>
      </w:pPr>
      <w:r>
        <w:rPr>
          <w:sz w:val="24"/>
          <w:szCs w:val="24"/>
        </w:rPr>
        <w:t>O suporte social é conceituado como uma rede de apoio imprescindível, na qual o indivíduo pode contar com pessoas de confiança para compartilhar suas preocupações e emoções, desempenhando um papel fundamental no bem-estar psicológico e na resiliência do indivíduo (Fonseca; Moura, 2008). Ademais, observou-se que o aumento do suporte social contribui para a redução da sobrecarga vivenciada por cuidadores, evidenciando sua importância não apenas para aqueles que recebem cuidados, mas também para aqueles que os prestam (Zhong; Wang; Nicholas, 2020).   </w:t>
      </w:r>
    </w:p>
    <w:p w14:paraId="3189F63B" w14:textId="77777777" w:rsidR="00A53456" w:rsidRDefault="00000000" w:rsidP="00F5406A">
      <w:pPr>
        <w:spacing w:line="360" w:lineRule="auto"/>
        <w:ind w:firstLine="720"/>
        <w:jc w:val="both"/>
        <w:rPr>
          <w:sz w:val="24"/>
          <w:szCs w:val="24"/>
        </w:rPr>
      </w:pPr>
      <w:r>
        <w:rPr>
          <w:sz w:val="24"/>
          <w:szCs w:val="24"/>
        </w:rPr>
        <w:t>Conforme destacado por Zhong; Wang; Nicholas, (2020) uma rede de apoio sólida pode ser capaz de aliviar a sobrecarga do cuidador, uma vez que permite não apenas a redução do estresse, como também a prevenção do esgotamento físico e mental, bem como a melhora da qualidade de vida. </w:t>
      </w:r>
    </w:p>
    <w:p w14:paraId="14B815A5" w14:textId="47FDA9AA" w:rsidR="00A53456" w:rsidRDefault="00000000" w:rsidP="00F5406A">
      <w:pPr>
        <w:spacing w:line="360" w:lineRule="auto"/>
        <w:ind w:firstLine="720"/>
        <w:jc w:val="both"/>
        <w:rPr>
          <w:sz w:val="24"/>
          <w:szCs w:val="24"/>
        </w:rPr>
      </w:pPr>
      <w:r>
        <w:rPr>
          <w:sz w:val="24"/>
          <w:szCs w:val="24"/>
        </w:rPr>
        <w:lastRenderedPageBreak/>
        <w:t xml:space="preserve">Neste contexto, no que tange ao suporte social, o presente estudo evidenciou que, de maneira geral, </w:t>
      </w:r>
      <w:r w:rsidR="00B84D92">
        <w:rPr>
          <w:sz w:val="24"/>
          <w:szCs w:val="24"/>
        </w:rPr>
        <w:t>os cuidadores</w:t>
      </w:r>
      <w:r>
        <w:rPr>
          <w:sz w:val="24"/>
          <w:szCs w:val="24"/>
        </w:rPr>
        <w:t xml:space="preserve"> relat</w:t>
      </w:r>
      <w:r w:rsidR="00B84D92">
        <w:rPr>
          <w:sz w:val="24"/>
          <w:szCs w:val="24"/>
        </w:rPr>
        <w:t>aram</w:t>
      </w:r>
      <w:r>
        <w:rPr>
          <w:sz w:val="24"/>
          <w:szCs w:val="24"/>
        </w:rPr>
        <w:t xml:space="preserve"> um nível elevado de suporte social.   Quando esse indivíduo conta com uma rede de apoio sólida e efetiva, seja por meio de familiares, amigos, profissionais de saúde ou instituições, tende a ter uma percepção mais positiva e satisfatória do seu bem-estar, tanto físico quanto emocional, o que reforça a importância de estratégias que fortaleçam o suporte social no contexto do cuidado (Ximenes; Queluz; Barham, 2022).  </w:t>
      </w:r>
    </w:p>
    <w:p w14:paraId="5E3A618A" w14:textId="77777777" w:rsidR="00A53456" w:rsidRDefault="00000000" w:rsidP="00F5406A">
      <w:pPr>
        <w:spacing w:line="360" w:lineRule="auto"/>
        <w:ind w:firstLine="720"/>
        <w:jc w:val="both"/>
        <w:rPr>
          <w:sz w:val="24"/>
          <w:szCs w:val="24"/>
        </w:rPr>
      </w:pPr>
      <w:r>
        <w:rPr>
          <w:sz w:val="24"/>
          <w:szCs w:val="24"/>
        </w:rPr>
        <w:t xml:space="preserve">Embora os domínios do suporte emocional e informacional apresentem porcentagens individuais significativas nesse estudo, eles se mostraram inferiores quando comparados a outros domínios da escala. Da mesma forma, a análise de Dalkirane </w:t>
      </w:r>
      <w:r>
        <w:rPr>
          <w:i/>
          <w:sz w:val="24"/>
          <w:szCs w:val="24"/>
        </w:rPr>
        <w:t>et al.</w:t>
      </w:r>
      <w:r>
        <w:rPr>
          <w:sz w:val="24"/>
          <w:szCs w:val="24"/>
        </w:rPr>
        <w:t xml:space="preserve"> (2022) com cuidadores de pacientes paliativos, revelou que os participantes relataram um alto nível de apoio material e apoio social, e baixa percepção em relação ao apoio emocional e informacional, que tiveram menor frequência de respostas afirmativas. Essa semelhança indica que, apesar do reconhecimento do suporte afetivo e material, há lacunas no suporte emocional e informacional, ressaltando a necessidade de intervenções específicas para fortalecer essas áreas e aprimorar o bem-estar dos cuidadores e a eficácia do cuidado.  </w:t>
      </w:r>
    </w:p>
    <w:p w14:paraId="00BCD95B" w14:textId="77777777" w:rsidR="00A53456" w:rsidRDefault="00000000" w:rsidP="00F5406A">
      <w:pPr>
        <w:spacing w:line="360" w:lineRule="auto"/>
        <w:ind w:firstLine="720"/>
        <w:jc w:val="both"/>
        <w:rPr>
          <w:sz w:val="24"/>
          <w:szCs w:val="24"/>
        </w:rPr>
      </w:pPr>
      <w:r>
        <w:rPr>
          <w:sz w:val="24"/>
          <w:szCs w:val="24"/>
        </w:rPr>
        <w:t xml:space="preserve">Ainda em relação ao domínio emocional, o atual estudo revelou que ele apresentou uma das menores pontuações entre os avaliados. Sendo uma constatação corroborada por Yazawa </w:t>
      </w:r>
      <w:r>
        <w:rPr>
          <w:i/>
          <w:sz w:val="24"/>
          <w:szCs w:val="24"/>
        </w:rPr>
        <w:t>et al</w:t>
      </w:r>
      <w:r>
        <w:rPr>
          <w:sz w:val="24"/>
          <w:szCs w:val="24"/>
        </w:rPr>
        <w:t>, (2023), que ao estudar cuidadores de pessoas idosas em vulnerabilidade social, também obteve a menor pontuação nesse domínio, o que pode estar atrelado ao fato de que os cuidadores de pessoas idosas enfrentam dificuldades significativas em perceber apoio emocional para compartilhar vínculos afetivos. </w:t>
      </w:r>
    </w:p>
    <w:p w14:paraId="67EB32F3" w14:textId="39798132" w:rsidR="00A53456" w:rsidRDefault="00000000" w:rsidP="00F5406A">
      <w:pPr>
        <w:spacing w:line="360" w:lineRule="auto"/>
        <w:ind w:firstLine="720"/>
        <w:jc w:val="both"/>
        <w:rPr>
          <w:sz w:val="24"/>
          <w:szCs w:val="24"/>
        </w:rPr>
      </w:pPr>
      <w:r>
        <w:rPr>
          <w:sz w:val="24"/>
          <w:szCs w:val="24"/>
        </w:rPr>
        <w:t xml:space="preserve">Conforme evidenciado por Zanini; Peixoto; Nakano (2018), o apoio material desempenha um papel fundamental na vida do cuidador. No presente estudo, esse domínio foi o que obteve a maior pontuação, indicando sua relevância prática no contexto do cuidado. Esse tipo de apoio refere-se à ajuda, como auxílio em tarefas </w:t>
      </w:r>
      <w:r>
        <w:rPr>
          <w:sz w:val="24"/>
          <w:szCs w:val="24"/>
        </w:rPr>
        <w:lastRenderedPageBreak/>
        <w:t>domésticas, cuidados com o idoso e suporte financeiro, sendo essencial no cotidiano do cuidado</w:t>
      </w:r>
      <w:r w:rsidR="00486621">
        <w:rPr>
          <w:sz w:val="24"/>
          <w:szCs w:val="24"/>
        </w:rPr>
        <w:t>.</w:t>
      </w:r>
      <w:r>
        <w:rPr>
          <w:sz w:val="24"/>
          <w:szCs w:val="24"/>
        </w:rPr>
        <w:t xml:space="preserve"> </w:t>
      </w:r>
    </w:p>
    <w:p w14:paraId="450E8BA4" w14:textId="77777777" w:rsidR="00A53456" w:rsidRDefault="00000000" w:rsidP="00F5406A">
      <w:pPr>
        <w:spacing w:line="360" w:lineRule="auto"/>
        <w:ind w:firstLine="720"/>
        <w:jc w:val="both"/>
        <w:rPr>
          <w:sz w:val="24"/>
          <w:szCs w:val="24"/>
        </w:rPr>
      </w:pPr>
      <w:r>
        <w:rPr>
          <w:sz w:val="24"/>
          <w:szCs w:val="24"/>
        </w:rPr>
        <w:t>Tais resultados reforçam a necessidade de estratégias voltadas não apenas para o fortalecimento das redes de apoio social, mas também para a promoção da saúde física e mental dos cuidadores. Nesse contexto, o grupo de apoio ao cuidador configura-se como espaços fundamentais de escuta, acolhimento e construção coletiva de saberes (Wachholz; Damiance, 2021). </w:t>
      </w:r>
    </w:p>
    <w:p w14:paraId="5A0FDF14" w14:textId="77777777" w:rsidR="00A53456" w:rsidRDefault="00000000" w:rsidP="00F5406A">
      <w:pPr>
        <w:spacing w:line="360" w:lineRule="auto"/>
        <w:ind w:firstLine="720"/>
        <w:jc w:val="both"/>
        <w:rPr>
          <w:sz w:val="24"/>
          <w:szCs w:val="24"/>
        </w:rPr>
      </w:pPr>
      <w:r>
        <w:rPr>
          <w:sz w:val="24"/>
          <w:szCs w:val="24"/>
        </w:rPr>
        <w:t>Nesses grupos, os cuidadores podem se apropriar de suas próprias vivências, necessidades e limites. Isso favorece um movimento de reflexão crítica sobre o papel do cuidado, permitindo que os cuidadores ressignifiquem sua experiência, ampliem sua consciência sobre seus direitos e fortaleçam sua autonomia, visto que os grupos estimulam a troca de informações sobre os recursos disponíveis na rede de saúde, contribuindo para o acesso mais efetivo dos idosos aos serviços especializados e promovendo uma assistência mais qualificada e equitativa (Wachholz; Damiance, 2021). </w:t>
      </w:r>
    </w:p>
    <w:p w14:paraId="1E51AD9A" w14:textId="77777777" w:rsidR="00A53456" w:rsidRDefault="00A53456" w:rsidP="00F5406A">
      <w:pPr>
        <w:spacing w:line="360" w:lineRule="auto"/>
        <w:jc w:val="both"/>
        <w:rPr>
          <w:color w:val="FF0000"/>
          <w:sz w:val="24"/>
          <w:szCs w:val="24"/>
        </w:rPr>
      </w:pPr>
    </w:p>
    <w:p w14:paraId="3E7D9F5F" w14:textId="77777777" w:rsidR="00A53456" w:rsidRDefault="00000000" w:rsidP="00F5406A">
      <w:pPr>
        <w:spacing w:line="360" w:lineRule="auto"/>
        <w:jc w:val="both"/>
        <w:rPr>
          <w:b/>
          <w:sz w:val="24"/>
          <w:szCs w:val="24"/>
        </w:rPr>
      </w:pPr>
      <w:r>
        <w:rPr>
          <w:b/>
          <w:sz w:val="24"/>
          <w:szCs w:val="24"/>
        </w:rPr>
        <w:t>3</w:t>
      </w:r>
      <w:r>
        <w:rPr>
          <w:b/>
          <w:sz w:val="24"/>
          <w:szCs w:val="24"/>
        </w:rPr>
        <w:tab/>
        <w:t>CONCLUSÃO</w:t>
      </w:r>
    </w:p>
    <w:p w14:paraId="7457E2B7" w14:textId="219368E2" w:rsidR="00A53456" w:rsidRDefault="00000000" w:rsidP="00F5406A">
      <w:pPr>
        <w:spacing w:line="360" w:lineRule="auto"/>
        <w:ind w:firstLine="720"/>
        <w:jc w:val="both"/>
        <w:rPr>
          <w:sz w:val="24"/>
          <w:szCs w:val="24"/>
          <w:highlight w:val="white"/>
        </w:rPr>
      </w:pPr>
      <w:r>
        <w:rPr>
          <w:sz w:val="24"/>
          <w:szCs w:val="24"/>
          <w:highlight w:val="white"/>
        </w:rPr>
        <w:t>Este estudo permitiu verificar os domínios do suporte social entre cuidadores de pessoas idosas assistidas por uma Unidade de Saúde da Família no município de Vitória, evidenciando que os cuidadores relataram alto suporte percebido. Todavia, apesar de ter sido identificado nessa pesquisa a presença de suporte social nas diferentes dimensões existentes, o domínio emocional e o de informação apresentou as menores pontuações, indicando uma fragilidade importante do cuidador.  </w:t>
      </w:r>
    </w:p>
    <w:p w14:paraId="40044C29" w14:textId="77777777" w:rsidR="00B74E7C" w:rsidRDefault="00000000" w:rsidP="00F5406A">
      <w:pPr>
        <w:spacing w:line="360" w:lineRule="auto"/>
        <w:ind w:firstLine="720"/>
        <w:jc w:val="both"/>
        <w:rPr>
          <w:sz w:val="24"/>
          <w:szCs w:val="24"/>
          <w:highlight w:val="white"/>
        </w:rPr>
      </w:pPr>
      <w:r>
        <w:rPr>
          <w:sz w:val="24"/>
          <w:szCs w:val="24"/>
          <w:highlight w:val="white"/>
        </w:rPr>
        <w:t xml:space="preserve">A elevada </w:t>
      </w:r>
      <w:r w:rsidR="001D4401">
        <w:rPr>
          <w:sz w:val="24"/>
          <w:szCs w:val="24"/>
          <w:highlight w:val="white"/>
        </w:rPr>
        <w:t>frequência</w:t>
      </w:r>
      <w:r>
        <w:rPr>
          <w:sz w:val="24"/>
          <w:szCs w:val="24"/>
          <w:highlight w:val="white"/>
        </w:rPr>
        <w:t xml:space="preserve"> de morbidades entre os cuidadores, associada à carência de atividade lazer, evidenciou a necessidade urgente de intervenções que promovam suporte social e capacitação adequada. Tais medidas são cruciais para aprimorar a saúde dos cuidadores e a qualidade da assistência prestada à população idosa. Assim, torna-se imperativo a implementação de políticas públicas que assegurem o </w:t>
      </w:r>
    </w:p>
    <w:p w14:paraId="3726D393" w14:textId="42BBF720" w:rsidR="00A53456" w:rsidRDefault="00000000" w:rsidP="00F5406A">
      <w:pPr>
        <w:spacing w:line="360" w:lineRule="auto"/>
        <w:ind w:firstLine="720"/>
        <w:jc w:val="both"/>
        <w:rPr>
          <w:sz w:val="24"/>
          <w:szCs w:val="24"/>
        </w:rPr>
      </w:pPr>
      <w:r>
        <w:rPr>
          <w:sz w:val="24"/>
          <w:szCs w:val="24"/>
          <w:highlight w:val="white"/>
        </w:rPr>
        <w:lastRenderedPageBreak/>
        <w:t>suporte necessário, a formação especializada e a promoção do bem-estar desses cuidadores, com o objetivo de garantir uma assistência mais eficaz e saudável aos idosos. </w:t>
      </w:r>
    </w:p>
    <w:p w14:paraId="08B540D6" w14:textId="7FEA89F2" w:rsidR="00A53456" w:rsidRDefault="00000000">
      <w:pPr>
        <w:spacing w:line="360" w:lineRule="auto"/>
        <w:jc w:val="center"/>
        <w:rPr>
          <w:color w:val="FF0000"/>
          <w:sz w:val="24"/>
          <w:szCs w:val="24"/>
        </w:rPr>
      </w:pPr>
      <w:r>
        <w:rPr>
          <w:b/>
          <w:sz w:val="24"/>
          <w:szCs w:val="24"/>
        </w:rPr>
        <w:t>REFERÊNCIAS</w:t>
      </w:r>
    </w:p>
    <w:p w14:paraId="07457A16" w14:textId="77777777" w:rsidR="00A53456" w:rsidRDefault="00000000">
      <w:pPr>
        <w:spacing w:before="240" w:after="240" w:line="240" w:lineRule="auto"/>
        <w:jc w:val="both"/>
        <w:rPr>
          <w:sz w:val="24"/>
          <w:szCs w:val="24"/>
        </w:rPr>
      </w:pPr>
      <w:r>
        <w:rPr>
          <w:sz w:val="24"/>
          <w:szCs w:val="24"/>
        </w:rPr>
        <w:t xml:space="preserve">BATISTA, Marina Picazzio Perez. </w:t>
      </w:r>
      <w:r>
        <w:rPr>
          <w:i/>
          <w:sz w:val="24"/>
          <w:szCs w:val="24"/>
        </w:rPr>
        <w:t>et al</w:t>
      </w:r>
      <w:r>
        <w:rPr>
          <w:sz w:val="24"/>
          <w:szCs w:val="24"/>
        </w:rPr>
        <w:t xml:space="preserve">. Repercussões do papel de cuidador. </w:t>
      </w:r>
      <w:r>
        <w:rPr>
          <w:b/>
          <w:sz w:val="24"/>
          <w:szCs w:val="24"/>
        </w:rPr>
        <w:t>Revista de Terapia Ocupacional da Universidade de São Paulo</w:t>
      </w:r>
      <w:r>
        <w:rPr>
          <w:sz w:val="24"/>
          <w:szCs w:val="24"/>
        </w:rPr>
        <w:t>. São Paulo, v. 23, n. 2, p. 186-192. 2012. DOI: 10.11606/issn.2238-6149.v23i2p186-192. </w:t>
      </w:r>
    </w:p>
    <w:p w14:paraId="0F695AEA" w14:textId="77777777" w:rsidR="00A53456" w:rsidRDefault="00000000">
      <w:pPr>
        <w:spacing w:before="240" w:after="240" w:line="240" w:lineRule="auto"/>
        <w:jc w:val="both"/>
        <w:rPr>
          <w:sz w:val="24"/>
          <w:szCs w:val="24"/>
        </w:rPr>
      </w:pPr>
      <w:r>
        <w:rPr>
          <w:sz w:val="24"/>
          <w:szCs w:val="24"/>
        </w:rPr>
        <w:t xml:space="preserve">BENTO, Maria da Conceição Saraiva da Costa; AMARAL, António Salgueiro; SILVA, Abel Paiva E. Idosos a cuidar de idosos: um desafio à organização dos cuidados domiciliários. </w:t>
      </w:r>
      <w:r>
        <w:rPr>
          <w:b/>
          <w:sz w:val="24"/>
          <w:szCs w:val="24"/>
        </w:rPr>
        <w:t>Cogitare Enfermagem</w:t>
      </w:r>
      <w:r>
        <w:rPr>
          <w:sz w:val="24"/>
          <w:szCs w:val="24"/>
        </w:rPr>
        <w:t>, v. 26, p. e79093, 2021. DOI: https://doi.org/10.5380/ce.v26i0.79093.   </w:t>
      </w:r>
    </w:p>
    <w:p w14:paraId="57D169F8" w14:textId="77777777" w:rsidR="00A53456" w:rsidRDefault="00000000">
      <w:pPr>
        <w:spacing w:before="240" w:after="240" w:line="240" w:lineRule="auto"/>
        <w:jc w:val="both"/>
        <w:rPr>
          <w:sz w:val="24"/>
          <w:szCs w:val="24"/>
        </w:rPr>
      </w:pPr>
      <w:r>
        <w:rPr>
          <w:sz w:val="24"/>
          <w:szCs w:val="24"/>
        </w:rPr>
        <w:t>BRASIL. Ministério da Saúde.</w:t>
      </w:r>
      <w:r>
        <w:rPr>
          <w:b/>
          <w:sz w:val="24"/>
          <w:szCs w:val="24"/>
        </w:rPr>
        <w:t xml:space="preserve"> Guia de cuidados para a pessoa idosa.</w:t>
      </w:r>
      <w:r>
        <w:rPr>
          <w:sz w:val="24"/>
          <w:szCs w:val="24"/>
        </w:rPr>
        <w:t xml:space="preserve"> Brasília-DF, 2023. ‌ Disponível em: https://bvsms.saude.gov.br/bvs/publicacoes/guia_cuidados_pessoa_idosa.pdf. Acesso em: 28 mar. 2024. </w:t>
      </w:r>
    </w:p>
    <w:p w14:paraId="17DB3A52" w14:textId="77777777" w:rsidR="00A53456" w:rsidRDefault="00000000">
      <w:pPr>
        <w:spacing w:before="240" w:after="240" w:line="240" w:lineRule="auto"/>
        <w:jc w:val="both"/>
        <w:rPr>
          <w:sz w:val="24"/>
          <w:szCs w:val="24"/>
        </w:rPr>
      </w:pPr>
      <w:r>
        <w:rPr>
          <w:sz w:val="24"/>
          <w:szCs w:val="24"/>
        </w:rPr>
        <w:t xml:space="preserve">CARVALHO, Paula Afonso Rodrigues. de. </w:t>
      </w:r>
      <w:r>
        <w:rPr>
          <w:i/>
          <w:sz w:val="24"/>
          <w:szCs w:val="24"/>
        </w:rPr>
        <w:t>et al.</w:t>
      </w:r>
      <w:r>
        <w:rPr>
          <w:sz w:val="24"/>
          <w:szCs w:val="24"/>
        </w:rPr>
        <w:t xml:space="preserve"> Qualidade de vida: sobrecarga e depressão entre cuidadores de idosos em atendimento domiciliar. </w:t>
      </w:r>
      <w:r>
        <w:rPr>
          <w:b/>
          <w:sz w:val="24"/>
          <w:szCs w:val="24"/>
        </w:rPr>
        <w:t>Revista Enfermagem UERJ</w:t>
      </w:r>
      <w:r>
        <w:rPr>
          <w:sz w:val="24"/>
          <w:szCs w:val="24"/>
        </w:rPr>
        <w:t>, v. 31, n. 1, p. e77207, 2023. DOI: https://doi.org/10.12957/reuerj.2023.77207. </w:t>
      </w:r>
    </w:p>
    <w:p w14:paraId="50590C7E" w14:textId="77777777" w:rsidR="00A53456" w:rsidRDefault="00000000">
      <w:pPr>
        <w:spacing w:before="240" w:after="240" w:line="240" w:lineRule="auto"/>
        <w:jc w:val="both"/>
        <w:rPr>
          <w:sz w:val="24"/>
          <w:szCs w:val="24"/>
        </w:rPr>
      </w:pPr>
      <w:r>
        <w:rPr>
          <w:sz w:val="24"/>
          <w:szCs w:val="24"/>
        </w:rPr>
        <w:t xml:space="preserve">CECCON, Roger Flores </w:t>
      </w:r>
      <w:r>
        <w:rPr>
          <w:i/>
          <w:sz w:val="24"/>
          <w:szCs w:val="24"/>
        </w:rPr>
        <w:t>et al</w:t>
      </w:r>
      <w:r>
        <w:rPr>
          <w:sz w:val="24"/>
          <w:szCs w:val="24"/>
        </w:rPr>
        <w:t xml:space="preserve">. Envelhecimento e dependência no Brasil: características sociodemográficas e assistenciais de idosos e cuidadores. </w:t>
      </w:r>
      <w:r>
        <w:rPr>
          <w:b/>
          <w:sz w:val="24"/>
          <w:szCs w:val="24"/>
        </w:rPr>
        <w:t>Ciência &amp; Saúde Coletiva</w:t>
      </w:r>
      <w:r>
        <w:rPr>
          <w:sz w:val="24"/>
          <w:szCs w:val="24"/>
        </w:rPr>
        <w:t>, v. 26, n. 1, p. 17–26, 2021. DOI: https://doi.org/10.1590/1413-81232020261.30352020.   </w:t>
      </w:r>
    </w:p>
    <w:p w14:paraId="03411A2A" w14:textId="77777777" w:rsidR="00A53456" w:rsidRDefault="00000000">
      <w:pPr>
        <w:spacing w:before="240" w:after="240" w:line="240" w:lineRule="auto"/>
        <w:jc w:val="both"/>
        <w:rPr>
          <w:sz w:val="24"/>
          <w:szCs w:val="24"/>
        </w:rPr>
      </w:pPr>
      <w:r>
        <w:rPr>
          <w:sz w:val="24"/>
          <w:szCs w:val="24"/>
        </w:rPr>
        <w:t>DALKIRANE, Mateus. Meira; SILVA, Lucilene; BANACO, Roberto; MIYAZAKI, Eduardo. Sobrecarga e Suporte Social em Cuidadores Informais de Pacientes Paliados: Estudo Correlacional Entre Variáveis</w:t>
      </w:r>
      <w:r>
        <w:rPr>
          <w:b/>
          <w:sz w:val="24"/>
          <w:szCs w:val="24"/>
        </w:rPr>
        <w:t>.</w:t>
      </w:r>
      <w:r>
        <w:rPr>
          <w:sz w:val="24"/>
          <w:szCs w:val="24"/>
        </w:rPr>
        <w:t xml:space="preserve"> </w:t>
      </w:r>
      <w:r>
        <w:rPr>
          <w:b/>
          <w:sz w:val="24"/>
          <w:szCs w:val="24"/>
        </w:rPr>
        <w:t xml:space="preserve">Revista Perspectivas, </w:t>
      </w:r>
      <w:r>
        <w:rPr>
          <w:sz w:val="24"/>
          <w:szCs w:val="24"/>
        </w:rPr>
        <w:t>v. 13, n. 2, p. 85-99, 2022.  DOI: https://doi.org/10.18761/PAC456456. </w:t>
      </w:r>
    </w:p>
    <w:p w14:paraId="73956F4F" w14:textId="77777777" w:rsidR="00A53456" w:rsidRDefault="00000000">
      <w:pPr>
        <w:spacing w:before="240" w:after="240" w:line="240" w:lineRule="auto"/>
        <w:jc w:val="both"/>
        <w:rPr>
          <w:sz w:val="24"/>
          <w:szCs w:val="24"/>
        </w:rPr>
      </w:pPr>
      <w:r>
        <w:rPr>
          <w:sz w:val="24"/>
          <w:szCs w:val="24"/>
        </w:rPr>
        <w:t xml:space="preserve">DARDENGO, Cassia Figueiredo Rossi; MAFRA, Simone Caldas Tavares. Os conceitos de velhice e envelhecimento ao longo do tempo: contradição ou adaptação? </w:t>
      </w:r>
      <w:r>
        <w:rPr>
          <w:b/>
          <w:sz w:val="24"/>
          <w:szCs w:val="24"/>
        </w:rPr>
        <w:t>Revista de Ciências Humanas</w:t>
      </w:r>
      <w:r>
        <w:rPr>
          <w:sz w:val="24"/>
          <w:szCs w:val="24"/>
        </w:rPr>
        <w:t>, v. 18, n. 2, p. 2, 2018. DOI: https://periodicos.ufv.br/RCH/article/view/8923.</w:t>
      </w:r>
    </w:p>
    <w:p w14:paraId="46DC106E" w14:textId="77777777" w:rsidR="00A53456" w:rsidRDefault="00000000">
      <w:pPr>
        <w:spacing w:before="240" w:after="240" w:line="240" w:lineRule="auto"/>
        <w:jc w:val="both"/>
        <w:rPr>
          <w:sz w:val="24"/>
          <w:szCs w:val="24"/>
        </w:rPr>
      </w:pPr>
      <w:r>
        <w:rPr>
          <w:sz w:val="24"/>
          <w:szCs w:val="24"/>
        </w:rPr>
        <w:t xml:space="preserve">FIGUEIREDO, Maria Livramento Fortes. </w:t>
      </w:r>
      <w:r>
        <w:rPr>
          <w:i/>
          <w:sz w:val="24"/>
          <w:szCs w:val="24"/>
        </w:rPr>
        <w:t>et al</w:t>
      </w:r>
      <w:r>
        <w:rPr>
          <w:sz w:val="24"/>
          <w:szCs w:val="24"/>
        </w:rPr>
        <w:t xml:space="preserve">. Cuidadores formais de idosos dependentes no domicílio: desafios vivenciados. </w:t>
      </w:r>
      <w:r>
        <w:rPr>
          <w:b/>
          <w:sz w:val="24"/>
          <w:szCs w:val="24"/>
        </w:rPr>
        <w:t>Ciência &amp; Saúde Coletiva</w:t>
      </w:r>
      <w:r>
        <w:rPr>
          <w:sz w:val="24"/>
          <w:szCs w:val="24"/>
        </w:rPr>
        <w:t xml:space="preserve">, v. 26, n. 1, p. 41, 2021. DOI: </w:t>
      </w:r>
      <w:hyperlink r:id="rId7">
        <w:r>
          <w:rPr>
            <w:sz w:val="24"/>
            <w:szCs w:val="24"/>
          </w:rPr>
          <w:t>https://doi.org/10.1590/1413-81232020261.32462020</w:t>
        </w:r>
      </w:hyperlink>
      <w:r>
        <w:rPr>
          <w:sz w:val="24"/>
          <w:szCs w:val="24"/>
        </w:rPr>
        <w:t>. </w:t>
      </w:r>
    </w:p>
    <w:p w14:paraId="036F1791" w14:textId="77777777" w:rsidR="00A53456" w:rsidRDefault="00000000">
      <w:pPr>
        <w:spacing w:before="240" w:after="240" w:line="240" w:lineRule="auto"/>
        <w:jc w:val="both"/>
        <w:rPr>
          <w:sz w:val="24"/>
          <w:szCs w:val="24"/>
        </w:rPr>
      </w:pPr>
      <w:r>
        <w:rPr>
          <w:sz w:val="24"/>
          <w:szCs w:val="24"/>
        </w:rPr>
        <w:lastRenderedPageBreak/>
        <w:t xml:space="preserve">FONSECA, Iilva Santos; MOURA, Samara Bruno. Apoio social, saúde e trabalho: uma breve revisão. </w:t>
      </w:r>
      <w:r>
        <w:rPr>
          <w:b/>
          <w:sz w:val="24"/>
          <w:szCs w:val="24"/>
        </w:rPr>
        <w:t>Psicologia para América Latina</w:t>
      </w:r>
      <w:r>
        <w:rPr>
          <w:sz w:val="24"/>
          <w:szCs w:val="24"/>
        </w:rPr>
        <w:t>, México, n. 15, p. 1, 2008. Disponível em: https://pepsic.bvsalud.org/scielo.php?script=sci_arttext&amp;pid=S1870-350X2008000400012 </w:t>
      </w:r>
    </w:p>
    <w:p w14:paraId="57E7D3B7" w14:textId="77777777" w:rsidR="00A53456" w:rsidRDefault="00000000">
      <w:pPr>
        <w:spacing w:before="240" w:after="240" w:line="240" w:lineRule="auto"/>
        <w:jc w:val="both"/>
        <w:rPr>
          <w:sz w:val="24"/>
          <w:szCs w:val="24"/>
        </w:rPr>
      </w:pPr>
      <w:r>
        <w:rPr>
          <w:sz w:val="24"/>
          <w:szCs w:val="24"/>
        </w:rPr>
        <w:t xml:space="preserve">GOMES, Nildete Pereira. </w:t>
      </w:r>
      <w:r>
        <w:rPr>
          <w:i/>
          <w:sz w:val="24"/>
          <w:szCs w:val="24"/>
        </w:rPr>
        <w:t>et al</w:t>
      </w:r>
      <w:r>
        <w:rPr>
          <w:sz w:val="24"/>
          <w:szCs w:val="24"/>
        </w:rPr>
        <w:t xml:space="preserve">. Cuidadores de pessoas idosas e as condições de trabalho associadas ao cuidado: Caregivers for older people and the working conditions associated with care. </w:t>
      </w:r>
      <w:r>
        <w:rPr>
          <w:b/>
          <w:sz w:val="24"/>
          <w:szCs w:val="24"/>
        </w:rPr>
        <w:t>Saúde e Pesquisa</w:t>
      </w:r>
      <w:r>
        <w:rPr>
          <w:sz w:val="24"/>
          <w:szCs w:val="24"/>
        </w:rPr>
        <w:t>, v. 17, n. 1, p. e12239, 2024. DOI: https://doi.org/10.17765/2176-9206.2024v17n1.e12239. </w:t>
      </w:r>
    </w:p>
    <w:p w14:paraId="73B1FC9A" w14:textId="77777777" w:rsidR="00A53456" w:rsidRDefault="00000000">
      <w:pPr>
        <w:spacing w:before="240" w:after="240" w:line="240" w:lineRule="auto"/>
        <w:jc w:val="both"/>
        <w:rPr>
          <w:sz w:val="24"/>
          <w:szCs w:val="24"/>
        </w:rPr>
      </w:pPr>
      <w:r>
        <w:rPr>
          <w:sz w:val="24"/>
          <w:szCs w:val="24"/>
        </w:rPr>
        <w:t xml:space="preserve">GRIEP, Rosane Harter. </w:t>
      </w:r>
      <w:r>
        <w:rPr>
          <w:i/>
          <w:sz w:val="24"/>
          <w:szCs w:val="24"/>
        </w:rPr>
        <w:t>et al.</w:t>
      </w:r>
      <w:r>
        <w:rPr>
          <w:sz w:val="24"/>
          <w:szCs w:val="24"/>
        </w:rPr>
        <w:t xml:space="preserve"> Validade de constructo de escala de apoio social do Medical Outcomes Study adaptada para o português no Estudo Pró-Saúde. </w:t>
      </w:r>
      <w:r>
        <w:rPr>
          <w:b/>
          <w:sz w:val="24"/>
          <w:szCs w:val="24"/>
        </w:rPr>
        <w:t>Cadernos de Saúde Pública</w:t>
      </w:r>
      <w:r>
        <w:rPr>
          <w:sz w:val="24"/>
          <w:szCs w:val="24"/>
        </w:rPr>
        <w:t>. v. 21, n. 3, p. 703-714, 2005. DOI: https://doi.org/10.1590/S0102-311X2005000300004.    </w:t>
      </w:r>
    </w:p>
    <w:p w14:paraId="0E349A15" w14:textId="77777777" w:rsidR="00A53456" w:rsidRDefault="00000000">
      <w:pPr>
        <w:spacing w:before="240" w:after="240" w:line="240" w:lineRule="auto"/>
        <w:jc w:val="both"/>
        <w:rPr>
          <w:sz w:val="24"/>
          <w:szCs w:val="24"/>
        </w:rPr>
      </w:pPr>
      <w:r>
        <w:rPr>
          <w:sz w:val="24"/>
          <w:szCs w:val="24"/>
        </w:rPr>
        <w:t xml:space="preserve">GUTIERREZ, Denise Machado Duran. </w:t>
      </w:r>
      <w:r>
        <w:rPr>
          <w:i/>
          <w:sz w:val="24"/>
          <w:szCs w:val="24"/>
        </w:rPr>
        <w:t>et al.</w:t>
      </w:r>
      <w:r>
        <w:rPr>
          <w:sz w:val="24"/>
          <w:szCs w:val="24"/>
        </w:rPr>
        <w:t xml:space="preserve"> Vivências subjetivas de familiares que cuidam de idosos dependentes. </w:t>
      </w:r>
      <w:r>
        <w:rPr>
          <w:b/>
          <w:sz w:val="24"/>
          <w:szCs w:val="24"/>
        </w:rPr>
        <w:t xml:space="preserve">Ciência &amp; Saúde Coletiva, </w:t>
      </w:r>
      <w:r>
        <w:rPr>
          <w:sz w:val="24"/>
          <w:szCs w:val="24"/>
        </w:rPr>
        <w:t>v. 26, n. 1, p. 47–56, 2021. DOI: https://doi.org/10.1590/1413-81232020261.30402020. </w:t>
      </w:r>
    </w:p>
    <w:p w14:paraId="1307CE1B" w14:textId="77777777" w:rsidR="00A53456" w:rsidRDefault="00000000">
      <w:pPr>
        <w:spacing w:before="240" w:after="240" w:line="240" w:lineRule="auto"/>
        <w:jc w:val="both"/>
        <w:rPr>
          <w:sz w:val="24"/>
          <w:szCs w:val="24"/>
        </w:rPr>
      </w:pPr>
      <w:r>
        <w:rPr>
          <w:sz w:val="24"/>
          <w:szCs w:val="24"/>
        </w:rPr>
        <w:t xml:space="preserve">HUBERT, Kássia. </w:t>
      </w:r>
      <w:r>
        <w:rPr>
          <w:b/>
          <w:sz w:val="24"/>
          <w:szCs w:val="24"/>
        </w:rPr>
        <w:t>Cuidadores familiares de idosos dependentes no Brasil: vulnerabilidades e estratégias de enfrentamento.</w:t>
      </w:r>
      <w:r>
        <w:rPr>
          <w:sz w:val="24"/>
          <w:szCs w:val="24"/>
        </w:rPr>
        <w:t xml:space="preserve"> Orientador: Roger Flores. 2021. TCC (graduação) - Fisioterapia, Universidade Federal de Santa Catarina. Araranguá. 2021. </w:t>
      </w:r>
    </w:p>
    <w:p w14:paraId="7B2ED33C" w14:textId="77777777" w:rsidR="00A53456" w:rsidRDefault="00000000">
      <w:pPr>
        <w:spacing w:before="240" w:after="240" w:line="240" w:lineRule="auto"/>
        <w:jc w:val="both"/>
        <w:rPr>
          <w:sz w:val="24"/>
          <w:szCs w:val="24"/>
        </w:rPr>
      </w:pPr>
      <w:r>
        <w:rPr>
          <w:sz w:val="24"/>
          <w:szCs w:val="24"/>
        </w:rPr>
        <w:t xml:space="preserve">LIMA JUNIOR, Luiz Cezar; LIMA, Nayane Nazareth Ferreira. Relação da Qualidade de Vida e as Doenças Crônicas: Relationship between Quality of Life and Chronic Diseases. </w:t>
      </w:r>
      <w:r>
        <w:rPr>
          <w:b/>
          <w:sz w:val="24"/>
          <w:szCs w:val="24"/>
        </w:rPr>
        <w:t>Brazilian Journal of Health Review</w:t>
      </w:r>
      <w:r>
        <w:rPr>
          <w:sz w:val="24"/>
          <w:szCs w:val="24"/>
        </w:rPr>
        <w:t>, v. 4, n. 5, p. 21426–21439, 2021. DOI: http://doi.org/10.34119/bjhrv4n5-232. </w:t>
      </w:r>
    </w:p>
    <w:p w14:paraId="4E6AA380" w14:textId="77777777" w:rsidR="00A53456" w:rsidRDefault="00000000">
      <w:pPr>
        <w:spacing w:before="240" w:after="240" w:line="240" w:lineRule="auto"/>
        <w:jc w:val="both"/>
        <w:rPr>
          <w:sz w:val="24"/>
          <w:szCs w:val="24"/>
        </w:rPr>
      </w:pPr>
      <w:r>
        <w:rPr>
          <w:sz w:val="24"/>
          <w:szCs w:val="24"/>
        </w:rPr>
        <w:t xml:space="preserve">MACEDO, Anna. Flávia. Almeida. </w:t>
      </w:r>
      <w:r>
        <w:rPr>
          <w:i/>
          <w:sz w:val="24"/>
          <w:szCs w:val="24"/>
        </w:rPr>
        <w:t>et al.</w:t>
      </w:r>
      <w:r>
        <w:rPr>
          <w:sz w:val="24"/>
          <w:szCs w:val="24"/>
        </w:rPr>
        <w:t xml:space="preserve">  Qualidade de vida de cuidadores de idosos: uma revisão de literatura. </w:t>
      </w:r>
      <w:r>
        <w:rPr>
          <w:b/>
          <w:sz w:val="24"/>
          <w:szCs w:val="24"/>
        </w:rPr>
        <w:t>Research, Society and Development</w:t>
      </w:r>
      <w:r>
        <w:rPr>
          <w:sz w:val="24"/>
          <w:szCs w:val="24"/>
        </w:rPr>
        <w:t>, v. 10, n. 15, p. 12-13. 2021. DOI: http://dx.doi.org/10.33448/rsd-v10i15.23024. </w:t>
      </w:r>
    </w:p>
    <w:p w14:paraId="6C0F4555" w14:textId="77777777" w:rsidR="00A53456" w:rsidRDefault="00000000">
      <w:pPr>
        <w:spacing w:before="240" w:after="240" w:line="240" w:lineRule="auto"/>
        <w:jc w:val="both"/>
        <w:rPr>
          <w:sz w:val="24"/>
          <w:szCs w:val="24"/>
        </w:rPr>
      </w:pPr>
      <w:r>
        <w:rPr>
          <w:sz w:val="24"/>
          <w:szCs w:val="24"/>
        </w:rPr>
        <w:t xml:space="preserve">MARTINS, Gabriela. </w:t>
      </w:r>
      <w:r>
        <w:rPr>
          <w:i/>
          <w:sz w:val="24"/>
          <w:szCs w:val="24"/>
        </w:rPr>
        <w:t>et al.</w:t>
      </w:r>
      <w:r>
        <w:rPr>
          <w:sz w:val="24"/>
          <w:szCs w:val="24"/>
        </w:rPr>
        <w:t xml:space="preserve"> A sobrecarga de cuidadores: como as características de idosos e seus cuidadores se articulam. </w:t>
      </w:r>
      <w:r>
        <w:rPr>
          <w:b/>
          <w:sz w:val="24"/>
          <w:szCs w:val="24"/>
        </w:rPr>
        <w:t>Rev enferm UERJ</w:t>
      </w:r>
      <w:r>
        <w:rPr>
          <w:sz w:val="24"/>
          <w:szCs w:val="24"/>
        </w:rPr>
        <w:t>, v. 31, n. 1, p. e71739, 2023. DOI: http://doi.org/10.12957/reuerj.2023.71739. </w:t>
      </w:r>
    </w:p>
    <w:p w14:paraId="20E3B3EF" w14:textId="77777777" w:rsidR="00A53456" w:rsidRDefault="00000000">
      <w:pPr>
        <w:spacing w:before="240" w:after="240" w:line="240" w:lineRule="auto"/>
        <w:jc w:val="both"/>
        <w:rPr>
          <w:sz w:val="24"/>
          <w:szCs w:val="24"/>
        </w:rPr>
      </w:pPr>
      <w:r>
        <w:rPr>
          <w:sz w:val="24"/>
          <w:szCs w:val="24"/>
        </w:rPr>
        <w:t xml:space="preserve">MATTOS, Athamis. </w:t>
      </w:r>
      <w:r>
        <w:rPr>
          <w:b/>
          <w:sz w:val="24"/>
          <w:szCs w:val="24"/>
        </w:rPr>
        <w:t>Validade dimensional da escala de apoio social do Medical Outcomes Study adaptada para o português no estudo pró-saúde.</w:t>
      </w:r>
      <w:r>
        <w:rPr>
          <w:sz w:val="24"/>
          <w:szCs w:val="24"/>
        </w:rPr>
        <w:t xml:space="preserve"> 2009. 50 f. Dissertação (Mestrado em Saúde Pública) - Escola Nacional de Saúde Pública Sergio Arouca, Fundação Oswaldo Cruz, Rio de Janeiro, 2009. </w:t>
      </w:r>
    </w:p>
    <w:p w14:paraId="5A7A9A96" w14:textId="77777777" w:rsidR="00A53456" w:rsidRDefault="00000000">
      <w:pPr>
        <w:spacing w:before="240" w:after="240" w:line="240" w:lineRule="auto"/>
        <w:jc w:val="both"/>
        <w:rPr>
          <w:sz w:val="24"/>
          <w:szCs w:val="24"/>
        </w:rPr>
      </w:pPr>
      <w:r>
        <w:rPr>
          <w:sz w:val="24"/>
          <w:szCs w:val="24"/>
        </w:rPr>
        <w:t xml:space="preserve">RENIK, Valquiria Elita; BUZIQUIA, Sabrina Pontes; BORDINI, Ana Silvia Juliatto. Mulheres cuidadoras em ambiente familiar: a internalização da ética do cuidado. </w:t>
      </w:r>
      <w:r>
        <w:rPr>
          <w:b/>
          <w:sz w:val="24"/>
          <w:szCs w:val="24"/>
        </w:rPr>
        <w:lastRenderedPageBreak/>
        <w:t>Cadernos Saúde Coletiva</w:t>
      </w:r>
      <w:r>
        <w:rPr>
          <w:sz w:val="24"/>
          <w:szCs w:val="24"/>
        </w:rPr>
        <w:t>, v. 30, n. 3, p. 416–423, 2022. DOI: https://doi.org/10.1590/1414-462X202230030228 </w:t>
      </w:r>
    </w:p>
    <w:p w14:paraId="2C894043" w14:textId="77777777" w:rsidR="00A53456" w:rsidRDefault="00000000">
      <w:pPr>
        <w:spacing w:before="240" w:after="240" w:line="240" w:lineRule="auto"/>
        <w:jc w:val="both"/>
        <w:rPr>
          <w:sz w:val="24"/>
          <w:szCs w:val="24"/>
        </w:rPr>
      </w:pPr>
      <w:r>
        <w:rPr>
          <w:sz w:val="24"/>
          <w:szCs w:val="24"/>
        </w:rPr>
        <w:t xml:space="preserve">MINAYO, Maria Cecília Souza. Cuidar de quem cuida de idosos dependentes: Por uma política necessária e urgente. </w:t>
      </w:r>
      <w:r>
        <w:rPr>
          <w:b/>
          <w:sz w:val="24"/>
          <w:szCs w:val="24"/>
        </w:rPr>
        <w:t>Ciência &amp; Saúde Coletiva,</w:t>
      </w:r>
      <w:r>
        <w:rPr>
          <w:sz w:val="24"/>
          <w:szCs w:val="24"/>
        </w:rPr>
        <w:t xml:space="preserve"> v. 26, n. 1, p. 8, 2021. DOI: </w:t>
      </w:r>
      <w:hyperlink r:id="rId8">
        <w:r>
          <w:rPr>
            <w:sz w:val="24"/>
            <w:szCs w:val="24"/>
          </w:rPr>
          <w:t>https://doi.org/10.1590/1413-81232020261.30872020</w:t>
        </w:r>
      </w:hyperlink>
      <w:r>
        <w:rPr>
          <w:sz w:val="24"/>
          <w:szCs w:val="24"/>
        </w:rPr>
        <w:t>. </w:t>
      </w:r>
    </w:p>
    <w:p w14:paraId="28732707" w14:textId="77777777" w:rsidR="00A53456" w:rsidRDefault="00000000">
      <w:pPr>
        <w:spacing w:before="240" w:after="240" w:line="240" w:lineRule="auto"/>
        <w:jc w:val="both"/>
        <w:rPr>
          <w:sz w:val="24"/>
          <w:szCs w:val="24"/>
        </w:rPr>
      </w:pPr>
      <w:r>
        <w:rPr>
          <w:sz w:val="24"/>
          <w:szCs w:val="24"/>
        </w:rPr>
        <w:t xml:space="preserve">SANTOS, Maria Luiza Cunha. </w:t>
      </w:r>
      <w:r>
        <w:rPr>
          <w:i/>
          <w:sz w:val="24"/>
          <w:szCs w:val="24"/>
        </w:rPr>
        <w:t>et al.</w:t>
      </w:r>
      <w:r>
        <w:rPr>
          <w:sz w:val="24"/>
          <w:szCs w:val="24"/>
        </w:rPr>
        <w:t xml:space="preserve"> Sintomas de depressão pós-parto e sua associação com as características socioeconômicas e de apoio social. </w:t>
      </w:r>
      <w:r>
        <w:rPr>
          <w:b/>
          <w:sz w:val="24"/>
          <w:szCs w:val="24"/>
        </w:rPr>
        <w:t>Esc Anna Nery</w:t>
      </w:r>
      <w:r>
        <w:rPr>
          <w:sz w:val="24"/>
          <w:szCs w:val="24"/>
        </w:rPr>
        <w:t>, v. 26, 2022. DOI: https://doi.org/10.1590/2177-9465-EAN-2021-0265. </w:t>
      </w:r>
    </w:p>
    <w:p w14:paraId="64AD0577" w14:textId="77777777" w:rsidR="00A53456" w:rsidRDefault="00000000">
      <w:pPr>
        <w:spacing w:before="240" w:after="240" w:line="240" w:lineRule="auto"/>
        <w:jc w:val="both"/>
        <w:rPr>
          <w:sz w:val="24"/>
          <w:szCs w:val="24"/>
        </w:rPr>
      </w:pPr>
      <w:r>
        <w:rPr>
          <w:sz w:val="24"/>
          <w:szCs w:val="24"/>
        </w:rPr>
        <w:t xml:space="preserve">SIMÕES, Taynãna César. </w:t>
      </w:r>
      <w:r>
        <w:rPr>
          <w:i/>
          <w:sz w:val="24"/>
          <w:szCs w:val="24"/>
        </w:rPr>
        <w:t>et al.</w:t>
      </w:r>
      <w:r>
        <w:rPr>
          <w:sz w:val="24"/>
          <w:szCs w:val="24"/>
        </w:rPr>
        <w:t xml:space="preserve"> Prevalências de doenças crônicas e acesso aos serviços de saúde no Brasil: evidências de três inquéritos domiciliares. </w:t>
      </w:r>
      <w:r>
        <w:rPr>
          <w:b/>
          <w:sz w:val="24"/>
          <w:szCs w:val="24"/>
        </w:rPr>
        <w:t>Ciência &amp; Saúde Coletiva</w:t>
      </w:r>
      <w:r>
        <w:rPr>
          <w:sz w:val="24"/>
          <w:szCs w:val="24"/>
        </w:rPr>
        <w:t>. v. 26, n. 09, p. 3991-4006, 2021. DOI: https://doi.org/10.1590/1413-81232021269.02982021. </w:t>
      </w:r>
    </w:p>
    <w:p w14:paraId="5CB7A2D6" w14:textId="77777777" w:rsidR="00A53456" w:rsidRDefault="00000000">
      <w:pPr>
        <w:spacing w:before="240" w:after="240" w:line="240" w:lineRule="auto"/>
        <w:jc w:val="both"/>
        <w:rPr>
          <w:sz w:val="24"/>
          <w:szCs w:val="24"/>
        </w:rPr>
      </w:pPr>
      <w:r>
        <w:rPr>
          <w:sz w:val="24"/>
          <w:szCs w:val="24"/>
        </w:rPr>
        <w:t xml:space="preserve">SOUSA, Girliani Silva de. </w:t>
      </w:r>
      <w:r>
        <w:rPr>
          <w:i/>
          <w:sz w:val="24"/>
          <w:szCs w:val="24"/>
        </w:rPr>
        <w:t>et al</w:t>
      </w:r>
      <w:r>
        <w:rPr>
          <w:sz w:val="24"/>
          <w:szCs w:val="24"/>
        </w:rPr>
        <w:t xml:space="preserve">. Iniquidades de gênero entre cuidadoras de idosos dependentes. </w:t>
      </w:r>
      <w:r>
        <w:rPr>
          <w:b/>
          <w:sz w:val="24"/>
          <w:szCs w:val="24"/>
        </w:rPr>
        <w:t>Saúde E Sociedade</w:t>
      </w:r>
      <w:r>
        <w:rPr>
          <w:sz w:val="24"/>
          <w:szCs w:val="24"/>
        </w:rPr>
        <w:t>, v. 32, n. 4, 2023. DOI: https://doi.org/10.1590/S0104-12902023220325pt. </w:t>
      </w:r>
    </w:p>
    <w:p w14:paraId="62835246" w14:textId="77777777" w:rsidR="00A53456" w:rsidRDefault="00000000">
      <w:pPr>
        <w:spacing w:before="240" w:after="240" w:line="240" w:lineRule="auto"/>
        <w:jc w:val="both"/>
        <w:rPr>
          <w:sz w:val="24"/>
          <w:szCs w:val="24"/>
        </w:rPr>
      </w:pPr>
      <w:r>
        <w:rPr>
          <w:sz w:val="24"/>
          <w:szCs w:val="24"/>
        </w:rPr>
        <w:t xml:space="preserve">XIMENES, Vanessa Santiago; QUELUZ, Francine Náthalie Ferraresi Rodrigues; BARHAM, Elizabeth Joan. Relação entre Habilidades Sociais, Suporte Social e Qualidade de Vida em Cuidadores. </w:t>
      </w:r>
      <w:r>
        <w:rPr>
          <w:b/>
          <w:sz w:val="24"/>
          <w:szCs w:val="24"/>
        </w:rPr>
        <w:t>Psico-USF</w:t>
      </w:r>
      <w:r>
        <w:rPr>
          <w:sz w:val="24"/>
          <w:szCs w:val="24"/>
        </w:rPr>
        <w:t>, v. 27, n. 1, 2022. DOI: https://doi.org/10.1590/1413-82712022270109.  </w:t>
      </w:r>
    </w:p>
    <w:p w14:paraId="62F82A09" w14:textId="77777777" w:rsidR="00A53456" w:rsidRDefault="00000000">
      <w:pPr>
        <w:spacing w:before="240" w:after="240" w:line="240" w:lineRule="auto"/>
        <w:jc w:val="both"/>
        <w:rPr>
          <w:sz w:val="24"/>
          <w:szCs w:val="24"/>
        </w:rPr>
      </w:pPr>
      <w:r>
        <w:rPr>
          <w:sz w:val="24"/>
          <w:szCs w:val="24"/>
        </w:rPr>
        <w:t xml:space="preserve">YAZAWA, Mayara Mayumi. </w:t>
      </w:r>
      <w:r>
        <w:rPr>
          <w:i/>
          <w:sz w:val="24"/>
          <w:szCs w:val="24"/>
        </w:rPr>
        <w:t>et al.</w:t>
      </w:r>
      <w:r>
        <w:rPr>
          <w:sz w:val="24"/>
          <w:szCs w:val="24"/>
        </w:rPr>
        <w:t xml:space="preserve"> Qualidade de vida e apoio social de pessoas idosas cuidadoras e receptoras de cuidado em alta vulnerabilidade social. </w:t>
      </w:r>
      <w:r>
        <w:rPr>
          <w:b/>
          <w:sz w:val="24"/>
          <w:szCs w:val="24"/>
        </w:rPr>
        <w:t>Revista Brasileira de Geriatria e Gerontologia</w:t>
      </w:r>
      <w:r>
        <w:rPr>
          <w:sz w:val="24"/>
          <w:szCs w:val="24"/>
        </w:rPr>
        <w:t>, v. 26, p. e230032, 2023. DOI: https://doi.org/10.1590/1981-22562023026.230032.pt.   </w:t>
      </w:r>
    </w:p>
    <w:p w14:paraId="6571769B" w14:textId="77777777" w:rsidR="00A53456" w:rsidRDefault="00000000">
      <w:pPr>
        <w:spacing w:before="240" w:after="240" w:line="240" w:lineRule="auto"/>
        <w:rPr>
          <w:sz w:val="24"/>
          <w:szCs w:val="24"/>
        </w:rPr>
      </w:pPr>
      <w:r>
        <w:rPr>
          <w:sz w:val="24"/>
          <w:szCs w:val="24"/>
        </w:rPr>
        <w:t xml:space="preserve">ZANINI, Daniela Sacramento; PEIXOTO, Evandro Moraes; NAKANO, Tatiana. DE Cássia. Escala de Apoio Social (MOS-SSS): Proposta de Normatização com Referência nos Itens. </w:t>
      </w:r>
      <w:r>
        <w:rPr>
          <w:b/>
          <w:sz w:val="24"/>
          <w:szCs w:val="24"/>
        </w:rPr>
        <w:t>Trends in Psychology</w:t>
      </w:r>
      <w:r>
        <w:rPr>
          <w:sz w:val="24"/>
          <w:szCs w:val="24"/>
        </w:rPr>
        <w:t>, v. 26, n. 1, p. 387–399, 2018.  </w:t>
      </w:r>
    </w:p>
    <w:p w14:paraId="4CE00242" w14:textId="77777777" w:rsidR="00A53456" w:rsidRDefault="00000000">
      <w:pPr>
        <w:spacing w:before="240" w:after="240" w:line="240" w:lineRule="auto"/>
        <w:jc w:val="both"/>
        <w:rPr>
          <w:rFonts w:ascii="Calibri" w:eastAsia="Calibri" w:hAnsi="Calibri" w:cs="Calibri"/>
          <w:sz w:val="24"/>
          <w:szCs w:val="24"/>
        </w:rPr>
      </w:pPr>
      <w:r>
        <w:rPr>
          <w:sz w:val="24"/>
          <w:szCs w:val="24"/>
        </w:rPr>
        <w:t xml:space="preserve">ZHONG Yaqin; WANG Jian; NICHOLAS Stephen. Apoio social e sintomas depressivos entre cuidadores familiares de idosos com deficiência em quatro províncias da China urbana: o papel mediador da sobrecarga do cuidador. </w:t>
      </w:r>
      <w:r>
        <w:rPr>
          <w:b/>
          <w:sz w:val="24"/>
          <w:szCs w:val="24"/>
        </w:rPr>
        <w:t>BMC Geriatra</w:t>
      </w:r>
      <w:r>
        <w:rPr>
          <w:sz w:val="24"/>
          <w:szCs w:val="24"/>
        </w:rPr>
        <w:t>, v. 20, 2020. DOI:10.1186/s12877-019-1403-9.</w:t>
      </w:r>
    </w:p>
    <w:sectPr w:rsidR="00A53456">
      <w:headerReference w:type="default" r:id="rId9"/>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991F9" w14:textId="77777777" w:rsidR="004D3C63" w:rsidRDefault="004D3C63">
      <w:pPr>
        <w:spacing w:line="240" w:lineRule="auto"/>
      </w:pPr>
      <w:r>
        <w:separator/>
      </w:r>
    </w:p>
  </w:endnote>
  <w:endnote w:type="continuationSeparator" w:id="0">
    <w:p w14:paraId="24B227D2" w14:textId="77777777" w:rsidR="004D3C63" w:rsidRDefault="004D3C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AAC31F7-BECB-4829-9B3E-4F4F08B7E799}"/>
    <w:embedItalic r:id="rId2" w:fontKey="{FE0926EA-8F70-4628-BACD-DF808EBE3EA3}"/>
  </w:font>
  <w:font w:name="Consolas">
    <w:panose1 w:val="020B0609020204030204"/>
    <w:charset w:val="00"/>
    <w:family w:val="modern"/>
    <w:pitch w:val="fixed"/>
    <w:sig w:usb0="E00006FF" w:usb1="0000FCFF" w:usb2="00000001" w:usb3="00000000" w:csb0="0000019F" w:csb1="00000000"/>
    <w:embedRegular r:id="rId3" w:fontKey="{E86BFD0A-4D0A-4F9F-8C0A-5122D8B25097}"/>
  </w:font>
  <w:font w:name="Bitstream Vera Sans">
    <w:altName w:val="Calibri"/>
    <w:charset w:val="00"/>
    <w:family w:val="auto"/>
    <w:pitch w:val="default"/>
    <w:sig w:usb0="800000AF" w:usb1="1000204A" w:usb2="00000000" w:usb3="00000000" w:csb0="00000001" w:csb1="00000000"/>
  </w:font>
  <w:font w:name="Arial Unicode MS">
    <w:altName w:val="Arial"/>
    <w:panose1 w:val="020B0604020202020204"/>
    <w:charset w:val="00"/>
    <w:family w:val="auto"/>
    <w:pitch w:val="default"/>
  </w:font>
  <w:font w:name="Quattrocento Sans">
    <w:charset w:val="00"/>
    <w:family w:val="swiss"/>
    <w:pitch w:val="variable"/>
    <w:sig w:usb0="800000BF" w:usb1="4000005B" w:usb2="00000000" w:usb3="00000000" w:csb0="00000001" w:csb1="00000000"/>
    <w:embedRegular r:id="rId4" w:fontKey="{5C723EB9-8931-468B-A8CA-E1EB06154496}"/>
  </w:font>
  <w:font w:name="Calibri">
    <w:panose1 w:val="020F0502020204030204"/>
    <w:charset w:val="00"/>
    <w:family w:val="swiss"/>
    <w:pitch w:val="variable"/>
    <w:sig w:usb0="E4002EFF" w:usb1="C200247B" w:usb2="00000009" w:usb3="00000000" w:csb0="000001FF" w:csb1="00000000"/>
    <w:embedRegular r:id="rId5" w:fontKey="{26ED6EB7-48C7-4BFB-B6A2-1CDFADD59C58}"/>
  </w:font>
  <w:font w:name="Cambria">
    <w:panose1 w:val="02040503050406030204"/>
    <w:charset w:val="00"/>
    <w:family w:val="roman"/>
    <w:pitch w:val="variable"/>
    <w:sig w:usb0="E00006FF" w:usb1="420024FF" w:usb2="02000000" w:usb3="00000000" w:csb0="0000019F" w:csb1="00000000"/>
    <w:embedRegular r:id="rId6" w:fontKey="{B05C84C5-5131-41AE-9C56-CFA1C1CAD68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73F07" w14:textId="77777777" w:rsidR="004D3C63" w:rsidRDefault="004D3C63">
      <w:pPr>
        <w:spacing w:line="240" w:lineRule="auto"/>
      </w:pPr>
      <w:r>
        <w:separator/>
      </w:r>
    </w:p>
  </w:footnote>
  <w:footnote w:type="continuationSeparator" w:id="0">
    <w:p w14:paraId="796A57B7" w14:textId="77777777" w:rsidR="004D3C63" w:rsidRDefault="004D3C63">
      <w:pPr>
        <w:spacing w:line="240" w:lineRule="auto"/>
      </w:pPr>
      <w:r>
        <w:continuationSeparator/>
      </w:r>
    </w:p>
  </w:footnote>
  <w:footnote w:id="1">
    <w:p w14:paraId="67567792" w14:textId="6B9CDC59" w:rsidR="00513D7D" w:rsidRPr="00FD0FAD" w:rsidRDefault="00513D7D" w:rsidP="00513D7D">
      <w:pPr>
        <w:pStyle w:val="Textodenotaderodap"/>
        <w:spacing w:line="240" w:lineRule="auto"/>
        <w:ind w:left="0" w:hanging="2"/>
        <w:jc w:val="both"/>
        <w:rPr>
          <w:color w:val="EE0000"/>
        </w:rPr>
      </w:pPr>
      <w:r w:rsidRPr="00BB3153">
        <w:rPr>
          <w:rStyle w:val="Caracteresdenotaderodap"/>
        </w:rPr>
        <w:footnoteRef/>
      </w:r>
      <w:r w:rsidRPr="00BB3153">
        <w:t xml:space="preserve"> </w:t>
      </w:r>
      <w:r w:rsidR="00FD0FAD">
        <w:t>Graduanda em Fisioterapia</w:t>
      </w:r>
      <w:r w:rsidRPr="00BB3153">
        <w:t xml:space="preserve"> </w:t>
      </w:r>
      <w:r>
        <w:t xml:space="preserve">pela </w:t>
      </w:r>
      <w:r w:rsidRPr="00BB3153">
        <w:t>Escola Superior de Ciências da Santa Casa de Misericórdia de Vitória (EMESCAM). Email</w:t>
      </w:r>
      <w:r w:rsidRPr="00FD0FAD">
        <w:t>:</w:t>
      </w:r>
      <w:r w:rsidR="00DA3C48" w:rsidRPr="00DA3C48">
        <w:t xml:space="preserve"> </w:t>
      </w:r>
      <w:r w:rsidR="00DA3C48" w:rsidRPr="00DA3C48">
        <w:t>millena.msouza@edu.emescam.br</w:t>
      </w:r>
      <w:r w:rsidRPr="00FD0FAD">
        <w:rPr>
          <w:rFonts w:ascii="Arial" w:eastAsia="Arial" w:hAnsi="Arial" w:cs="Arial"/>
          <w:color w:val="000000"/>
          <w:kern w:val="0"/>
          <w:position w:val="-1"/>
          <w:lang w:eastAsia="pt-BR" w:bidi="ar-SA"/>
        </w:rPr>
        <w:t xml:space="preserve"> </w:t>
      </w:r>
    </w:p>
  </w:footnote>
  <w:footnote w:id="2">
    <w:p w14:paraId="7B361B57" w14:textId="26BFDB78" w:rsidR="00513D7D" w:rsidRPr="00FD0FAD" w:rsidRDefault="00513D7D" w:rsidP="00513D7D">
      <w:pPr>
        <w:pStyle w:val="Textodenotaderodap"/>
        <w:spacing w:line="240" w:lineRule="auto"/>
        <w:ind w:left="0" w:hanging="2"/>
        <w:jc w:val="both"/>
        <w:rPr>
          <w:color w:val="EE0000"/>
        </w:rPr>
      </w:pPr>
      <w:r w:rsidRPr="00FD0FAD">
        <w:rPr>
          <w:rStyle w:val="Caracteresdenotaderodap"/>
        </w:rPr>
        <w:footnoteRef/>
      </w:r>
      <w:r w:rsidRPr="00FD0FAD">
        <w:t xml:space="preserve"> </w:t>
      </w:r>
      <w:r w:rsidR="00FD0FAD" w:rsidRPr="00FD0FAD">
        <w:t>Graduanda em Fisioterapia</w:t>
      </w:r>
      <w:r w:rsidRPr="00FD0FAD">
        <w:t xml:space="preserve">. </w:t>
      </w:r>
      <w:r w:rsidR="00FD0FAD">
        <w:t xml:space="preserve">pela </w:t>
      </w:r>
      <w:r w:rsidR="00FD0FAD" w:rsidRPr="00BB3153">
        <w:t>EMESCAM</w:t>
      </w:r>
      <w:r w:rsidR="00FD0FAD" w:rsidRPr="00FD0FAD">
        <w:t xml:space="preserve"> </w:t>
      </w:r>
      <w:r w:rsidRPr="00FD0FAD">
        <w:t>Email:</w:t>
      </w:r>
      <w:r w:rsidRPr="00FD0FAD">
        <w:rPr>
          <w:rFonts w:ascii="Arial" w:eastAsia="Arial" w:hAnsi="Arial" w:cs="Arial"/>
          <w:color w:val="000000"/>
          <w:kern w:val="0"/>
          <w:position w:val="-1"/>
          <w:lang w:eastAsia="pt-BR" w:bidi="ar-SA"/>
        </w:rPr>
        <w:t xml:space="preserve"> </w:t>
      </w:r>
      <w:r w:rsidR="00DA3C48" w:rsidRPr="00DA3C48">
        <w:rPr>
          <w:rFonts w:ascii="Arial" w:eastAsia="Arial" w:hAnsi="Arial" w:cs="Arial"/>
          <w:color w:val="000000"/>
          <w:kern w:val="0"/>
          <w:position w:val="-1"/>
          <w:lang w:eastAsia="pt-BR" w:bidi="ar-SA"/>
        </w:rPr>
        <w:t>keffyne.silva@edu.emescam.br</w:t>
      </w:r>
      <w:r w:rsidR="00DA3C48" w:rsidRPr="00DA3C48">
        <w:rPr>
          <w:rFonts w:ascii="Arial" w:eastAsia="Arial" w:hAnsi="Arial" w:cs="Arial"/>
          <w:color w:val="000000"/>
          <w:kern w:val="0"/>
          <w:position w:val="-1"/>
          <w:lang w:eastAsia="pt-BR" w:bidi="ar-SA"/>
        </w:rPr>
        <w:t xml:space="preserve"> </w:t>
      </w:r>
    </w:p>
  </w:footnote>
  <w:footnote w:id="3">
    <w:p w14:paraId="65C3C9BF" w14:textId="7F9BE244" w:rsidR="00513D7D" w:rsidRPr="00BB3153" w:rsidRDefault="00513D7D" w:rsidP="00513D7D">
      <w:pPr>
        <w:pStyle w:val="Textodenotaderodap"/>
        <w:spacing w:line="240" w:lineRule="auto"/>
        <w:ind w:left="0" w:hanging="2"/>
        <w:jc w:val="both"/>
      </w:pPr>
      <w:r w:rsidRPr="00BB3153">
        <w:rPr>
          <w:rStyle w:val="Caracteresdenotaderodap"/>
        </w:rPr>
        <w:footnoteRef/>
      </w:r>
      <w:r w:rsidRPr="00BB3153">
        <w:t xml:space="preserve"> Fisioterap</w:t>
      </w:r>
      <w:r>
        <w:t>euta</w:t>
      </w:r>
      <w:r w:rsidRPr="00BB3153">
        <w:t xml:space="preserve"> </w:t>
      </w:r>
      <w:r>
        <w:t xml:space="preserve">pela </w:t>
      </w:r>
      <w:r w:rsidRPr="00BB3153">
        <w:t>EMESCAM. Email:</w:t>
      </w:r>
      <w:r w:rsidRPr="00537CA7">
        <w:rPr>
          <w:rFonts w:ascii="Arial" w:eastAsia="Arial" w:hAnsi="Arial" w:cs="Arial"/>
          <w:color w:val="000000"/>
          <w:kern w:val="0"/>
          <w:position w:val="-1"/>
          <w:sz w:val="27"/>
          <w:szCs w:val="27"/>
          <w:lang w:eastAsia="pt-BR" w:bidi="ar-SA"/>
        </w:rPr>
        <w:t xml:space="preserve"> </w:t>
      </w:r>
      <w:r w:rsidR="00FD0FAD" w:rsidRPr="00537CA7">
        <w:t>maressafelici@gmail.com</w:t>
      </w:r>
    </w:p>
  </w:footnote>
  <w:footnote w:id="4">
    <w:p w14:paraId="231F8904" w14:textId="77777777" w:rsidR="00513D7D" w:rsidRPr="00BB3153" w:rsidRDefault="00513D7D" w:rsidP="00513D7D">
      <w:pPr>
        <w:pStyle w:val="Textodenotaderodap"/>
        <w:spacing w:line="240" w:lineRule="auto"/>
        <w:ind w:left="0" w:hanging="2"/>
        <w:jc w:val="both"/>
      </w:pPr>
      <w:r w:rsidRPr="00BB3153">
        <w:rPr>
          <w:rStyle w:val="Caracteresdenotaderodap"/>
        </w:rPr>
        <w:footnoteRef/>
      </w:r>
      <w:r>
        <w:t xml:space="preserve"> </w:t>
      </w:r>
      <w:r w:rsidRPr="00BB3153">
        <w:t>Mestre em Políticas Públicas e Desenvolvimento Local</w:t>
      </w:r>
      <w:r>
        <w:t xml:space="preserve"> pela EMESCAM</w:t>
      </w:r>
      <w:r w:rsidRPr="00BB3153">
        <w:t>. Email: mcarolinaps@hotmail.com.</w:t>
      </w:r>
    </w:p>
    <w:p w14:paraId="0BD8361F" w14:textId="77777777" w:rsidR="00513D7D" w:rsidRDefault="00513D7D" w:rsidP="00513D7D">
      <w:pPr>
        <w:pStyle w:val="Textodenotaderodap"/>
        <w:spacing w:line="240" w:lineRule="auto"/>
        <w:ind w:left="0" w:hanging="2"/>
        <w:jc w:val="both"/>
      </w:pPr>
      <w:r>
        <w:rPr>
          <w:vertAlign w:val="superscript"/>
        </w:rPr>
        <w:t xml:space="preserve">3 </w:t>
      </w:r>
      <w:r w:rsidRPr="00BB3153">
        <w:t xml:space="preserve">Doutora em Ciências e </w:t>
      </w:r>
      <w:r>
        <w:t>docente</w:t>
      </w:r>
      <w:r w:rsidRPr="00BB3153">
        <w:t xml:space="preserve"> do PP</w:t>
      </w:r>
      <w:r>
        <w:t>G</w:t>
      </w:r>
      <w:r w:rsidRPr="00BB3153">
        <w:t xml:space="preserve"> em Políticas Públicas e Desenvolvimento Local</w:t>
      </w:r>
      <w:r>
        <w:t xml:space="preserve"> da</w:t>
      </w:r>
      <w:r w:rsidRPr="00BB3153">
        <w:t xml:space="preserve"> EMESCAM. Email: </w:t>
      </w:r>
      <w:hyperlink r:id="rId1" w:history="1">
        <w:r w:rsidRPr="00F57662">
          <w:rPr>
            <w:rStyle w:val="Hyperlink"/>
          </w:rPr>
          <w:t>luciana.sogame@emescam.br</w:t>
        </w:r>
      </w:hyperlink>
      <w:r w:rsidRPr="00BB3153">
        <w:t>.</w:t>
      </w:r>
    </w:p>
    <w:p w14:paraId="00A10AAC" w14:textId="77777777" w:rsidR="00513D7D" w:rsidRDefault="00513D7D" w:rsidP="00513D7D">
      <w:pPr>
        <w:pStyle w:val="Textodenotaderodap"/>
        <w:spacing w:line="240" w:lineRule="auto"/>
        <w:ind w:left="0" w:hanging="2"/>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025B1" w14:textId="77777777" w:rsidR="00A53456" w:rsidRDefault="00000000">
    <w:r>
      <w:rPr>
        <w:noProof/>
      </w:rPr>
      <w:drawing>
        <wp:anchor distT="0" distB="0" distL="0" distR="0" simplePos="0" relativeHeight="251658240" behindDoc="1" locked="0" layoutInCell="1" hidden="0" allowOverlap="1" wp14:anchorId="56A30254" wp14:editId="469D4734">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BD0884"/>
    <w:multiLevelType w:val="hybridMultilevel"/>
    <w:tmpl w:val="0EAE730E"/>
    <w:lvl w:ilvl="0" w:tplc="E56CDD5E">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5744360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456"/>
    <w:rsid w:val="001A3CEB"/>
    <w:rsid w:val="001D4401"/>
    <w:rsid w:val="00203D50"/>
    <w:rsid w:val="00327B67"/>
    <w:rsid w:val="00370CC8"/>
    <w:rsid w:val="003B0BA1"/>
    <w:rsid w:val="00457C71"/>
    <w:rsid w:val="00486621"/>
    <w:rsid w:val="004D3C63"/>
    <w:rsid w:val="00512876"/>
    <w:rsid w:val="00513D7D"/>
    <w:rsid w:val="00615443"/>
    <w:rsid w:val="006265E7"/>
    <w:rsid w:val="00645F2A"/>
    <w:rsid w:val="007877B1"/>
    <w:rsid w:val="007A5CF9"/>
    <w:rsid w:val="008719E6"/>
    <w:rsid w:val="00A45DA2"/>
    <w:rsid w:val="00A53456"/>
    <w:rsid w:val="00A55120"/>
    <w:rsid w:val="00B74E7C"/>
    <w:rsid w:val="00B84D92"/>
    <w:rsid w:val="00CF1B08"/>
    <w:rsid w:val="00D439F2"/>
    <w:rsid w:val="00DA3C48"/>
    <w:rsid w:val="00ED1FCE"/>
    <w:rsid w:val="00F5406A"/>
    <w:rsid w:val="00F67748"/>
    <w:rsid w:val="00FD0FA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A3D3B"/>
  <w15:docId w15:val="{5084391D-D612-4473-A420-BE1E2A734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70" w:type="dxa"/>
        <w:bottom w:w="15" w:type="dxa"/>
        <w:right w:w="7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Pr-formataoHTML">
    <w:name w:val="HTML Preformatted"/>
    <w:basedOn w:val="Normal"/>
    <w:link w:val="Pr-formataoHTMLChar"/>
    <w:uiPriority w:val="99"/>
    <w:semiHidden/>
    <w:unhideWhenUsed/>
    <w:rsid w:val="00513D7D"/>
    <w:pPr>
      <w:spacing w:line="240" w:lineRule="auto"/>
    </w:pPr>
    <w:rPr>
      <w:rFonts w:ascii="Consolas" w:hAnsi="Consolas"/>
      <w:sz w:val="20"/>
      <w:szCs w:val="20"/>
    </w:rPr>
  </w:style>
  <w:style w:type="character" w:customStyle="1" w:styleId="Pr-formataoHTMLChar">
    <w:name w:val="Pré-formatação HTML Char"/>
    <w:basedOn w:val="Fontepargpadro"/>
    <w:link w:val="Pr-formataoHTML"/>
    <w:uiPriority w:val="99"/>
    <w:semiHidden/>
    <w:rsid w:val="00513D7D"/>
    <w:rPr>
      <w:rFonts w:ascii="Consolas" w:hAnsi="Consolas"/>
      <w:sz w:val="20"/>
      <w:szCs w:val="20"/>
    </w:rPr>
  </w:style>
  <w:style w:type="paragraph" w:styleId="Textodenotaderodap">
    <w:name w:val="footnote text"/>
    <w:basedOn w:val="Normal"/>
    <w:link w:val="TextodenotaderodapChar"/>
    <w:qFormat/>
    <w:rsid w:val="00513D7D"/>
    <w:pPr>
      <w:widowControl w:val="0"/>
      <w:suppressLineNumbers/>
      <w:suppressAutoHyphens/>
      <w:spacing w:line="259" w:lineRule="auto"/>
      <w:ind w:left="283" w:hanging="283"/>
    </w:pPr>
    <w:rPr>
      <w:rFonts w:ascii="Times New Roman" w:eastAsia="Bitstream Vera Sans" w:hAnsi="Times New Roman" w:cs="Bitstream Vera Sans"/>
      <w:kern w:val="2"/>
      <w:sz w:val="20"/>
      <w:szCs w:val="20"/>
      <w:lang w:eastAsia="zh-CN" w:bidi="zh-CN"/>
    </w:rPr>
  </w:style>
  <w:style w:type="character" w:customStyle="1" w:styleId="TextodenotaderodapChar">
    <w:name w:val="Texto de nota de rodapé Char"/>
    <w:basedOn w:val="Fontepargpadro"/>
    <w:link w:val="Textodenotaderodap"/>
    <w:rsid w:val="00513D7D"/>
    <w:rPr>
      <w:rFonts w:ascii="Times New Roman" w:eastAsia="Bitstream Vera Sans" w:hAnsi="Times New Roman" w:cs="Bitstream Vera Sans"/>
      <w:kern w:val="2"/>
      <w:sz w:val="20"/>
      <w:szCs w:val="20"/>
      <w:lang w:eastAsia="zh-CN" w:bidi="zh-CN"/>
    </w:rPr>
  </w:style>
  <w:style w:type="character" w:customStyle="1" w:styleId="Caracteresdenotaderodap">
    <w:name w:val="Caracteres de nota de rodapé"/>
    <w:qFormat/>
    <w:rsid w:val="00513D7D"/>
    <w:rPr>
      <w:vertAlign w:val="superscript"/>
    </w:rPr>
  </w:style>
  <w:style w:type="character" w:customStyle="1" w:styleId="ncoradanotaderodap">
    <w:name w:val="Âncora da nota de rodapé"/>
    <w:qFormat/>
    <w:rsid w:val="00513D7D"/>
    <w:rPr>
      <w:vertAlign w:val="superscript"/>
    </w:rPr>
  </w:style>
  <w:style w:type="paragraph" w:customStyle="1" w:styleId="Autores">
    <w:name w:val="Autores"/>
    <w:basedOn w:val="Normal"/>
    <w:qFormat/>
    <w:rsid w:val="00513D7D"/>
    <w:pPr>
      <w:widowControl w:val="0"/>
      <w:suppressAutoHyphens/>
      <w:spacing w:after="160" w:line="259" w:lineRule="auto"/>
      <w:jc w:val="right"/>
    </w:pPr>
    <w:rPr>
      <w:rFonts w:ascii="Times New Roman" w:eastAsia="Bitstream Vera Sans" w:hAnsi="Times New Roman" w:cs="Bitstream Vera Sans"/>
      <w:b/>
      <w:kern w:val="2"/>
      <w:sz w:val="24"/>
      <w:szCs w:val="24"/>
      <w:lang w:eastAsia="zh-CN" w:bidi="zh-CN"/>
    </w:rPr>
  </w:style>
  <w:style w:type="character" w:styleId="Hyperlink">
    <w:name w:val="Hyperlink"/>
    <w:basedOn w:val="Fontepargpadro"/>
    <w:uiPriority w:val="99"/>
    <w:unhideWhenUsed/>
    <w:rsid w:val="00513D7D"/>
    <w:rPr>
      <w:color w:val="0000FF" w:themeColor="hyperlink"/>
      <w:u w:val="single"/>
    </w:rPr>
  </w:style>
  <w:style w:type="paragraph" w:styleId="PargrafodaLista">
    <w:name w:val="List Paragraph"/>
    <w:basedOn w:val="Normal"/>
    <w:uiPriority w:val="34"/>
    <w:qFormat/>
    <w:rsid w:val="008719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160688">
      <w:bodyDiv w:val="1"/>
      <w:marLeft w:val="0"/>
      <w:marRight w:val="0"/>
      <w:marTop w:val="0"/>
      <w:marBottom w:val="0"/>
      <w:divBdr>
        <w:top w:val="none" w:sz="0" w:space="0" w:color="auto"/>
        <w:left w:val="none" w:sz="0" w:space="0" w:color="auto"/>
        <w:bottom w:val="none" w:sz="0" w:space="0" w:color="auto"/>
        <w:right w:val="none" w:sz="0" w:space="0" w:color="auto"/>
      </w:divBdr>
    </w:div>
    <w:div w:id="416941567">
      <w:bodyDiv w:val="1"/>
      <w:marLeft w:val="0"/>
      <w:marRight w:val="0"/>
      <w:marTop w:val="0"/>
      <w:marBottom w:val="0"/>
      <w:divBdr>
        <w:top w:val="none" w:sz="0" w:space="0" w:color="auto"/>
        <w:left w:val="none" w:sz="0" w:space="0" w:color="auto"/>
        <w:bottom w:val="none" w:sz="0" w:space="0" w:color="auto"/>
        <w:right w:val="none" w:sz="0" w:space="0" w:color="auto"/>
      </w:divBdr>
    </w:div>
    <w:div w:id="1768574154">
      <w:bodyDiv w:val="1"/>
      <w:marLeft w:val="0"/>
      <w:marRight w:val="0"/>
      <w:marTop w:val="0"/>
      <w:marBottom w:val="0"/>
      <w:divBdr>
        <w:top w:val="none" w:sz="0" w:space="0" w:color="auto"/>
        <w:left w:val="none" w:sz="0" w:space="0" w:color="auto"/>
        <w:bottom w:val="none" w:sz="0" w:space="0" w:color="auto"/>
        <w:right w:val="none" w:sz="0" w:space="0" w:color="auto"/>
      </w:divBdr>
    </w:div>
    <w:div w:id="19737543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590/1413-81232020261.30872020" TargetMode="External"/><Relationship Id="rId3" Type="http://schemas.openxmlformats.org/officeDocument/2006/relationships/settings" Target="settings.xml"/><Relationship Id="rId7" Type="http://schemas.openxmlformats.org/officeDocument/2006/relationships/hyperlink" Target="https://doi.org/10.1590/1413-81232020261.3246202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mailto:luciana.sogame@emesca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Pages>
  <Words>3964</Words>
  <Characters>21409</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Luciana Carrupt Machado Sogame</cp:lastModifiedBy>
  <cp:revision>5</cp:revision>
  <dcterms:created xsi:type="dcterms:W3CDTF">2025-07-04T21:57:00Z</dcterms:created>
  <dcterms:modified xsi:type="dcterms:W3CDTF">2025-07-04T22:01:00Z</dcterms:modified>
</cp:coreProperties>
</file>