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62B151">
      <w:pPr>
        <w:spacing w:line="360" w:lineRule="auto"/>
        <w:jc w:val="center"/>
        <w:rPr>
          <w:rFonts w:eastAsia="Arial"/>
          <w:sz w:val="24"/>
          <w:szCs w:val="24"/>
        </w:rPr>
      </w:pPr>
      <w:r>
        <w:rPr>
          <w:rFonts w:eastAsia="Arial"/>
          <w:b/>
          <w:bCs/>
          <w:sz w:val="24"/>
          <w:szCs w:val="24"/>
        </w:rPr>
        <w:t xml:space="preserve">MOVIMENTO ESTUDANTIL E DEMOCRACIA NO BRASIL: </w:t>
      </w:r>
      <w:r>
        <w:rPr>
          <w:rFonts w:eastAsia="Arial"/>
          <w:sz w:val="24"/>
          <w:szCs w:val="24"/>
        </w:rPr>
        <w:t>Uma análise à luz da teoria política.</w:t>
      </w:r>
    </w:p>
    <w:p w14:paraId="7918A2E7">
      <w:pPr>
        <w:spacing w:line="360" w:lineRule="auto"/>
        <w:jc w:val="right"/>
        <w:rPr>
          <w:sz w:val="20"/>
          <w:szCs w:val="20"/>
        </w:rPr>
      </w:pPr>
      <w:r>
        <w:rPr>
          <w:rFonts w:eastAsia="Arial"/>
          <w:sz w:val="20"/>
          <w:szCs w:val="20"/>
        </w:rPr>
        <w:t>Andrews Victor Campos da Silva¹</w:t>
      </w:r>
    </w:p>
    <w:p w14:paraId="4F395D25">
      <w:pPr>
        <w:spacing w:line="240" w:lineRule="auto"/>
        <w:ind w:left="2835"/>
        <w:jc w:val="both"/>
        <w:rPr>
          <w:b/>
          <w:sz w:val="20"/>
          <w:szCs w:val="20"/>
        </w:rPr>
      </w:pPr>
    </w:p>
    <w:p w14:paraId="13C77A18">
      <w:pPr>
        <w:spacing w:line="240" w:lineRule="auto"/>
        <w:jc w:val="both"/>
        <w:rPr>
          <w:b/>
          <w:sz w:val="20"/>
          <w:szCs w:val="20"/>
        </w:rPr>
      </w:pPr>
    </w:p>
    <w:p w14:paraId="1FB32C96">
      <w:pPr>
        <w:spacing w:line="240" w:lineRule="auto"/>
        <w:ind w:left="2160" w:firstLine="720"/>
        <w:jc w:val="both"/>
        <w:rPr>
          <w:b/>
          <w:sz w:val="20"/>
          <w:szCs w:val="20"/>
        </w:rPr>
      </w:pPr>
      <w:r>
        <w:rPr>
          <w:b/>
          <w:sz w:val="20"/>
          <w:szCs w:val="20"/>
        </w:rPr>
        <w:t>Resumo</w:t>
      </w:r>
    </w:p>
    <w:p w14:paraId="37C22BEB">
      <w:pPr>
        <w:spacing w:line="240" w:lineRule="auto"/>
        <w:ind w:left="2880"/>
        <w:jc w:val="both"/>
        <w:rPr>
          <w:sz w:val="20"/>
          <w:szCs w:val="20"/>
        </w:rPr>
      </w:pPr>
      <w:r>
        <w:rPr>
          <w:rFonts w:eastAsia="Arial"/>
          <w:sz w:val="20"/>
          <w:szCs w:val="20"/>
        </w:rPr>
        <w:t>Este artigo analisa o papel do movimento estudantil brasileiro na formulação de políticas educacionais e no fortalecimento da democracia, com base em referenciais da teoria política contemporânea. A pesquisa adota metodologia de revisão bibliográfica e documental, dialogando com autores como Pateman, Habermas, Olson, Tilly e Della Porta. Examina a trajetória histórica do movimento estudantil desde 1930, com ênfase em sua atuação durante o Estado Novo, a ditadura militar e nas mobilizações entre 2015 e 2024. O estudo evidencia que os estudantes exercem protagonismo político por meio de práticas participativas, ocupação do espaço público e resistência à repressão. A análise mostra que, mesmo enfrentando desafios como criminalização e fragmentação, o movimento estudantil mantém-se como importante agente de transformação social, contribuindo para a construção de uma educação mais democrática e para o aprimoramento da participação cidadã no Brasil contemporâneo</w:t>
      </w:r>
      <w:r>
        <w:rPr>
          <w:sz w:val="20"/>
          <w:szCs w:val="20"/>
        </w:rPr>
        <w:t xml:space="preserve">. </w:t>
      </w:r>
    </w:p>
    <w:p w14:paraId="2F1B9D68">
      <w:pPr>
        <w:spacing w:line="240" w:lineRule="auto"/>
        <w:ind w:left="2835"/>
        <w:jc w:val="both"/>
        <w:rPr>
          <w:sz w:val="20"/>
          <w:szCs w:val="20"/>
          <w:lang w:val="en-US"/>
        </w:rPr>
      </w:pPr>
      <w:r>
        <w:rPr>
          <w:b/>
          <w:sz w:val="20"/>
          <w:szCs w:val="20"/>
        </w:rPr>
        <w:t>Palavras-chave</w:t>
      </w:r>
      <w:r>
        <w:rPr>
          <w:sz w:val="20"/>
          <w:szCs w:val="20"/>
        </w:rPr>
        <w:t>: movimento estudantil; teoria política; espaço público</w:t>
      </w:r>
      <w:r>
        <w:rPr>
          <w:sz w:val="20"/>
          <w:szCs w:val="20"/>
          <w:lang w:val="en-US"/>
        </w:rPr>
        <w:t>.</w:t>
      </w:r>
    </w:p>
    <w:p w14:paraId="517259C0">
      <w:pPr>
        <w:spacing w:line="240" w:lineRule="auto"/>
        <w:ind w:left="2835"/>
        <w:jc w:val="both"/>
        <w:rPr>
          <w:sz w:val="20"/>
          <w:szCs w:val="20"/>
          <w:lang w:val="en-US"/>
        </w:rPr>
      </w:pPr>
    </w:p>
    <w:p w14:paraId="2AE9F2B8">
      <w:pPr>
        <w:spacing w:line="240" w:lineRule="auto"/>
        <w:ind w:left="2835"/>
        <w:jc w:val="both"/>
        <w:rPr>
          <w:b/>
          <w:sz w:val="20"/>
          <w:szCs w:val="20"/>
          <w:lang w:val="en-US"/>
        </w:rPr>
      </w:pPr>
      <w:r>
        <w:rPr>
          <w:b/>
          <w:sz w:val="20"/>
          <w:szCs w:val="20"/>
          <w:lang w:val="en-US"/>
        </w:rPr>
        <w:t>Abstract</w:t>
      </w:r>
    </w:p>
    <w:p w14:paraId="6C1139C2">
      <w:pPr>
        <w:spacing w:line="240" w:lineRule="auto"/>
        <w:ind w:left="2835"/>
        <w:jc w:val="both"/>
        <w:rPr>
          <w:sz w:val="20"/>
          <w:szCs w:val="20"/>
          <w:lang w:val="en-US"/>
        </w:rPr>
      </w:pPr>
      <w:r>
        <w:rPr>
          <w:rFonts w:eastAsia="Arial"/>
          <w:sz w:val="20"/>
          <w:szCs w:val="20"/>
          <w:lang w:val="en-US"/>
        </w:rPr>
        <w:t>This article analyzes the role of the Brazilian student movement in the formulation of educational policies and in the strengthening of democracy, based on references from contemporary political theory. The research adopts a bibliographic and documentary review methodology, engaging with authors such as Pateman, Habermas, Olson, Tilly, and Della Porta. It examines the historical trajectory of the student movement since the 1930s, with emphasis on its actions during the Estado Novo, the military dictatorship, and the mobilizations between 2015 and 2024. The study shows that students play a leading political role through participatory practices, occupation of public space, and resistance to repression. The analysis reveals that, even when facing challenges such as criminalization and fragmentation, the student movement remains an important agent of social transformation, contributing to the construction of a more democratic education system and to the enhancement of civic participation in contemporary Brazil</w:t>
      </w:r>
      <w:r>
        <w:rPr>
          <w:sz w:val="20"/>
          <w:szCs w:val="20"/>
          <w:lang w:val="en-US"/>
        </w:rPr>
        <w:t>.</w:t>
      </w:r>
    </w:p>
    <w:p w14:paraId="6BE1BB2A">
      <w:pPr>
        <w:spacing w:line="240" w:lineRule="auto"/>
        <w:ind w:left="2835"/>
        <w:jc w:val="both"/>
        <w:rPr>
          <w:sz w:val="20"/>
          <w:szCs w:val="20"/>
        </w:rPr>
      </w:pPr>
      <w:r>
        <w:rPr>
          <w:b/>
          <w:sz w:val="20"/>
          <w:szCs w:val="20"/>
          <w:lang w:val="en-US"/>
        </w:rPr>
        <w:t>Keywords</w:t>
      </w:r>
      <w:r>
        <w:rPr>
          <w:sz w:val="20"/>
          <w:szCs w:val="20"/>
          <w:lang w:val="en-US"/>
        </w:rPr>
        <w:t xml:space="preserve">: </w:t>
      </w:r>
      <w:r>
        <w:rPr>
          <w:sz w:val="20"/>
          <w:szCs w:val="20"/>
        </w:rPr>
        <w:t>student movement</w:t>
      </w:r>
      <w:r>
        <w:rPr>
          <w:sz w:val="20"/>
          <w:szCs w:val="20"/>
          <w:lang w:val="en-US"/>
        </w:rPr>
        <w:t xml:space="preserve">; </w:t>
      </w:r>
      <w:r>
        <w:rPr>
          <w:sz w:val="20"/>
          <w:szCs w:val="20"/>
        </w:rPr>
        <w:t>political theory; public space.</w:t>
      </w:r>
    </w:p>
    <w:p w14:paraId="72B2F7F5">
      <w:pPr>
        <w:spacing w:line="240" w:lineRule="auto"/>
        <w:jc w:val="both"/>
        <w:rPr>
          <w:sz w:val="20"/>
          <w:szCs w:val="20"/>
        </w:rPr>
      </w:pPr>
    </w:p>
    <w:p w14:paraId="50A9A0FD">
      <w:pPr>
        <w:spacing w:line="240" w:lineRule="auto"/>
        <w:jc w:val="both"/>
        <w:rPr>
          <w:sz w:val="20"/>
          <w:szCs w:val="20"/>
        </w:rPr>
      </w:pPr>
    </w:p>
    <w:p w14:paraId="77E35703">
      <w:pPr>
        <w:spacing w:line="240" w:lineRule="auto"/>
        <w:jc w:val="both"/>
        <w:rPr>
          <w:sz w:val="20"/>
          <w:szCs w:val="20"/>
        </w:rPr>
      </w:pPr>
    </w:p>
    <w:p w14:paraId="1C83F8D8">
      <w:pPr>
        <w:spacing w:line="240" w:lineRule="auto"/>
        <w:jc w:val="both"/>
        <w:rPr>
          <w:sz w:val="20"/>
          <w:szCs w:val="20"/>
        </w:rPr>
      </w:pPr>
      <w:r>
        <w:rPr>
          <w:sz w:val="20"/>
          <w:szCs w:val="20"/>
        </w:rPr>
        <w:t>______________________</w:t>
      </w:r>
    </w:p>
    <w:p w14:paraId="07EB16A3">
      <w:pPr>
        <w:spacing w:line="240" w:lineRule="auto"/>
        <w:jc w:val="both"/>
        <w:rPr>
          <w:sz w:val="20"/>
          <w:szCs w:val="20"/>
        </w:rPr>
      </w:pPr>
      <w:r>
        <w:rPr>
          <w:sz w:val="20"/>
          <w:szCs w:val="20"/>
        </w:rPr>
        <w:t>¹Graduando em Ciência Política pela Universidade Federal do Piauí (UFPI)</w:t>
      </w:r>
      <w:r>
        <w:rPr>
          <w:rFonts w:hint="default"/>
          <w:sz w:val="20"/>
          <w:szCs w:val="20"/>
          <w:lang w:val="pt-BR"/>
        </w:rPr>
        <w:t xml:space="preserve"> - andrews.silva@ufpi.edu.br</w:t>
      </w:r>
      <w:r>
        <w:rPr>
          <w:sz w:val="20"/>
          <w:szCs w:val="20"/>
        </w:rPr>
        <w:t>; Vinculado ao Núcleo de Estudos Políticos e Eleitorais da Universidade Federal do Piauí (NEPE-UFPI);</w:t>
      </w:r>
    </w:p>
    <w:p w14:paraId="4DD6257B">
      <w:pPr>
        <w:spacing w:line="360" w:lineRule="auto"/>
        <w:jc w:val="both"/>
        <w:rPr>
          <w:sz w:val="24"/>
          <w:szCs w:val="24"/>
        </w:rPr>
      </w:pPr>
    </w:p>
    <w:p w14:paraId="6B3AA001">
      <w:pPr>
        <w:spacing w:line="360" w:lineRule="auto"/>
        <w:rPr>
          <w:b/>
          <w:sz w:val="24"/>
          <w:szCs w:val="24"/>
        </w:rPr>
      </w:pPr>
      <w:r>
        <w:rPr>
          <w:b/>
          <w:sz w:val="24"/>
          <w:szCs w:val="24"/>
        </w:rPr>
        <w:br w:type="page"/>
      </w:r>
      <w:r>
        <w:rPr>
          <w:b/>
          <w:sz w:val="24"/>
          <w:szCs w:val="24"/>
        </w:rPr>
        <w:t>1</w:t>
      </w:r>
      <w:r>
        <w:rPr>
          <w:b/>
          <w:sz w:val="24"/>
          <w:szCs w:val="24"/>
        </w:rPr>
        <w:tab/>
      </w:r>
      <w:r>
        <w:rPr>
          <w:b/>
          <w:sz w:val="24"/>
          <w:szCs w:val="24"/>
        </w:rPr>
        <w:t>INTRODUÇÃO</w:t>
      </w:r>
    </w:p>
    <w:p w14:paraId="43194105">
      <w:pPr>
        <w:spacing w:line="360" w:lineRule="auto"/>
        <w:jc w:val="both"/>
        <w:rPr>
          <w:sz w:val="24"/>
          <w:szCs w:val="24"/>
        </w:rPr>
      </w:pPr>
    </w:p>
    <w:p w14:paraId="3AE043FE">
      <w:pPr>
        <w:spacing w:line="360" w:lineRule="auto"/>
        <w:ind w:firstLine="720" w:firstLineChars="300"/>
        <w:jc w:val="both"/>
        <w:rPr>
          <w:rFonts w:eastAsia="Arial"/>
          <w:sz w:val="24"/>
          <w:szCs w:val="24"/>
        </w:rPr>
      </w:pPr>
      <w:r>
        <w:rPr>
          <w:rFonts w:eastAsia="Arial"/>
          <w:sz w:val="24"/>
          <w:szCs w:val="24"/>
        </w:rPr>
        <w:t>O movimento estudantil brasileiro, nos últimos anos, tem desempenhado um papel fundamental no campo político e social do país, tornando-se agente ativo na defesa e construção de políticas públicas (principalmente educacionais). A recente trajetória desse movimento, marcada por ocupações de escolas e universidades, mobilizações contra cortes de orçamento e reivindicações por acesso e qualidade na educação, evidencia a capacidade dos jovens de se organizarem e influenciarem decisões políticas. Nesse contexto, torna-se relevante analisar essas mobilizações não apenas como expressões de descontentamento social, mas também como manifestações significativas de participação política que dialogam diretamente com importantes conceitos da teoria política contemporânea.</w:t>
      </w:r>
    </w:p>
    <w:p w14:paraId="489D45AF">
      <w:pPr>
        <w:spacing w:line="360" w:lineRule="auto"/>
        <w:ind w:firstLine="720" w:firstLineChars="300"/>
        <w:jc w:val="both"/>
        <w:rPr>
          <w:rFonts w:eastAsia="Arial"/>
          <w:sz w:val="24"/>
          <w:szCs w:val="24"/>
        </w:rPr>
      </w:pPr>
      <w:r>
        <w:rPr>
          <w:rFonts w:eastAsia="Arial"/>
          <w:sz w:val="24"/>
          <w:szCs w:val="24"/>
        </w:rPr>
        <w:t>A teoria política, mais especificamente nas vertentes da democracia participativa e deliberativa, oferece fundamentos para compreender a maneira a qual o movimento estudantil ajusta espaços de engajamento político-social e contestação pública, ampliando os canais formais de participação e promovendo o debate coletivo sobre temas essenciais à sociedade. Autores como Carole Pateman e Jürgen Habermas destacam a importância da participação ativa e do espaço público como sendo fundamentais para o fortalecimento da democracia, aspectos que se manifestam nas práticas organizativas e nas estratégias de mobilização adotadas pelos estudantes. Além disso, o pensamento teórico da mobilização coletiva, por meio das contribuições de Mancur Olson e Charles Tilly, permite analisar as dinâmicas internas e externas que favorecem ou dificultam a ação coletiva, apresentando os principais desafios enfrentados por esses movimentos para manter a coesão e alcançar seus objetivos.</w:t>
      </w:r>
    </w:p>
    <w:p w14:paraId="61715B1B">
      <w:pPr>
        <w:spacing w:line="360" w:lineRule="auto"/>
        <w:ind w:firstLine="720" w:firstLineChars="300"/>
        <w:jc w:val="both"/>
        <w:rPr>
          <w:rFonts w:eastAsia="Arial"/>
          <w:sz w:val="24"/>
          <w:szCs w:val="24"/>
        </w:rPr>
      </w:pPr>
      <w:r>
        <w:rPr>
          <w:rFonts w:eastAsia="Arial"/>
          <w:sz w:val="24"/>
          <w:szCs w:val="24"/>
        </w:rPr>
        <w:t>Diante disso, o presente trabalho analisa as influências do movimento estudantil nas políticas educacionais brasileiras, evidenciando uma reflexão teórica que busca compreendê-lo à luz da teoria política e apontar o papel desse ator social na construção democrática do país.</w:t>
      </w:r>
    </w:p>
    <w:p w14:paraId="6C344588">
      <w:pPr>
        <w:spacing w:line="360" w:lineRule="auto"/>
        <w:jc w:val="both"/>
        <w:rPr>
          <w:sz w:val="24"/>
          <w:szCs w:val="24"/>
        </w:rPr>
      </w:pPr>
    </w:p>
    <w:p w14:paraId="2C5C73E2">
      <w:pPr>
        <w:numPr>
          <w:ilvl w:val="0"/>
          <w:numId w:val="1"/>
        </w:numPr>
        <w:spacing w:line="360" w:lineRule="auto"/>
        <w:jc w:val="both"/>
        <w:rPr>
          <w:rFonts w:eastAsia="Arial"/>
          <w:b/>
          <w:sz w:val="24"/>
          <w:szCs w:val="24"/>
        </w:rPr>
      </w:pPr>
      <w:r>
        <w:rPr>
          <w:rFonts w:eastAsia="Arial"/>
          <w:b/>
          <w:sz w:val="24"/>
          <w:szCs w:val="24"/>
        </w:rPr>
        <w:t>TEORIA POLÍTICA E MOVIMENTOS ESTUDANTIS</w:t>
      </w:r>
    </w:p>
    <w:p w14:paraId="71D67A24">
      <w:pPr>
        <w:spacing w:line="360" w:lineRule="auto"/>
        <w:jc w:val="both"/>
        <w:rPr>
          <w:rFonts w:eastAsia="Arial"/>
          <w:sz w:val="24"/>
          <w:szCs w:val="24"/>
        </w:rPr>
      </w:pPr>
    </w:p>
    <w:p w14:paraId="4C18BD80">
      <w:pPr>
        <w:spacing w:line="360" w:lineRule="auto"/>
        <w:ind w:firstLine="720"/>
        <w:jc w:val="both"/>
        <w:rPr>
          <w:rFonts w:eastAsia="Arial"/>
          <w:sz w:val="24"/>
          <w:szCs w:val="24"/>
        </w:rPr>
      </w:pPr>
      <w:r>
        <w:rPr>
          <w:rFonts w:eastAsia="Arial"/>
          <w:sz w:val="24"/>
          <w:szCs w:val="24"/>
        </w:rPr>
        <w:t>O movimento estudantil no Brasil pode ser compreendido com base nas diversas perspectivas da teoria política, sobretudo aquelas que abordam a participação política, a mobilização coletiva e o espaço público democrático. A partir desses referenciais, é possível situar os estudantes como atores políticos que, ainda que muitas vezes periféricos aos canais institucionais tradicionais, exercem papel crucial na ampliação e aprofundamento da democracia e na política nacional como um todo.</w:t>
      </w:r>
    </w:p>
    <w:p w14:paraId="6C2AAC17">
      <w:pPr>
        <w:spacing w:line="360" w:lineRule="auto"/>
        <w:ind w:firstLine="720"/>
        <w:jc w:val="both"/>
        <w:rPr>
          <w:rFonts w:eastAsia="Arial"/>
          <w:sz w:val="24"/>
          <w:szCs w:val="24"/>
        </w:rPr>
      </w:pPr>
      <w:r>
        <w:rPr>
          <w:rFonts w:eastAsia="Arial"/>
          <w:sz w:val="24"/>
          <w:szCs w:val="24"/>
        </w:rPr>
        <w:t xml:space="preserve">Diante disso, a teoria da democracia participativa, como pode ser observado no pensamento de Carole Pateman (1992), destaca a importância da participação direta dos cidadãos na tomada de decisões políticas para a legitimidade e vitalidade de um sistema democrático. Pateman, nesse sentido, argumenta que a democracia representativa tradicional tende a minimizar o envolvimento dos cidadãos, reduzindo-os a eleitores passivos, o que enfraquece a democracia como um processo ativo de construção coletiva. </w:t>
      </w:r>
    </w:p>
    <w:p w14:paraId="23EF10D7">
      <w:pPr>
        <w:spacing w:line="240" w:lineRule="auto"/>
        <w:ind w:left="2200" w:leftChars="0" w:firstLine="0" w:firstLineChars="0"/>
        <w:jc w:val="both"/>
        <w:rPr>
          <w:rFonts w:eastAsia="Arial"/>
          <w:sz w:val="20"/>
          <w:szCs w:val="20"/>
        </w:rPr>
      </w:pPr>
      <w:r>
        <w:rPr>
          <w:rFonts w:eastAsia="Arial"/>
          <w:sz w:val="20"/>
          <w:szCs w:val="20"/>
        </w:rPr>
        <w:br w:type="textWrapping"/>
      </w:r>
      <w:r>
        <w:rPr>
          <w:rFonts w:eastAsia="Arial"/>
          <w:sz w:val="20"/>
          <w:szCs w:val="20"/>
        </w:rPr>
        <w:t>Para que os indivíduos exerçam o máximo de controle sobre suas própria vidas e sobre o ambiente, as estruturas de autoridade nessas áreas precisam ser organizadas de tal forma que eles possam participar na tomada de decisões (Pateman, 1992, p. 61).</w:t>
      </w:r>
    </w:p>
    <w:p w14:paraId="45D619B6">
      <w:pPr>
        <w:spacing w:line="240" w:lineRule="auto"/>
        <w:ind w:left="2160"/>
        <w:jc w:val="both"/>
        <w:rPr>
          <w:rFonts w:eastAsia="Arial"/>
          <w:sz w:val="20"/>
          <w:szCs w:val="20"/>
        </w:rPr>
      </w:pPr>
    </w:p>
    <w:p w14:paraId="2565BC1C">
      <w:pPr>
        <w:spacing w:line="360" w:lineRule="auto"/>
        <w:ind w:firstLine="720"/>
        <w:jc w:val="both"/>
        <w:rPr>
          <w:rFonts w:eastAsia="Arial"/>
          <w:sz w:val="24"/>
          <w:szCs w:val="24"/>
        </w:rPr>
      </w:pPr>
      <w:r>
        <w:rPr>
          <w:rFonts w:eastAsia="Arial"/>
          <w:sz w:val="24"/>
          <w:szCs w:val="24"/>
        </w:rPr>
        <w:t>Partindo dessa perspectiva, pode-se associar o pensamento de Pateman ao movimento estudantil, haja vista que se caracteriza como um espaço de participação efetiva – pelos quais os jovens exercem o protagonismo ao influenciar na definição de suas condições educacionais e sociais, experienciando formas ampliadas de democracia direta. Essa participação ativa não apenas fortalece a esfera pública, mas também promove a conscientização política e a formação de uma cidadania crítica e engajada.</w:t>
      </w:r>
    </w:p>
    <w:p w14:paraId="4AEE33E5">
      <w:pPr>
        <w:spacing w:line="360" w:lineRule="auto"/>
        <w:ind w:firstLine="720"/>
        <w:jc w:val="both"/>
        <w:rPr>
          <w:rFonts w:eastAsia="Arial"/>
          <w:sz w:val="24"/>
          <w:szCs w:val="24"/>
        </w:rPr>
      </w:pPr>
      <w:r>
        <w:rPr>
          <w:rFonts w:eastAsia="Arial"/>
          <w:sz w:val="24"/>
          <w:szCs w:val="24"/>
        </w:rPr>
        <w:t>Ao participar dos debates sobre questões sociais, econômicas e políticas, os estudantes desenvolvem noções valiosas sobre a sociedade, apuram seu senso crítico e tornam-se capazes de reivindicar, de forma mais assertiva, suas demandas educacionais e sociais. Esses caminhos representam espaços nos quais os movimentos sociais podem atuar de forma mais direta junto ao Estado. Essa realidade foi estudada pelo filósofo e sociólogo alemão Jurgen Habermas (2014).</w:t>
      </w:r>
    </w:p>
    <w:p w14:paraId="2F49BB19">
      <w:pPr>
        <w:spacing w:line="360" w:lineRule="auto"/>
        <w:ind w:firstLine="720"/>
        <w:jc w:val="both"/>
        <w:rPr>
          <w:rFonts w:eastAsia="Arial"/>
          <w:sz w:val="24"/>
          <w:szCs w:val="24"/>
        </w:rPr>
      </w:pPr>
      <w:r>
        <w:rPr>
          <w:rFonts w:eastAsia="Arial"/>
          <w:sz w:val="24"/>
          <w:szCs w:val="24"/>
        </w:rPr>
        <w:t>Habermas, por sua vez, contribui para o enriquecimento da discussão com a noção de espaço público: um domínio da vida social onde os indivíduos se reúnem para debater questões de interesse comum, mediando a relação de demandas e deveres entre a sociedade e o Estado. Para o autor, o espaço público é fundamental não só para a formação da opinião pública, mas também para o funcionamento saudável da democracia deliberativa: participação política livre de coerção, baseada em discussões racionais entre cidadãos e Estado com fim de tomar decisões de forma justa, garantindo a participação ativa da sociedade. É exatamente neste campo que atua o movimento estudantil, já que promove discussões, assembleias, manifestações e ocupações que criam ambientes deliberativos fora dos canais oficiais, mas também dentro do espaço público estudado por Habermas. Essas práticas, portanto, confrontam a realidade de exclusão do campo político tradicional dos jovens e reivindicam o reconhecimento da importância de suas demandas no âmbito das políticas públicas.</w:t>
      </w:r>
    </w:p>
    <w:p w14:paraId="3A9B7EEE">
      <w:pPr>
        <w:spacing w:line="360" w:lineRule="auto"/>
        <w:ind w:firstLine="720"/>
        <w:jc w:val="both"/>
        <w:rPr>
          <w:rFonts w:eastAsia="Arial"/>
          <w:sz w:val="24"/>
          <w:szCs w:val="24"/>
        </w:rPr>
      </w:pPr>
      <w:r>
        <w:rPr>
          <w:rFonts w:eastAsia="Arial"/>
          <w:sz w:val="24"/>
          <w:szCs w:val="24"/>
        </w:rPr>
        <w:t>Considerando essa realidade, aponta-se, também, a existência de fatores que ameaçam o espaço público, como a colonização pela esfera econômica ou estatal – a invasão do sistema (Estado e Mercado) no mundo da vida –, o que se traduz, no contexto brasileiro, em tentativas de criminalização, repressão e deslegitimação desses movimentos por parte de setores conservadores e do aparato estatal (Habermas, 2014). Dessa forma, o espaço público perde eficiência ao ser impedido de cumprir sua função de mediação entre a sociedade e o Estado, ou seja, o movimento social tem sua atuação oprimida pela falta de condições externas de participação. Essa ideia de condições foi teorizada, também, dentro do pensamento teórico das mobilizações coletivas desenvolvido por Mancur Olson (1999) e ampliado por teóricos como Charles Tilly (1978), demonstrando, além das condicionais externas, fatores internos para o funcionamento dos movimentos sociais.</w:t>
      </w:r>
    </w:p>
    <w:p w14:paraId="7A6149EC">
      <w:pPr>
        <w:spacing w:line="360" w:lineRule="auto"/>
        <w:ind w:firstLine="720"/>
        <w:jc w:val="both"/>
        <w:rPr>
          <w:rFonts w:eastAsia="Arial"/>
          <w:sz w:val="24"/>
          <w:szCs w:val="24"/>
        </w:rPr>
      </w:pPr>
      <w:r>
        <w:rPr>
          <w:rFonts w:eastAsia="Arial"/>
          <w:sz w:val="24"/>
          <w:szCs w:val="24"/>
        </w:rPr>
        <w:t xml:space="preserve">Dessa forma, o pensamento de Olson e Tilly se torna importante por oferecer uma análise das condições necessárias para a formação e sustentabilidade dos movimentos sociais. Olson aponta para o problema do </w:t>
      </w:r>
      <w:r>
        <w:rPr>
          <w:rFonts w:eastAsia="Arial"/>
          <w:i/>
          <w:sz w:val="24"/>
          <w:szCs w:val="24"/>
        </w:rPr>
        <w:t xml:space="preserve">free rider </w:t>
      </w:r>
      <w:r>
        <w:rPr>
          <w:rFonts w:eastAsia="Arial"/>
          <w:i/>
          <w:iCs/>
          <w:sz w:val="24"/>
          <w:szCs w:val="24"/>
        </w:rPr>
        <w:t>–</w:t>
      </w:r>
      <w:r>
        <w:rPr>
          <w:rFonts w:eastAsia="Arial"/>
          <w:i/>
          <w:sz w:val="24"/>
          <w:szCs w:val="24"/>
        </w:rPr>
        <w:t xml:space="preserve"> </w:t>
      </w:r>
      <w:r>
        <w:rPr>
          <w:rFonts w:eastAsia="Arial"/>
          <w:sz w:val="24"/>
          <w:szCs w:val="24"/>
        </w:rPr>
        <w:t xml:space="preserve">a dificuldade de mobilizar indivíduos para a ação coletiva quando os benefícios são públicos e não exclusivos. Assim, segundo o autor, a desmobilização política justificada pelos ganhos públicos contribui para a dificuldade de sustentação dos movimentos sociais, já que os indivíduos deixam de participar porque os benefícios virão pelo esforço dos participantes. Olson, para solucionar este problema, propõe uma série de atitudes que incentivam a participação, como uma gratificação exclusiva aos participantes, sansões ou punições a quem se abstém e a organização interna dos movimentos sociais, com lideranças e funções distribuídas. Ao seguir a última solução mencionada </w:t>
      </w:r>
      <w:r>
        <w:rPr>
          <w:rFonts w:eastAsia="Arial"/>
          <w:i/>
          <w:iCs/>
          <w:sz w:val="24"/>
          <w:szCs w:val="24"/>
        </w:rPr>
        <w:t>–</w:t>
      </w:r>
      <w:r>
        <w:rPr>
          <w:rFonts w:eastAsia="Arial"/>
          <w:sz w:val="24"/>
          <w:szCs w:val="24"/>
        </w:rPr>
        <w:t xml:space="preserve"> organização interna </w:t>
      </w:r>
      <w:r>
        <w:rPr>
          <w:rFonts w:eastAsia="Arial"/>
          <w:i/>
          <w:iCs/>
          <w:sz w:val="24"/>
          <w:szCs w:val="24"/>
        </w:rPr>
        <w:t>–</w:t>
      </w:r>
      <w:r>
        <w:rPr>
          <w:rFonts w:eastAsia="Arial"/>
          <w:sz w:val="24"/>
          <w:szCs w:val="24"/>
        </w:rPr>
        <w:t>, o movimento estudantil brasileiro tem demonstrado capacidade de sobressair-se a essa problemática. Além disso, intensifica seu sucesso através da construção de identidades coletivas, vínculos de solidariedade, o que reforça o seu caráter social e garante o engajamento dos seus participantes e a sua longevidade.</w:t>
      </w:r>
    </w:p>
    <w:p w14:paraId="015DDE4C">
      <w:pPr>
        <w:spacing w:line="360" w:lineRule="auto"/>
        <w:ind w:firstLine="720"/>
        <w:jc w:val="both"/>
        <w:rPr>
          <w:rFonts w:eastAsia="Arial"/>
          <w:sz w:val="24"/>
          <w:szCs w:val="24"/>
        </w:rPr>
      </w:pPr>
      <w:r>
        <w:rPr>
          <w:rFonts w:eastAsia="Arial"/>
          <w:sz w:val="24"/>
          <w:szCs w:val="24"/>
        </w:rPr>
        <w:t>Charles Tilly, por sua vez, enfatiza que a ação coletiva depende da disponibilidade de recursos, de oportunidades políticas e da capacidade de repertório coletivo, a exemplo de protestos, ocupações de espaços e greves. No caso do Brasil, essa ideia defendida por Tilly torna-se evidente quando se observam as mobilizações recentes, a exemplo das ocupações de 2016, onde mais de mil e cem escolas foram ocupadas em vinte e dois municípios brasileiros (Blume, 2016). Essas ocupações, em suma, mobilizaram amplos setores da sociedade civil e obtiveram visibilidade nacional e internacional, apresentando os estudantes como protagonistas nos espaços políticos e sociais – o que amplia o funcionamento democrático.</w:t>
      </w:r>
    </w:p>
    <w:p w14:paraId="0925AAF5">
      <w:pPr>
        <w:spacing w:line="360" w:lineRule="auto"/>
        <w:ind w:firstLine="720"/>
        <w:jc w:val="both"/>
        <w:rPr>
          <w:rFonts w:eastAsia="Arial"/>
          <w:sz w:val="24"/>
          <w:szCs w:val="24"/>
        </w:rPr>
      </w:pPr>
      <w:r>
        <w:rPr>
          <w:rFonts w:eastAsia="Arial"/>
          <w:sz w:val="24"/>
          <w:szCs w:val="24"/>
        </w:rPr>
        <w:t>Esses acontecimentos recentes demonstram que a mobilização estudantil se mantém em atividade ainda em meio às dificuldades apontadas anteriormente e evidenciam o engajamento político dos estudantes brasileiros, garantindo a existência ativa do movimento estudantil no país. Essa resistência do movimento estudantil no Brasil pode ser analisada à luz de autores contemporâneos como Donatella Della Porta (2007).</w:t>
      </w:r>
    </w:p>
    <w:p w14:paraId="051C25F7">
      <w:pPr>
        <w:spacing w:line="360" w:lineRule="auto"/>
        <w:ind w:firstLine="720"/>
        <w:jc w:val="both"/>
        <w:rPr>
          <w:rFonts w:eastAsia="Arial"/>
          <w:sz w:val="24"/>
          <w:szCs w:val="24"/>
        </w:rPr>
      </w:pPr>
      <w:r>
        <w:rPr>
          <w:rFonts w:eastAsia="Arial"/>
          <w:sz w:val="24"/>
          <w:szCs w:val="24"/>
        </w:rPr>
        <w:t xml:space="preserve">Della Porta, dentro dessa perspectiva, amplia esse debate ao destacar a relação entre movimentos sociais, juventude e participação política em contextos marcados por desigualdades e dinâmicas digitais. A autora ressalta que os movimentos sociais atuais alinham ações presenciais e digitais, usando as redes sociais para ampliar seu alcance, construir narrativas e confrontar a desinformação. Ou seja, as inovações tecnológicas trazem novas oportunidades de mobilização para os movimentos sociais, incluindo o movimento estudantil. </w:t>
      </w:r>
    </w:p>
    <w:p w14:paraId="23E9331C">
      <w:pPr>
        <w:spacing w:line="360" w:lineRule="auto"/>
        <w:ind w:firstLine="720"/>
        <w:jc w:val="both"/>
        <w:rPr>
          <w:rFonts w:eastAsia="Arial"/>
          <w:sz w:val="24"/>
          <w:szCs w:val="24"/>
        </w:rPr>
      </w:pPr>
      <w:r>
        <w:rPr>
          <w:rFonts w:eastAsia="Arial"/>
          <w:sz w:val="24"/>
          <w:szCs w:val="24"/>
        </w:rPr>
        <w:t xml:space="preserve">Outro ponto a ser analisado, ainda dentro dessa perspectiva, é que esse aspecto digital, contudo, também impõe novos desafios aos movimentos sociais, como os problemas relacionados à fragmentação, à polarização e à vigilância estatal. Isso se deve ao fato de que as inovações tecnológicas permitem uma ampliação dos movimentos sociais, que pode polarizar e fragmente o movimento internamente, trazendo também a atenção do Estado que, segundo a autora, sente-se ameaçado pelo crescimento dos movimentos sociais (Della Porta, 2007). </w:t>
      </w:r>
    </w:p>
    <w:p w14:paraId="445A881C">
      <w:pPr>
        <w:spacing w:line="360" w:lineRule="auto"/>
        <w:ind w:firstLine="720"/>
        <w:jc w:val="both"/>
        <w:rPr>
          <w:rFonts w:eastAsia="Arial"/>
          <w:sz w:val="24"/>
          <w:szCs w:val="24"/>
        </w:rPr>
      </w:pPr>
      <w:r>
        <w:rPr>
          <w:rFonts w:eastAsia="Arial"/>
          <w:sz w:val="24"/>
          <w:szCs w:val="24"/>
        </w:rPr>
        <w:t>Ainda que não sejam totalmente isentos desses desafios, a realidade moderna, no caso do Brasil, intensifica o interesse político-social da juventude, o que, assim, potencializa uma geração que está imersa em contextos complexos de crise econômica, social e ambiental, e que expressa sua agência política por meio de diferentes formas de engajamento.</w:t>
      </w:r>
    </w:p>
    <w:p w14:paraId="60246E94">
      <w:pPr>
        <w:spacing w:line="360" w:lineRule="auto"/>
        <w:ind w:firstLine="720"/>
        <w:jc w:val="both"/>
        <w:rPr>
          <w:rFonts w:eastAsia="Arial"/>
          <w:sz w:val="24"/>
          <w:szCs w:val="24"/>
        </w:rPr>
      </w:pPr>
      <w:r>
        <w:rPr>
          <w:rFonts w:eastAsia="Arial"/>
          <w:sz w:val="24"/>
          <w:szCs w:val="24"/>
        </w:rPr>
        <w:t xml:space="preserve">Com base nesse aprofundamento, observa-se que a teoria política aplicada ao movimento estudantil </w:t>
      </w:r>
      <w:bookmarkStart w:id="0" w:name="_Int_0K1oon4a"/>
      <w:r>
        <w:rPr>
          <w:rFonts w:eastAsia="Arial"/>
          <w:sz w:val="24"/>
          <w:szCs w:val="24"/>
        </w:rPr>
        <w:t>evidencia</w:t>
      </w:r>
      <w:bookmarkEnd w:id="0"/>
      <w:r>
        <w:rPr>
          <w:rFonts w:eastAsia="Arial"/>
          <w:sz w:val="24"/>
          <w:szCs w:val="24"/>
        </w:rPr>
        <w:t xml:space="preserve"> tanto sua relevância como agente democrático quanto os desafios estruturais para a consolidação de uma participação ampla e inclusiva, que converse com as demandas da sociedade no campo político e educacional. Nessa lógica, a experiência desse movimento no país deve ser analisada para que seja evidenciada a forma a qual aplicaram estas teorias.</w:t>
      </w:r>
    </w:p>
    <w:p w14:paraId="70B3022C">
      <w:pPr>
        <w:spacing w:line="360" w:lineRule="auto"/>
        <w:jc w:val="both"/>
        <w:rPr>
          <w:rFonts w:eastAsia="Arial"/>
          <w:b/>
        </w:rPr>
      </w:pPr>
    </w:p>
    <w:p w14:paraId="1E674D18">
      <w:pPr>
        <w:spacing w:line="360" w:lineRule="auto"/>
        <w:jc w:val="both"/>
        <w:rPr>
          <w:rFonts w:eastAsia="Arial"/>
          <w:b/>
          <w:sz w:val="24"/>
          <w:szCs w:val="24"/>
        </w:rPr>
      </w:pPr>
      <w:r>
        <w:rPr>
          <w:rFonts w:eastAsia="Arial"/>
          <w:b/>
          <w:sz w:val="24"/>
          <w:szCs w:val="24"/>
        </w:rPr>
        <w:t>3</w:t>
      </w:r>
      <w:r>
        <w:rPr>
          <w:rFonts w:eastAsia="Arial"/>
          <w:b/>
          <w:sz w:val="24"/>
          <w:szCs w:val="24"/>
        </w:rPr>
        <w:tab/>
      </w:r>
      <w:r>
        <w:rPr>
          <w:rFonts w:eastAsia="Arial"/>
          <w:b/>
          <w:sz w:val="24"/>
          <w:szCs w:val="24"/>
        </w:rPr>
        <w:t xml:space="preserve"> MOVIMENTO ESTUDANTIL BRASILEIRO</w:t>
      </w:r>
    </w:p>
    <w:p w14:paraId="7C0555FA">
      <w:pPr>
        <w:spacing w:line="360" w:lineRule="auto"/>
        <w:jc w:val="both"/>
        <w:rPr>
          <w:rFonts w:eastAsia="Arial"/>
          <w:b/>
          <w:sz w:val="24"/>
          <w:szCs w:val="24"/>
        </w:rPr>
      </w:pPr>
    </w:p>
    <w:p w14:paraId="73C043DD">
      <w:pPr>
        <w:spacing w:line="360" w:lineRule="auto"/>
        <w:ind w:firstLine="720"/>
        <w:jc w:val="both"/>
        <w:rPr>
          <w:rFonts w:eastAsia="Arial"/>
          <w:sz w:val="24"/>
          <w:szCs w:val="24"/>
        </w:rPr>
      </w:pPr>
      <w:r>
        <w:rPr>
          <w:rFonts w:eastAsia="Arial"/>
          <w:sz w:val="24"/>
          <w:szCs w:val="24"/>
        </w:rPr>
        <w:t>O movimento estudantil no Brasil tem uma longa trajetória marcada por lutas políticas e sociais que refletem as transformações do país em diferentes momentos históricos. Desde o início do século XX, nesse sentido, estudantes têm sido protagonistas em diversas mobilizações que transcendem as reivindicações estritamente acadêmicas, abrangendo temas mais amplos de democratização, direitos civis e justiça social.</w:t>
      </w:r>
    </w:p>
    <w:p w14:paraId="31F872A4">
      <w:pPr>
        <w:spacing w:line="360" w:lineRule="auto"/>
        <w:ind w:firstLine="720"/>
        <w:jc w:val="both"/>
        <w:rPr>
          <w:rFonts w:eastAsia="Arial"/>
          <w:sz w:val="24"/>
          <w:szCs w:val="24"/>
        </w:rPr>
      </w:pPr>
      <w:r>
        <w:rPr>
          <w:rFonts w:eastAsia="Arial"/>
          <w:sz w:val="24"/>
          <w:szCs w:val="24"/>
        </w:rPr>
        <w:t>Na década de 1930, exemplificando o pensamento de Habermas a respeito do espaço público e da importância de uma democracia deliberativa, o movimento estudantil participou ativamente da contestação ao Estado Novo de Getúlio Vargas, articulando-se com outras forças políticas em defesa da democracia e do Estado de Direito. Nesse contexto, a crescente politização levou os estudantes a se engajarem em organizações como a Juventude Comunista e a Juventude Integralista, fortalecendo o desejo de criar uma entidade única que os representasse na defesa do ensino, do patrimônio nacional e da justiça social, o que resultou na criação da maior entidade estudantil do Brasil: a União Nacional dos Estudantes (UNE) em 1937 (Steck, 2017). Conforme apontado por Dário Rocha (2005), durante o período ditatorial (1964–1985), os estudantes enfrentaram severa repressão, mas mantiveram sua resistência por meio de organizações clandestinas e manifestações públicas, como as icônicas passeatas de 1968, que ficaram conhecidas pela forte repressão policial na chamada “Passeata dos Cem Mil”. Segundo o autor:</w:t>
      </w:r>
    </w:p>
    <w:p w14:paraId="2352D313">
      <w:pPr>
        <w:spacing w:line="240" w:lineRule="auto"/>
        <w:ind w:left="2200"/>
        <w:jc w:val="both"/>
        <w:rPr>
          <w:rFonts w:eastAsia="Arial"/>
          <w:sz w:val="20"/>
          <w:szCs w:val="20"/>
        </w:rPr>
      </w:pPr>
      <w:r>
        <w:rPr>
          <w:rFonts w:eastAsia="Arial"/>
          <w:sz w:val="20"/>
          <w:szCs w:val="20"/>
        </w:rPr>
        <w:br w:type="textWrapping"/>
      </w:r>
      <w:r>
        <w:rPr>
          <w:rFonts w:eastAsia="Arial"/>
          <w:sz w:val="20"/>
          <w:szCs w:val="20"/>
        </w:rPr>
        <w:t>“Logo após a “derrota” em Ibiúna, e imediatamente, no ano de 1968, os principais líderes do M.E das últimas gestões tentaram uma “manobra” para novamente fazer renascer o ímpeto da UNE. Discutiam novas estratégias e novas composições de líderes para o engajamento na luta e resistência “militar” na clandestinidade (Rocha, 2005, p. 81).</w:t>
      </w:r>
    </w:p>
    <w:p w14:paraId="3B783D0B">
      <w:pPr>
        <w:spacing w:line="240" w:lineRule="auto"/>
        <w:ind w:left="2200"/>
        <w:jc w:val="both"/>
        <w:rPr>
          <w:rFonts w:eastAsia="Arial"/>
          <w:sz w:val="20"/>
          <w:szCs w:val="20"/>
        </w:rPr>
      </w:pPr>
    </w:p>
    <w:p w14:paraId="0ECAB13B">
      <w:pPr>
        <w:spacing w:line="360" w:lineRule="auto"/>
        <w:ind w:firstLine="720"/>
        <w:jc w:val="both"/>
        <w:rPr>
          <w:rFonts w:eastAsia="Arial"/>
          <w:sz w:val="24"/>
          <w:szCs w:val="24"/>
        </w:rPr>
      </w:pPr>
      <w:r>
        <w:rPr>
          <w:rFonts w:eastAsia="Arial"/>
          <w:sz w:val="24"/>
          <w:szCs w:val="24"/>
        </w:rPr>
        <w:t>O período ditatorial influenciava o movimento estudantil, que se via em uma situação de maior dificuldade, marcada pela forte repressão social – o que Habermas definiu como colonização do Sistema ao mundo da vida. Essa realidade influenciava os estudantes que, por sua vez, respondiam à repressão partindo para o enfrentamento direto. Em diversos momentos, portanto, os estudantes recorreram à luta armada adotada por alguns grupos. Diante desse cenário, a entidade viu-se obrigada a se reorganizar com urgência e a encontrar formas de continuar suas ações e mobilizações (Rocha, 2005). Ainda conforme Dário Rocha:</w:t>
      </w:r>
    </w:p>
    <w:p w14:paraId="76116EA6">
      <w:pPr>
        <w:tabs>
          <w:tab w:val="left" w:pos="1100"/>
          <w:tab w:val="left" w:pos="1980"/>
          <w:tab w:val="left" w:pos="2640"/>
        </w:tabs>
        <w:spacing w:line="240" w:lineRule="auto"/>
        <w:ind w:left="2200" w:leftChars="1000"/>
        <w:jc w:val="both"/>
        <w:rPr>
          <w:rFonts w:eastAsia="Arial"/>
          <w:sz w:val="20"/>
          <w:szCs w:val="20"/>
        </w:rPr>
      </w:pPr>
      <w:r>
        <w:rPr>
          <w:rFonts w:eastAsia="Arial"/>
          <w:sz w:val="20"/>
          <w:szCs w:val="20"/>
        </w:rPr>
        <w:br w:type="textWrapping"/>
      </w:r>
      <w:r>
        <w:rPr>
          <w:rFonts w:eastAsia="Arial"/>
          <w:sz w:val="20"/>
          <w:szCs w:val="20"/>
        </w:rPr>
        <w:t>A partir de 1968, a UNE enfrentaria o endurecimento do Governo Militar. A luta armada de alguns grupos foi usada pelos estudantes em vários momentos. A UNE tinha a necessidade emergencial de se reorganizar, buscar e criar condições de dar sequência às suas manifestações. A UNE foi buscar forças nos movimentos populares, principalmente, na classe trabalhadora (operária) tentando mostrar que suas reivindicações também eram as reivindicações da massa (Rocha, 2005, p. 80).</w:t>
      </w:r>
    </w:p>
    <w:p w14:paraId="0321E935">
      <w:pPr>
        <w:spacing w:line="360" w:lineRule="auto"/>
        <w:ind w:firstLine="720"/>
        <w:jc w:val="both"/>
        <w:rPr>
          <w:rFonts w:eastAsia="Arial"/>
          <w:sz w:val="24"/>
          <w:szCs w:val="24"/>
        </w:rPr>
      </w:pPr>
    </w:p>
    <w:p w14:paraId="325CBC26">
      <w:pPr>
        <w:spacing w:line="360" w:lineRule="auto"/>
        <w:ind w:firstLine="720"/>
        <w:jc w:val="both"/>
        <w:rPr>
          <w:rFonts w:hint="default" w:eastAsia="Arial"/>
          <w:sz w:val="24"/>
          <w:szCs w:val="24"/>
          <w:lang w:val="pt-BR"/>
        </w:rPr>
      </w:pPr>
      <w:r>
        <w:rPr>
          <w:rFonts w:eastAsia="Arial"/>
          <w:sz w:val="24"/>
          <w:szCs w:val="24"/>
        </w:rPr>
        <w:t>Nesse contexto, comprova-se, além do pensamento de Olson e Tilly no que diz respeito às estratégias de organização interna e às condições de existência, o envolvimento do movimento estudantil em pautas que transcendem a política educacional, assumindo protagonismo e importância nas transformações político-sociais ao longo de sua existência.</w:t>
      </w:r>
      <w:r>
        <w:rPr>
          <w:rFonts w:hint="default" w:eastAsia="Arial"/>
          <w:sz w:val="24"/>
          <w:szCs w:val="24"/>
          <w:lang w:val="pt-BR"/>
        </w:rPr>
        <w:t xml:space="preserve"> </w:t>
      </w:r>
    </w:p>
    <w:p w14:paraId="39D478BD">
      <w:pPr>
        <w:spacing w:line="360" w:lineRule="auto"/>
        <w:ind w:firstLine="720"/>
        <w:jc w:val="both"/>
        <w:rPr>
          <w:rFonts w:eastAsia="Arial"/>
          <w:sz w:val="24"/>
          <w:szCs w:val="24"/>
        </w:rPr>
      </w:pPr>
      <w:r>
        <w:rPr>
          <w:rFonts w:eastAsia="Arial"/>
          <w:sz w:val="24"/>
          <w:szCs w:val="24"/>
        </w:rPr>
        <w:t>Com a redemocratização, e a reconstituição do espaço público, o movimento estudantil reorganizou-se em torno da UNE, que retomou seu papel central na mobilização política, destacando-se por pautas como a ampliação do acesso à universidade pública, a defesa da educação como direito social e a participação nas decisões sobre o financiamento e a gestão das instituições educacionais. Nesse sentido, percebe-se o estabelecimento de uma</w:t>
      </w:r>
      <w:r>
        <w:rPr>
          <w:rFonts w:hint="default" w:eastAsia="Arial"/>
          <w:sz w:val="24"/>
          <w:szCs w:val="24"/>
          <w:lang w:val="pt-BR"/>
        </w:rPr>
        <w:t xml:space="preserve"> </w:t>
      </w:r>
      <w:r>
        <w:rPr>
          <w:rFonts w:eastAsia="Arial"/>
          <w:sz w:val="24"/>
          <w:szCs w:val="24"/>
        </w:rPr>
        <w:t>democracia participativa conforme o pensamento de Pateman, já que o movimento estudantil volta a ter uma participação ativa na luta pelos seus direitos. Durante os anos 2000, portanto, o movimento estudantil ampliou suas bases, incorporando demandas relacionadas a gênero, raça, inclusão social e direitos humanos, refletindo o pluralismo e a diversidade da juventude brasileira (UNE, 2011).</w:t>
      </w:r>
    </w:p>
    <w:p w14:paraId="2728B0A5">
      <w:pPr>
        <w:spacing w:line="360" w:lineRule="auto"/>
        <w:ind w:firstLine="720"/>
        <w:jc w:val="both"/>
        <w:rPr>
          <w:rFonts w:eastAsia="Arial"/>
          <w:sz w:val="24"/>
          <w:szCs w:val="24"/>
        </w:rPr>
      </w:pPr>
      <w:r>
        <w:rPr>
          <w:rFonts w:eastAsia="Arial"/>
          <w:sz w:val="24"/>
          <w:szCs w:val="24"/>
        </w:rPr>
        <w:t>Na última década, a atuação do movimento estudantil ganhou novo fôlego com o fenômeno das ocupações de escolas públicas em 2015 e 2016, inicialmente motivadas contra a reforma do Ensino Médio e cortes no orçamento da educação. Essas ocupações mobilizaram milhares de estudantes em centenas de municípios, tornando-se um símbolo da resistência jovem frente ao projeto político neoliberal que buscava desmonte do sistema educacional público (Leffa; Sousa, 2022). O protagonismo dessas mobilizações destacou o papel dos estudantes como agentes capazes de articular estratégias coletivas, utilizar as redes sociais para organização e comunicação e influenciar o debate público nacional.</w:t>
      </w:r>
    </w:p>
    <w:p w14:paraId="2285B85A">
      <w:pPr>
        <w:spacing w:line="240" w:lineRule="auto"/>
        <w:ind w:left="2200"/>
        <w:jc w:val="both"/>
        <w:rPr>
          <w:rFonts w:eastAsia="Arial"/>
          <w:sz w:val="20"/>
          <w:szCs w:val="20"/>
        </w:rPr>
      </w:pPr>
      <w:r>
        <w:rPr>
          <w:rFonts w:eastAsia="Arial"/>
          <w:sz w:val="20"/>
          <w:szCs w:val="20"/>
        </w:rPr>
        <w:br w:type="textWrapping"/>
      </w:r>
      <w:r>
        <w:rPr>
          <w:rFonts w:eastAsia="Arial"/>
          <w:sz w:val="20"/>
          <w:szCs w:val="20"/>
        </w:rPr>
        <w:t>“Com atitudes como essas, emerge no Brasil uma série de manifestações estudantis, afirmando uma revolta no país. Com a mobilização de várias escolas em diferentes estados, acompanhamos distintas pautas, a partir de problemas locais, que conjuntamente questionam a qualidade e o futuro da escola pública. Ao final de 2016, foram registradas mais de mil escolas ocupadas pelos secundaristas em diferentes estados brasileiros [...]” (Leffa; Sousa, 2022, p. 2).</w:t>
      </w:r>
    </w:p>
    <w:p w14:paraId="53A3508F">
      <w:pPr>
        <w:spacing w:line="360" w:lineRule="auto"/>
        <w:ind w:firstLine="720"/>
        <w:jc w:val="both"/>
        <w:rPr>
          <w:rFonts w:eastAsia="Arial"/>
          <w:sz w:val="24"/>
          <w:szCs w:val="24"/>
        </w:rPr>
      </w:pPr>
    </w:p>
    <w:p w14:paraId="7EFE0C5D">
      <w:pPr>
        <w:spacing w:line="360" w:lineRule="auto"/>
        <w:ind w:firstLine="720"/>
        <w:jc w:val="both"/>
        <w:rPr>
          <w:rFonts w:eastAsia="Arial"/>
          <w:sz w:val="24"/>
          <w:szCs w:val="24"/>
        </w:rPr>
      </w:pPr>
      <w:r>
        <w:rPr>
          <w:rFonts w:eastAsia="Arial"/>
          <w:sz w:val="24"/>
          <w:szCs w:val="24"/>
        </w:rPr>
        <w:t>Esse cenário remete ao pensamento de Tilly no que diz respeito aos repertórios de mobilização coletiva, já que se trata de protestos e ocupações que condicionam a existência do movimento estudantil no Brasil. Além disso, a organização desses atos recentes passa pela modernização que traz consigo inovações tecnológicas, que segundo Della Porta, servem como instrumentos de mobilização coletiva.</w:t>
      </w:r>
    </w:p>
    <w:p w14:paraId="732D4A69">
      <w:pPr>
        <w:spacing w:line="360" w:lineRule="auto"/>
        <w:ind w:firstLine="720"/>
        <w:jc w:val="both"/>
        <w:rPr>
          <w:rFonts w:eastAsia="Arial"/>
          <w:sz w:val="24"/>
          <w:szCs w:val="24"/>
        </w:rPr>
      </w:pPr>
      <w:r>
        <w:rPr>
          <w:rFonts w:eastAsia="Arial"/>
          <w:sz w:val="24"/>
          <w:szCs w:val="24"/>
        </w:rPr>
        <w:t>Entretanto, o contexto político atual tem se mostrado cada vez mais desafiador para o movimento estudantil, já que a colonização apontada por Habermas e a vigilância estatal apontada por Della Porta, mesmo após a redemocratização, permanecem em evidência. A criminalização das manifestações, por meio de políticas repressivas e retórica governamental, nesse sentido, tem gerado um ambiente hostil e dificultado a ação e a organização coletiva. Ao mesmo tempo, a polarização política, a disseminação de desinformação e as crises institucionais colocam em xeque a capacidade desses movimentos de dialogar com o Estado e alcançar avanços concretos em políticas educacionais. Tal realidade pode ser observada nas manifestações contra o projeto de lei que visava criar escolas cívico-militares em São Paulo no ano de 2024. Em específico, a manifestação ocorrida na Assembleia Legislativa de São Paulo (ALESP) exemplifica mais ainda este cenário, já que resultou na prisão de estudantes secundaristas (UNE, 2024).</w:t>
      </w:r>
    </w:p>
    <w:p w14:paraId="2B8C9D4D">
      <w:pPr>
        <w:spacing w:line="360" w:lineRule="auto"/>
        <w:ind w:firstLine="720"/>
        <w:jc w:val="both"/>
        <w:rPr>
          <w:rFonts w:eastAsia="Arial"/>
          <w:sz w:val="24"/>
          <w:szCs w:val="24"/>
        </w:rPr>
      </w:pPr>
      <w:r>
        <w:rPr>
          <w:rFonts w:eastAsia="Arial"/>
          <w:sz w:val="24"/>
          <w:szCs w:val="24"/>
        </w:rPr>
        <w:t>Diante desse cenário, apesar dessas dificuldades, o movimento estudantil continua sendo um espaço crucial para o exercício da cidadania juvenil e para a disputa por políticas públicas mais democráticas e inclusivas, demonstrando uma amplitude temática que dialoga com as principais problemáticas contemporâneas. A diversidade interna do movimento estudantil, composta por grupos ligados a diferentes correntes ideológicas, classes sociais, etnias e orientações políticas, reflete a complexidade do Brasil contemporâneo. Essa pluralidade é uma força, mas também um desafio para a construção de agendas comuns e a manutenção da unidade nas mobilizações.</w:t>
      </w:r>
    </w:p>
    <w:p w14:paraId="4C7B4FE4">
      <w:pPr>
        <w:spacing w:line="360" w:lineRule="auto"/>
        <w:ind w:firstLine="720"/>
        <w:jc w:val="both"/>
        <w:rPr>
          <w:rFonts w:eastAsia="Arial"/>
          <w:sz w:val="24"/>
          <w:szCs w:val="24"/>
        </w:rPr>
      </w:pPr>
      <w:r>
        <w:rPr>
          <w:rFonts w:eastAsia="Arial"/>
          <w:sz w:val="24"/>
          <w:szCs w:val="24"/>
        </w:rPr>
        <w:t>A análise histórica e atual do movimento estudantil brasileiros, dessa forma, revela não somente sua relevância como agente direto de participação, mas também os obstáculos e oportunidades que caracterizam sua atuação em um cenário marcado por profundas transformações sociais, políticas e econômicas. Essa análise também demonstra como as teorias políticas dos movimentos sociais se aplicam à trajetória histórica do movimento estudantil no Brasil, estando presente em toda a sua construção.</w:t>
      </w:r>
    </w:p>
    <w:p w14:paraId="31B4AB28">
      <w:pPr>
        <w:spacing w:line="360" w:lineRule="auto"/>
        <w:jc w:val="both"/>
        <w:rPr>
          <w:sz w:val="24"/>
          <w:szCs w:val="24"/>
        </w:rPr>
      </w:pPr>
    </w:p>
    <w:p w14:paraId="7B16E263">
      <w:pPr>
        <w:spacing w:line="360" w:lineRule="auto"/>
        <w:jc w:val="both"/>
        <w:rPr>
          <w:sz w:val="24"/>
          <w:szCs w:val="24"/>
        </w:rPr>
      </w:pPr>
    </w:p>
    <w:p w14:paraId="37F7ED65">
      <w:pPr>
        <w:numPr>
          <w:ilvl w:val="0"/>
          <w:numId w:val="1"/>
        </w:numPr>
        <w:spacing w:line="360" w:lineRule="auto"/>
        <w:jc w:val="both"/>
        <w:rPr>
          <w:b/>
          <w:sz w:val="24"/>
          <w:szCs w:val="24"/>
        </w:rPr>
      </w:pPr>
      <w:r>
        <w:rPr>
          <w:b/>
          <w:sz w:val="24"/>
          <w:szCs w:val="24"/>
        </w:rPr>
        <w:t>CONCLUSÃO</w:t>
      </w:r>
    </w:p>
    <w:p w14:paraId="3D5B1814">
      <w:pPr>
        <w:spacing w:line="360" w:lineRule="auto"/>
        <w:jc w:val="both"/>
        <w:rPr>
          <w:sz w:val="24"/>
          <w:szCs w:val="24"/>
        </w:rPr>
      </w:pPr>
    </w:p>
    <w:p w14:paraId="6AB78FAE">
      <w:pPr>
        <w:spacing w:line="360" w:lineRule="auto"/>
        <w:ind w:firstLine="720"/>
        <w:jc w:val="both"/>
        <w:rPr>
          <w:rFonts w:eastAsia="Arial"/>
          <w:sz w:val="24"/>
          <w:szCs w:val="24"/>
        </w:rPr>
      </w:pPr>
      <w:r>
        <w:rPr>
          <w:rFonts w:eastAsia="Arial"/>
          <w:sz w:val="24"/>
          <w:szCs w:val="24"/>
        </w:rPr>
        <w:t>A análise do movimento estudantil no Brasil, sob a perspectiva da teoria política e por meio da análise realizada ao decorrer deste estudo, revela a importância desse movimento na dinâmica democrática do país, sendo fundamental no campo das políticas educacionais e sociais. O movimento estudantil configura-se como um espaço de participação política direta, onde estudantes reivindicam seus direitos e exercitam formas ampliadas de cidadania, desafiando as limitações da democracia representativa tradicional e protagonizando o espaço público democrático. Autores clássicos e contemporâneos da teoria política, como Carole Pateman, Jürgen Habermas, Mancur Olson e Donatella Della Porta, oferecem ferramentas conceituais que evidenciam tanto as potencialidades quanto os desafios inerentes à ação coletiva desse movimento.</w:t>
      </w:r>
    </w:p>
    <w:p w14:paraId="1F0FECF1">
      <w:pPr>
        <w:spacing w:line="360" w:lineRule="auto"/>
        <w:ind w:firstLine="720"/>
        <w:jc w:val="both"/>
        <w:rPr>
          <w:rFonts w:eastAsia="Arial"/>
          <w:sz w:val="24"/>
          <w:szCs w:val="24"/>
        </w:rPr>
      </w:pPr>
      <w:r>
        <w:rPr>
          <w:rFonts w:eastAsia="Arial"/>
          <w:sz w:val="24"/>
          <w:szCs w:val="24"/>
        </w:rPr>
        <w:t>Historicamente, os estudantes brasileiros têm sido protagonistas de importantes lutas que marcaram a trajetória política nacional, mostrando comprometimento e resistência mesmo frente à repressão e adversidades estruturais. As mobilizações recentes, como as ocupações escolares e os protestos contra cortes orçamentários, mostram a capacidade de organização, inovação estratégica e articulação em múltiplas frentes que caracterizam a organização coletiva desses estudantes. Esta análise, nessa perspectiva, revela o compromisso firme com a democratização da educação e a justiça social por parte do movimento estudantil, ainda que esses esforços se encontrem frequentemente diante de resistências institucionais e políticas, como a criminalização da luta social e a deslegitimação por setores conservadores.</w:t>
      </w:r>
    </w:p>
    <w:p w14:paraId="41018E27">
      <w:pPr>
        <w:spacing w:line="360" w:lineRule="auto"/>
        <w:ind w:firstLine="720"/>
        <w:jc w:val="both"/>
        <w:rPr>
          <w:rFonts w:eastAsia="Arial"/>
          <w:sz w:val="24"/>
          <w:szCs w:val="24"/>
        </w:rPr>
      </w:pPr>
      <w:r>
        <w:rPr>
          <w:rFonts w:eastAsia="Arial"/>
          <w:sz w:val="24"/>
          <w:szCs w:val="24"/>
        </w:rPr>
        <w:t>Essas tensões expressam o caráter contraditório das democracias contemporâneas, onde a expansão dos espaços de participação cidadã coexistem com medidas restritivas e disputas hegemônicas. Diante disso, percebe-se que, embora os estudantes tenham alcançado avanços significativos na visibilidade de suas demandas e no engajamento político, a efetivação de políticas educacionais mais inclusivas e democráticas permanece sendo um desafio constante, influenciado por conjunturas políticas adversas e por limitações estruturais do Estado brasileiro.</w:t>
      </w:r>
    </w:p>
    <w:p w14:paraId="73B73546">
      <w:pPr>
        <w:spacing w:line="360" w:lineRule="auto"/>
        <w:ind w:firstLine="720"/>
        <w:jc w:val="both"/>
        <w:rPr>
          <w:rFonts w:eastAsia="Arial"/>
          <w:sz w:val="24"/>
          <w:szCs w:val="24"/>
        </w:rPr>
      </w:pPr>
      <w:r>
        <w:rPr>
          <w:rFonts w:eastAsia="Arial"/>
          <w:sz w:val="24"/>
          <w:szCs w:val="24"/>
        </w:rPr>
        <w:t>Portanto, o entendimento do movimento estudantil brasileiro por meio da teoria política não apenas enriquece a compreensão sobre as formas contemporâneas de participação e mobilização social, mas também sinaliza a necessidade de fortalecer os mecanismos democráticos para garantir que os estudantes possam, de forma efetiva, contribuir ativamente para a construção de uma educação pública de qualidade e para a consolidação de uma democracia mais justa e, de fato, participativa. O desafio para o futuro está em reconhecer e legitimar essas expressões coletivas como fatores essenciais da política brasileira, superando os obstáculos que limitam seu potencial transformador e abrindo espaço para um debate público mais amplo, inclusivo e democrático.</w:t>
      </w:r>
    </w:p>
    <w:p w14:paraId="5683A6BB">
      <w:pPr>
        <w:spacing w:line="360" w:lineRule="auto"/>
        <w:jc w:val="both"/>
        <w:rPr>
          <w:b/>
          <w:sz w:val="24"/>
          <w:szCs w:val="24"/>
        </w:rPr>
      </w:pPr>
    </w:p>
    <w:p w14:paraId="13A027C8">
      <w:pPr>
        <w:spacing w:line="360" w:lineRule="auto"/>
        <w:jc w:val="center"/>
        <w:rPr>
          <w:b/>
          <w:sz w:val="24"/>
          <w:szCs w:val="24"/>
        </w:rPr>
      </w:pPr>
      <w:r>
        <w:rPr>
          <w:b/>
          <w:sz w:val="24"/>
          <w:szCs w:val="24"/>
        </w:rPr>
        <w:t>REFERÊNCIAS</w:t>
      </w:r>
    </w:p>
    <w:p w14:paraId="0222E0F4">
      <w:pPr>
        <w:spacing w:line="240" w:lineRule="auto"/>
        <w:jc w:val="both"/>
        <w:rPr>
          <w:sz w:val="24"/>
          <w:szCs w:val="24"/>
        </w:rPr>
      </w:pPr>
    </w:p>
    <w:p w14:paraId="0F1C9416">
      <w:pPr>
        <w:pStyle w:val="14"/>
        <w:jc w:val="both"/>
        <w:rPr>
          <w:sz w:val="24"/>
          <w:szCs w:val="36"/>
        </w:rPr>
      </w:pPr>
      <w:r>
        <w:rPr>
          <w:rStyle w:val="10"/>
          <w:b w:val="0"/>
          <w:bCs w:val="0"/>
          <w:sz w:val="24"/>
          <w:szCs w:val="36"/>
        </w:rPr>
        <w:t>BLUME, Bruno.</w:t>
      </w:r>
      <w:r>
        <w:rPr>
          <w:sz w:val="24"/>
          <w:szCs w:val="36"/>
        </w:rPr>
        <w:t xml:space="preserve"> </w:t>
      </w:r>
      <w:r>
        <w:rPr>
          <w:b/>
          <w:bCs/>
          <w:sz w:val="24"/>
          <w:szCs w:val="36"/>
        </w:rPr>
        <w:t>Ocupações de escolas: entenda.</w:t>
      </w:r>
      <w:r>
        <w:rPr>
          <w:sz w:val="24"/>
          <w:szCs w:val="36"/>
        </w:rPr>
        <w:t xml:space="preserve"> </w:t>
      </w:r>
      <w:r>
        <w:rPr>
          <w:rStyle w:val="11"/>
          <w:i w:val="0"/>
          <w:iCs w:val="0"/>
          <w:sz w:val="24"/>
          <w:szCs w:val="36"/>
        </w:rPr>
        <w:t>Politize!</w:t>
      </w:r>
      <w:r>
        <w:rPr>
          <w:sz w:val="24"/>
          <w:szCs w:val="36"/>
        </w:rPr>
        <w:t xml:space="preserve">, 3 nov. 2016. Disponível em: </w:t>
      </w:r>
      <w:r>
        <w:rPr>
          <w:sz w:val="24"/>
          <w:szCs w:val="36"/>
        </w:rPr>
        <w:fldChar w:fldCharType="begin"/>
      </w:r>
      <w:r>
        <w:rPr>
          <w:sz w:val="24"/>
          <w:szCs w:val="36"/>
        </w:rPr>
        <w:instrText xml:space="preserve"> HYPERLINK "https://www.politize.com.br/ocupacoes-de-escolas-entenda/" \t "C:\\Users\\ANDREW~1\\AppData\\Local\\Temp\\_new" </w:instrText>
      </w:r>
      <w:r>
        <w:rPr>
          <w:sz w:val="24"/>
          <w:szCs w:val="36"/>
        </w:rPr>
        <w:fldChar w:fldCharType="separate"/>
      </w:r>
      <w:r>
        <w:rPr>
          <w:rStyle w:val="12"/>
          <w:sz w:val="24"/>
          <w:szCs w:val="36"/>
        </w:rPr>
        <w:t>https://www.politize.com.br/ocupacoes-de-escolas-entenda/</w:t>
      </w:r>
      <w:r>
        <w:rPr>
          <w:sz w:val="24"/>
          <w:szCs w:val="36"/>
        </w:rPr>
        <w:fldChar w:fldCharType="end"/>
      </w:r>
      <w:r>
        <w:rPr>
          <w:sz w:val="24"/>
          <w:szCs w:val="36"/>
        </w:rPr>
        <w:t>. Acesso em: 9 jun. 2025.</w:t>
      </w:r>
    </w:p>
    <w:p w14:paraId="5669C03F">
      <w:pPr>
        <w:pStyle w:val="14"/>
        <w:jc w:val="both"/>
        <w:rPr>
          <w:sz w:val="24"/>
          <w:szCs w:val="36"/>
        </w:rPr>
      </w:pPr>
      <w:r>
        <w:rPr>
          <w:rStyle w:val="10"/>
          <w:b w:val="0"/>
          <w:bCs w:val="0"/>
          <w:sz w:val="24"/>
          <w:szCs w:val="36"/>
        </w:rPr>
        <w:t>DELLA PORTA, Donatella.</w:t>
      </w:r>
      <w:r>
        <w:rPr>
          <w:sz w:val="24"/>
          <w:szCs w:val="36"/>
        </w:rPr>
        <w:t xml:space="preserve"> </w:t>
      </w:r>
      <w:r>
        <w:rPr>
          <w:b/>
          <w:bCs/>
          <w:sz w:val="24"/>
          <w:szCs w:val="36"/>
        </w:rPr>
        <w:t xml:space="preserve">The Global Justice Movement: </w:t>
      </w:r>
      <w:r>
        <w:rPr>
          <w:b/>
          <w:bCs/>
          <w:sz w:val="24"/>
          <w:szCs w:val="36"/>
          <w:lang w:val="pt-BR"/>
        </w:rPr>
        <w:t>an</w:t>
      </w:r>
      <w:r>
        <w:rPr>
          <w:b/>
          <w:bCs/>
          <w:sz w:val="24"/>
          <w:szCs w:val="36"/>
        </w:rPr>
        <w:t xml:space="preserve"> introduction. </w:t>
      </w:r>
      <w:r>
        <w:rPr>
          <w:sz w:val="24"/>
          <w:szCs w:val="36"/>
        </w:rPr>
        <w:t xml:space="preserve">In: DELLA PORTA, Donatella et al. (Org.). </w:t>
      </w:r>
      <w:r>
        <w:rPr>
          <w:rStyle w:val="11"/>
          <w:i w:val="0"/>
          <w:iCs w:val="0"/>
          <w:sz w:val="24"/>
          <w:szCs w:val="36"/>
        </w:rPr>
        <w:t>The Global Justice Movement: cross national and transnational perspectives</w:t>
      </w:r>
      <w:r>
        <w:rPr>
          <w:sz w:val="24"/>
          <w:szCs w:val="36"/>
        </w:rPr>
        <w:t>. Londres: Routledge, 2007.</w:t>
      </w:r>
    </w:p>
    <w:p w14:paraId="320120D5">
      <w:pPr>
        <w:pStyle w:val="14"/>
        <w:jc w:val="both"/>
        <w:rPr>
          <w:sz w:val="24"/>
          <w:szCs w:val="36"/>
        </w:rPr>
      </w:pPr>
      <w:r>
        <w:rPr>
          <w:rStyle w:val="10"/>
          <w:b w:val="0"/>
          <w:bCs w:val="0"/>
          <w:sz w:val="24"/>
          <w:szCs w:val="36"/>
        </w:rPr>
        <w:t>HABERMAS, Jürgen.</w:t>
      </w:r>
      <w:r>
        <w:rPr>
          <w:sz w:val="24"/>
          <w:szCs w:val="36"/>
        </w:rPr>
        <w:t xml:space="preserve"> </w:t>
      </w:r>
      <w:r>
        <w:rPr>
          <w:rStyle w:val="11"/>
          <w:b/>
          <w:bCs/>
          <w:i w:val="0"/>
          <w:iCs w:val="0"/>
          <w:sz w:val="24"/>
          <w:szCs w:val="36"/>
        </w:rPr>
        <w:t>Mudança estrutural da esfera pública: investigações quanto a uma categoria da sociedade burguesa</w:t>
      </w:r>
      <w:r>
        <w:rPr>
          <w:b/>
          <w:bCs/>
          <w:sz w:val="24"/>
          <w:szCs w:val="36"/>
        </w:rPr>
        <w:t>.</w:t>
      </w:r>
      <w:r>
        <w:rPr>
          <w:sz w:val="24"/>
          <w:szCs w:val="36"/>
        </w:rPr>
        <w:t xml:space="preserve"> São Paulo: Editora UNESP, 2014.</w:t>
      </w:r>
    </w:p>
    <w:p w14:paraId="70554D17">
      <w:pPr>
        <w:pStyle w:val="14"/>
        <w:jc w:val="both"/>
        <w:rPr>
          <w:sz w:val="24"/>
          <w:szCs w:val="36"/>
        </w:rPr>
      </w:pPr>
      <w:r>
        <w:rPr>
          <w:rStyle w:val="10"/>
          <w:b w:val="0"/>
          <w:bCs w:val="0"/>
          <w:sz w:val="24"/>
          <w:szCs w:val="36"/>
        </w:rPr>
        <w:t>LEFFA, Lisiane; SOUSA, Edson.</w:t>
      </w:r>
      <w:r>
        <w:rPr>
          <w:sz w:val="24"/>
          <w:szCs w:val="36"/>
        </w:rPr>
        <w:t xml:space="preserve"> </w:t>
      </w:r>
      <w:r>
        <w:rPr>
          <w:b/>
          <w:bCs/>
          <w:sz w:val="24"/>
          <w:szCs w:val="36"/>
        </w:rPr>
        <w:t>As ocupações das escolas e suas formas inéditas de revolta.</w:t>
      </w:r>
      <w:r>
        <w:rPr>
          <w:sz w:val="24"/>
          <w:szCs w:val="36"/>
        </w:rPr>
        <w:t xml:space="preserve"> </w:t>
      </w:r>
      <w:r>
        <w:rPr>
          <w:rStyle w:val="11"/>
          <w:i w:val="0"/>
          <w:iCs w:val="0"/>
          <w:sz w:val="24"/>
          <w:szCs w:val="36"/>
        </w:rPr>
        <w:t>Psicologia USP</w:t>
      </w:r>
      <w:r>
        <w:rPr>
          <w:sz w:val="24"/>
          <w:szCs w:val="36"/>
        </w:rPr>
        <w:t>, São Paulo, v. 33, 2022.</w:t>
      </w:r>
    </w:p>
    <w:p w14:paraId="137B50A9">
      <w:pPr>
        <w:pStyle w:val="14"/>
        <w:jc w:val="both"/>
        <w:rPr>
          <w:sz w:val="24"/>
          <w:szCs w:val="36"/>
        </w:rPr>
      </w:pPr>
      <w:r>
        <w:rPr>
          <w:rStyle w:val="10"/>
          <w:b w:val="0"/>
          <w:bCs w:val="0"/>
          <w:sz w:val="24"/>
          <w:szCs w:val="36"/>
        </w:rPr>
        <w:t>OLSON, Mancur.</w:t>
      </w:r>
      <w:r>
        <w:rPr>
          <w:sz w:val="24"/>
          <w:szCs w:val="36"/>
        </w:rPr>
        <w:t xml:space="preserve"> </w:t>
      </w:r>
      <w:r>
        <w:rPr>
          <w:rStyle w:val="11"/>
          <w:b/>
          <w:bCs/>
          <w:i w:val="0"/>
          <w:iCs w:val="0"/>
          <w:sz w:val="24"/>
          <w:szCs w:val="36"/>
        </w:rPr>
        <w:t>A lógica da ação coletiva</w:t>
      </w:r>
      <w:r>
        <w:rPr>
          <w:b/>
          <w:bCs/>
          <w:sz w:val="24"/>
          <w:szCs w:val="36"/>
        </w:rPr>
        <w:t>.</w:t>
      </w:r>
      <w:r>
        <w:rPr>
          <w:sz w:val="24"/>
          <w:szCs w:val="36"/>
        </w:rPr>
        <w:t xml:space="preserve"> São Paulo: Editora da Universidade de São Paulo, 1999. p. 17–64.</w:t>
      </w:r>
    </w:p>
    <w:p w14:paraId="7CD22D0C">
      <w:pPr>
        <w:pStyle w:val="14"/>
        <w:jc w:val="both"/>
        <w:rPr>
          <w:sz w:val="24"/>
          <w:szCs w:val="36"/>
        </w:rPr>
      </w:pPr>
      <w:r>
        <w:rPr>
          <w:rStyle w:val="10"/>
          <w:b w:val="0"/>
          <w:bCs w:val="0"/>
          <w:sz w:val="24"/>
          <w:szCs w:val="36"/>
        </w:rPr>
        <w:t>PATEMAN, Carole.</w:t>
      </w:r>
      <w:r>
        <w:rPr>
          <w:sz w:val="24"/>
          <w:szCs w:val="36"/>
        </w:rPr>
        <w:t xml:space="preserve"> </w:t>
      </w:r>
      <w:r>
        <w:rPr>
          <w:rStyle w:val="11"/>
          <w:b/>
          <w:bCs/>
          <w:i w:val="0"/>
          <w:iCs w:val="0"/>
          <w:sz w:val="24"/>
          <w:szCs w:val="36"/>
        </w:rPr>
        <w:t>Participação e teoria democrática</w:t>
      </w:r>
      <w:r>
        <w:rPr>
          <w:b/>
          <w:bCs/>
          <w:sz w:val="24"/>
          <w:szCs w:val="36"/>
        </w:rPr>
        <w:t>.</w:t>
      </w:r>
      <w:r>
        <w:rPr>
          <w:sz w:val="24"/>
          <w:szCs w:val="36"/>
        </w:rPr>
        <w:t xml:space="preserve"> Rio de Janeiro: Paz e Terra, 1992.</w:t>
      </w:r>
    </w:p>
    <w:p w14:paraId="26171468">
      <w:pPr>
        <w:pStyle w:val="14"/>
        <w:jc w:val="both"/>
        <w:rPr>
          <w:sz w:val="24"/>
          <w:szCs w:val="36"/>
        </w:rPr>
      </w:pPr>
      <w:r>
        <w:rPr>
          <w:rStyle w:val="10"/>
          <w:b w:val="0"/>
          <w:bCs w:val="0"/>
          <w:sz w:val="24"/>
          <w:szCs w:val="36"/>
        </w:rPr>
        <w:t>ROCHA, Dário do Carmo.</w:t>
      </w:r>
      <w:r>
        <w:rPr>
          <w:sz w:val="24"/>
          <w:szCs w:val="36"/>
        </w:rPr>
        <w:t xml:space="preserve"> </w:t>
      </w:r>
      <w:r>
        <w:rPr>
          <w:rStyle w:val="11"/>
          <w:b/>
          <w:bCs/>
          <w:i w:val="0"/>
          <w:iCs w:val="0"/>
          <w:sz w:val="24"/>
          <w:szCs w:val="36"/>
        </w:rPr>
        <w:t>A UNE e a reforma universitária: as motivações históricas e a luta dos estudantes por um projeto de universidade nos anos 60</w:t>
      </w:r>
      <w:r>
        <w:rPr>
          <w:b/>
          <w:bCs/>
          <w:sz w:val="24"/>
          <w:szCs w:val="36"/>
        </w:rPr>
        <w:t>.</w:t>
      </w:r>
      <w:r>
        <w:rPr>
          <w:sz w:val="24"/>
          <w:szCs w:val="36"/>
        </w:rPr>
        <w:t xml:space="preserve"> 2005. Dissertação (Mestrado em Educação) – Universidade Estadual de Maringá, Maringá, 2005.</w:t>
      </w:r>
    </w:p>
    <w:p w14:paraId="5E769499">
      <w:pPr>
        <w:pStyle w:val="14"/>
        <w:jc w:val="both"/>
        <w:rPr>
          <w:sz w:val="24"/>
          <w:szCs w:val="36"/>
        </w:rPr>
      </w:pPr>
      <w:r>
        <w:rPr>
          <w:rStyle w:val="10"/>
          <w:b w:val="0"/>
          <w:bCs w:val="0"/>
          <w:sz w:val="24"/>
          <w:szCs w:val="36"/>
        </w:rPr>
        <w:t>STECK, Juliana Monteiro.</w:t>
      </w:r>
      <w:r>
        <w:rPr>
          <w:sz w:val="24"/>
          <w:szCs w:val="36"/>
        </w:rPr>
        <w:t xml:space="preserve"> </w:t>
      </w:r>
      <w:r>
        <w:rPr>
          <w:b/>
          <w:bCs/>
          <w:sz w:val="24"/>
          <w:szCs w:val="36"/>
        </w:rPr>
        <w:t xml:space="preserve">Há 80 anos, União Nacional dos Estudantes faz história no país. </w:t>
      </w:r>
      <w:r>
        <w:rPr>
          <w:rStyle w:val="11"/>
          <w:i w:val="0"/>
          <w:iCs w:val="0"/>
          <w:sz w:val="24"/>
          <w:szCs w:val="36"/>
        </w:rPr>
        <w:t>Agência Senado</w:t>
      </w:r>
      <w:r>
        <w:rPr>
          <w:sz w:val="24"/>
          <w:szCs w:val="36"/>
        </w:rPr>
        <w:t xml:space="preserve">, Senado Notícias, 2017. Disponível em: </w:t>
      </w:r>
      <w:r>
        <w:rPr>
          <w:sz w:val="24"/>
          <w:szCs w:val="36"/>
        </w:rPr>
        <w:fldChar w:fldCharType="begin"/>
      </w:r>
      <w:r>
        <w:rPr>
          <w:sz w:val="24"/>
          <w:szCs w:val="36"/>
        </w:rPr>
        <w:instrText xml:space="preserve"> HYPERLINK "https://www12.senado.leg.br/noticias/especiais/arquivo-s/ha-80-anos-uniao-nacional-dos-estudantes-faz-historia-no-pais" \t "C:\\Users\\ANDREW~1\\AppData\\Local\\Temp\\_new" </w:instrText>
      </w:r>
      <w:r>
        <w:rPr>
          <w:sz w:val="24"/>
          <w:szCs w:val="36"/>
        </w:rPr>
        <w:fldChar w:fldCharType="separate"/>
      </w:r>
      <w:r>
        <w:rPr>
          <w:rStyle w:val="12"/>
          <w:sz w:val="24"/>
          <w:szCs w:val="36"/>
        </w:rPr>
        <w:t>https://www12.senado.leg.br/noticias/especiais/arquivo-s/ha-80-anos-uniao-nacional-dos-estudantes-faz-historia-no-pais</w:t>
      </w:r>
      <w:r>
        <w:rPr>
          <w:sz w:val="24"/>
          <w:szCs w:val="36"/>
        </w:rPr>
        <w:fldChar w:fldCharType="end"/>
      </w:r>
      <w:r>
        <w:rPr>
          <w:sz w:val="24"/>
          <w:szCs w:val="36"/>
        </w:rPr>
        <w:t>. Acesso em: 9 jun. 2025.</w:t>
      </w:r>
    </w:p>
    <w:p w14:paraId="062FA1FA">
      <w:pPr>
        <w:pStyle w:val="14"/>
        <w:jc w:val="both"/>
        <w:rPr>
          <w:sz w:val="24"/>
          <w:szCs w:val="36"/>
        </w:rPr>
      </w:pPr>
      <w:r>
        <w:rPr>
          <w:rStyle w:val="10"/>
          <w:b w:val="0"/>
          <w:bCs w:val="0"/>
          <w:sz w:val="24"/>
          <w:szCs w:val="36"/>
        </w:rPr>
        <w:t>TILLY, Charles.</w:t>
      </w:r>
      <w:r>
        <w:rPr>
          <w:sz w:val="24"/>
          <w:szCs w:val="36"/>
        </w:rPr>
        <w:t xml:space="preserve"> </w:t>
      </w:r>
      <w:r>
        <w:rPr>
          <w:rStyle w:val="11"/>
          <w:b/>
          <w:bCs/>
          <w:i w:val="0"/>
          <w:iCs w:val="0"/>
          <w:sz w:val="24"/>
          <w:szCs w:val="36"/>
        </w:rPr>
        <w:t>From mobilization to revolution</w:t>
      </w:r>
      <w:r>
        <w:rPr>
          <w:b/>
          <w:bCs/>
          <w:sz w:val="24"/>
          <w:szCs w:val="36"/>
        </w:rPr>
        <w:t>.</w:t>
      </w:r>
      <w:r>
        <w:rPr>
          <w:sz w:val="24"/>
          <w:szCs w:val="36"/>
        </w:rPr>
        <w:t xml:space="preserve"> N</w:t>
      </w:r>
      <w:r>
        <w:rPr>
          <w:sz w:val="24"/>
          <w:szCs w:val="36"/>
          <w:lang w:val="pt-BR"/>
        </w:rPr>
        <w:t>ew York</w:t>
      </w:r>
      <w:r>
        <w:rPr>
          <w:sz w:val="24"/>
          <w:szCs w:val="36"/>
        </w:rPr>
        <w:t>: Random House, 1978.</w:t>
      </w:r>
    </w:p>
    <w:p w14:paraId="6C65B8FA">
      <w:pPr>
        <w:pStyle w:val="14"/>
        <w:jc w:val="both"/>
        <w:rPr>
          <w:sz w:val="24"/>
          <w:szCs w:val="36"/>
        </w:rPr>
      </w:pPr>
      <w:r>
        <w:rPr>
          <w:rStyle w:val="10"/>
          <w:b w:val="0"/>
          <w:bCs w:val="0"/>
          <w:sz w:val="24"/>
          <w:szCs w:val="36"/>
        </w:rPr>
        <w:t>UNIÃO NACIONAL DOS ESTUDANTES (UNE).</w:t>
      </w:r>
      <w:r>
        <w:rPr>
          <w:sz w:val="24"/>
          <w:szCs w:val="36"/>
        </w:rPr>
        <w:t xml:space="preserve"> </w:t>
      </w:r>
      <w:r>
        <w:rPr>
          <w:b/>
          <w:bCs/>
          <w:sz w:val="24"/>
          <w:szCs w:val="36"/>
        </w:rPr>
        <w:t xml:space="preserve">História da UNE. </w:t>
      </w:r>
      <w:r>
        <w:rPr>
          <w:rStyle w:val="11"/>
          <w:i w:val="0"/>
          <w:iCs w:val="0"/>
          <w:sz w:val="24"/>
          <w:szCs w:val="36"/>
        </w:rPr>
        <w:t>Blog da UNE</w:t>
      </w:r>
      <w:r>
        <w:rPr>
          <w:sz w:val="24"/>
          <w:szCs w:val="36"/>
        </w:rPr>
        <w:t xml:space="preserve">, 2011. Disponível em: </w:t>
      </w:r>
      <w:r>
        <w:fldChar w:fldCharType="begin"/>
      </w:r>
      <w:r>
        <w:instrText xml:space="preserve"> HYPERLINK "https://www.une.org.br/2011/09/historia-da-une/" \t "C:\Users\ANDREW~1\AppData\Local\Temp\_new" </w:instrText>
      </w:r>
      <w:r>
        <w:fldChar w:fldCharType="separate"/>
      </w:r>
      <w:r>
        <w:rPr>
          <w:rStyle w:val="12"/>
          <w:sz w:val="24"/>
          <w:szCs w:val="36"/>
        </w:rPr>
        <w:t>https://www.une.org.br/2011/09/historia-da-une/</w:t>
      </w:r>
      <w:r>
        <w:rPr>
          <w:rStyle w:val="12"/>
          <w:sz w:val="24"/>
          <w:szCs w:val="36"/>
        </w:rPr>
        <w:fldChar w:fldCharType="end"/>
      </w:r>
      <w:r>
        <w:rPr>
          <w:sz w:val="24"/>
          <w:szCs w:val="36"/>
        </w:rPr>
        <w:t>. Acesso em: 9 jun. 2025.</w:t>
      </w:r>
    </w:p>
    <w:p w14:paraId="74C5A1BD">
      <w:pPr>
        <w:pStyle w:val="14"/>
        <w:jc w:val="both"/>
        <w:rPr>
          <w:rFonts w:eastAsia="Calibri"/>
          <w:sz w:val="24"/>
          <w:szCs w:val="24"/>
        </w:rPr>
      </w:pPr>
      <w:r>
        <w:rPr>
          <w:rStyle w:val="10"/>
          <w:b w:val="0"/>
          <w:bCs w:val="0"/>
          <w:sz w:val="24"/>
          <w:szCs w:val="36"/>
        </w:rPr>
        <w:t>UNIÃO NACIONAL DOS ESTUDANTES (UNE).</w:t>
      </w:r>
      <w:r>
        <w:rPr>
          <w:sz w:val="24"/>
          <w:szCs w:val="36"/>
        </w:rPr>
        <w:t xml:space="preserve"> </w:t>
      </w:r>
      <w:r>
        <w:rPr>
          <w:b/>
          <w:bCs/>
          <w:sz w:val="24"/>
          <w:szCs w:val="36"/>
        </w:rPr>
        <w:t>Manifesto das entidades estudantis contra a criminalização do movimento estudantil.</w:t>
      </w:r>
      <w:r>
        <w:rPr>
          <w:sz w:val="24"/>
          <w:szCs w:val="36"/>
        </w:rPr>
        <w:t xml:space="preserve"> </w:t>
      </w:r>
      <w:r>
        <w:rPr>
          <w:rStyle w:val="11"/>
          <w:i w:val="0"/>
          <w:iCs w:val="0"/>
          <w:sz w:val="24"/>
          <w:szCs w:val="36"/>
        </w:rPr>
        <w:t>Blog da UNE</w:t>
      </w:r>
      <w:r>
        <w:rPr>
          <w:sz w:val="24"/>
          <w:szCs w:val="36"/>
        </w:rPr>
        <w:t xml:space="preserve">, 2024. Disponível em: </w:t>
      </w:r>
      <w:r>
        <w:fldChar w:fldCharType="begin"/>
      </w:r>
      <w:r>
        <w:instrText xml:space="preserve"> HYPERLINK "https://www.une.org.br/noticias/manifesto-das-entidades-estudantis-contra-a-criminalizacao-do-me" \t "C:\Users\ANDREW~1\AppData\Local\Temp\_new" </w:instrText>
      </w:r>
      <w:r>
        <w:fldChar w:fldCharType="separate"/>
      </w:r>
      <w:r>
        <w:rPr>
          <w:rStyle w:val="12"/>
          <w:sz w:val="24"/>
          <w:szCs w:val="36"/>
        </w:rPr>
        <w:t>https://www.une.org.br/noticias/manifesto-das-entidades-estudantis-contra-a-criminalizacao-do-me</w:t>
      </w:r>
      <w:r>
        <w:rPr>
          <w:rStyle w:val="12"/>
          <w:sz w:val="24"/>
          <w:szCs w:val="36"/>
        </w:rPr>
        <w:fldChar w:fldCharType="end"/>
      </w:r>
      <w:r>
        <w:rPr>
          <w:sz w:val="24"/>
          <w:szCs w:val="36"/>
        </w:rPr>
        <w:t>. Acesso em: 9 jun. 2025.</w:t>
      </w:r>
      <w:bookmarkStart w:id="1" w:name="_GoBack"/>
      <w:bookmarkEnd w:id="1"/>
    </w:p>
    <w:sectPr>
      <w:headerReference r:id="rId5" w:type="default"/>
      <w:pgSz w:w="11909" w:h="16834"/>
      <w:pgMar w:top="1701" w:right="1134" w:bottom="1134" w:left="1701" w:header="3401" w:footer="720" w:gutter="0"/>
      <w:pgNumType w:start="1"/>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BD810">
    <w:r>
      <w:drawing>
        <wp:anchor distT="114300" distB="114300" distL="114300" distR="11430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10795" b="127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a:stretch>
                    <a:fillRect/>
                  </a:stretch>
                </pic:blipFill>
                <pic:spPr>
                  <a:xfrm>
                    <a:off x="0" y="0"/>
                    <a:ext cx="7563485" cy="107276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BAA32C"/>
    <w:multiLevelType w:val="singleLevel"/>
    <w:tmpl w:val="7EBAA32C"/>
    <w:lvl w:ilvl="0" w:tentative="0">
      <w:start w:val="2"/>
      <w:numFmt w:val="decimal"/>
      <w:lvlText w:val="%1"/>
      <w:lvlJc w:val="left"/>
      <w:rPr>
        <w:rFonts w:hint="default" w:ascii="Arial" w:hAnsi="Arial" w:cs="Arial"/>
        <w:sz w:val="24"/>
        <w:szCs w:val="24"/>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hyphenationZone w:val="425"/>
  <w:noPunctuationKerning w:val="1"/>
  <w:characterSpacingControl w:val="doNotCompress"/>
  <w:footnotePr>
    <w:footnote w:id="0"/>
    <w:footnote w:id="1"/>
  </w:footnotePr>
  <w:endnotePr>
    <w:endnote w:id="0"/>
    <w:endnote w:id="1"/>
  </w:endnotePr>
  <w:compat>
    <w:balanceSingleByteDoubleByteWidth/>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348"/>
    <w:rsid w:val="00023034"/>
    <w:rsid w:val="00030F89"/>
    <w:rsid w:val="000A3BAF"/>
    <w:rsid w:val="00131A96"/>
    <w:rsid w:val="00213AB6"/>
    <w:rsid w:val="00292980"/>
    <w:rsid w:val="00294E3E"/>
    <w:rsid w:val="002B1DAE"/>
    <w:rsid w:val="002B2036"/>
    <w:rsid w:val="002B22E3"/>
    <w:rsid w:val="003B741A"/>
    <w:rsid w:val="003F00AF"/>
    <w:rsid w:val="004101B3"/>
    <w:rsid w:val="00486646"/>
    <w:rsid w:val="0049322E"/>
    <w:rsid w:val="004A4639"/>
    <w:rsid w:val="004F776F"/>
    <w:rsid w:val="005250E1"/>
    <w:rsid w:val="00570012"/>
    <w:rsid w:val="005863F5"/>
    <w:rsid w:val="005871F8"/>
    <w:rsid w:val="005B2EF9"/>
    <w:rsid w:val="005B6FA2"/>
    <w:rsid w:val="005C4655"/>
    <w:rsid w:val="006113AA"/>
    <w:rsid w:val="006453A6"/>
    <w:rsid w:val="0067227E"/>
    <w:rsid w:val="00711AAD"/>
    <w:rsid w:val="00721D14"/>
    <w:rsid w:val="00734C67"/>
    <w:rsid w:val="007C2DC5"/>
    <w:rsid w:val="007F548D"/>
    <w:rsid w:val="00820A63"/>
    <w:rsid w:val="008E2688"/>
    <w:rsid w:val="009324BC"/>
    <w:rsid w:val="009A2778"/>
    <w:rsid w:val="009B55F4"/>
    <w:rsid w:val="009B7245"/>
    <w:rsid w:val="00A35831"/>
    <w:rsid w:val="00A541F8"/>
    <w:rsid w:val="00A669C2"/>
    <w:rsid w:val="00A9226C"/>
    <w:rsid w:val="00A93258"/>
    <w:rsid w:val="00AC2687"/>
    <w:rsid w:val="00B91A9F"/>
    <w:rsid w:val="00BB06AC"/>
    <w:rsid w:val="00BC7C70"/>
    <w:rsid w:val="00BF4BF1"/>
    <w:rsid w:val="00CC03AF"/>
    <w:rsid w:val="00CE6962"/>
    <w:rsid w:val="00D06550"/>
    <w:rsid w:val="00DB3541"/>
    <w:rsid w:val="00E633CB"/>
    <w:rsid w:val="00E64E46"/>
    <w:rsid w:val="00EB6328"/>
    <w:rsid w:val="00F2735F"/>
    <w:rsid w:val="00F71765"/>
    <w:rsid w:val="00FF4348"/>
    <w:rsid w:val="00FF6409"/>
    <w:rsid w:val="1A4175E6"/>
    <w:rsid w:val="2C3D46CF"/>
    <w:rsid w:val="3CD74499"/>
    <w:rsid w:val="56EF29AC"/>
    <w:rsid w:val="79412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atentStyles>
  <w:style w:type="paragraph" w:default="1" w:styleId="1">
    <w:name w:val="Normal"/>
    <w:qFormat/>
    <w:uiPriority w:val="0"/>
    <w:pPr>
      <w:spacing w:line="276" w:lineRule="auto"/>
    </w:pPr>
    <w:rPr>
      <w:rFonts w:ascii="Times New Roman" w:hAnsi="Times New Roman" w:eastAsia="SimSun" w:cs="Times New Roman"/>
      <w:sz w:val="22"/>
      <w:szCs w:val="22"/>
      <w:lang w:val="pt-BR" w:eastAsia="pt-BR"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semiHidden/>
    <w:unhideWhenUsed/>
    <w:qFormat/>
    <w:uiPriority w:val="9"/>
    <w:pPr>
      <w:keepNext/>
      <w:keepLines/>
      <w:spacing w:before="360" w:after="120"/>
      <w:outlineLvl w:val="1"/>
    </w:pPr>
    <w:rPr>
      <w:sz w:val="32"/>
      <w:szCs w:val="32"/>
    </w:rPr>
  </w:style>
  <w:style w:type="paragraph" w:styleId="4">
    <w:name w:val="heading 3"/>
    <w:basedOn w:val="1"/>
    <w:next w:val="1"/>
    <w:semiHidden/>
    <w:unhideWhenUsed/>
    <w:qFormat/>
    <w:uiPriority w:val="9"/>
    <w:pPr>
      <w:keepNext/>
      <w:keepLines/>
      <w:spacing w:before="320" w:after="80"/>
      <w:outlineLvl w:val="2"/>
    </w:pPr>
    <w:rPr>
      <w:color w:val="434343"/>
      <w:sz w:val="28"/>
      <w:szCs w:val="28"/>
    </w:rPr>
  </w:style>
  <w:style w:type="paragraph" w:styleId="5">
    <w:name w:val="heading 4"/>
    <w:basedOn w:val="1"/>
    <w:next w:val="1"/>
    <w:semiHidden/>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character" w:styleId="10">
    <w:name w:val="Strong"/>
    <w:basedOn w:val="8"/>
    <w:qFormat/>
    <w:uiPriority w:val="22"/>
    <w:rPr>
      <w:b/>
      <w:bCs/>
    </w:rPr>
  </w:style>
  <w:style w:type="character" w:styleId="11">
    <w:name w:val="Emphasis"/>
    <w:basedOn w:val="8"/>
    <w:qFormat/>
    <w:uiPriority w:val="20"/>
    <w:rPr>
      <w:i/>
      <w:iCs/>
    </w:rPr>
  </w:style>
  <w:style w:type="character" w:styleId="12">
    <w:name w:val="Hyperlink"/>
    <w:basedOn w:val="8"/>
    <w:semiHidden/>
    <w:unhideWhenUsed/>
    <w:uiPriority w:val="99"/>
    <w:rPr>
      <w:color w:val="0000FF"/>
      <w:u w:val="single"/>
    </w:rPr>
  </w:style>
  <w:style w:type="paragraph" w:styleId="13">
    <w:name w:val="Title"/>
    <w:basedOn w:val="1"/>
    <w:next w:val="1"/>
    <w:qFormat/>
    <w:uiPriority w:val="10"/>
    <w:pPr>
      <w:keepNext/>
      <w:keepLines/>
      <w:spacing w:after="60"/>
    </w:pPr>
    <w:rPr>
      <w:sz w:val="52"/>
      <w:szCs w:val="52"/>
    </w:rPr>
  </w:style>
  <w:style w:type="paragraph" w:styleId="14">
    <w:name w:val="Normal (Web)"/>
    <w:semiHidden/>
    <w:unhideWhenUsed/>
    <w:uiPriority w:val="99"/>
    <w:pPr>
      <w:spacing w:beforeAutospacing="1" w:afterAutospacing="1"/>
    </w:pPr>
    <w:rPr>
      <w:rFonts w:ascii="Times New Roman" w:hAnsi="Times New Roman" w:eastAsia="SimSun" w:cs="Times New Roman"/>
      <w:szCs w:val="24"/>
      <w:lang w:val="en-US" w:eastAsia="zh-CN" w:bidi="ar-SA"/>
    </w:rPr>
  </w:style>
  <w:style w:type="paragraph" w:styleId="15">
    <w:name w:val="header"/>
    <w:basedOn w:val="1"/>
    <w:link w:val="19"/>
    <w:unhideWhenUsed/>
    <w:qFormat/>
    <w:uiPriority w:val="99"/>
    <w:pPr>
      <w:tabs>
        <w:tab w:val="center" w:pos="4252"/>
        <w:tab w:val="right" w:pos="8504"/>
      </w:tabs>
      <w:spacing w:line="240" w:lineRule="auto"/>
    </w:pPr>
  </w:style>
  <w:style w:type="paragraph" w:styleId="16">
    <w:name w:val="footer"/>
    <w:basedOn w:val="1"/>
    <w:link w:val="20"/>
    <w:unhideWhenUsed/>
    <w:uiPriority w:val="99"/>
    <w:pPr>
      <w:tabs>
        <w:tab w:val="center" w:pos="4252"/>
        <w:tab w:val="right" w:pos="8504"/>
      </w:tabs>
      <w:spacing w:line="240" w:lineRule="auto"/>
    </w:pPr>
  </w:style>
  <w:style w:type="paragraph" w:styleId="17">
    <w:name w:val="Subtitle"/>
    <w:basedOn w:val="1"/>
    <w:next w:val="1"/>
    <w:qFormat/>
    <w:uiPriority w:val="11"/>
    <w:pPr>
      <w:keepNext/>
      <w:keepLines/>
      <w:spacing w:after="320"/>
    </w:pPr>
    <w:rPr>
      <w:color w:val="666666"/>
      <w:sz w:val="30"/>
      <w:szCs w:val="30"/>
    </w:rPr>
  </w:style>
  <w:style w:type="table" w:customStyle="1" w:styleId="18">
    <w:name w:val="Table Normal"/>
    <w:uiPriority w:val="0"/>
    <w:pPr>
      <w:spacing w:line="276" w:lineRule="auto"/>
    </w:pPr>
    <w:rPr>
      <w:sz w:val="22"/>
      <w:szCs w:val="22"/>
    </w:rPr>
    <w:tblPr>
      <w:tblCellMar>
        <w:top w:w="0" w:type="dxa"/>
        <w:left w:w="0" w:type="dxa"/>
        <w:bottom w:w="0" w:type="dxa"/>
        <w:right w:w="0" w:type="dxa"/>
      </w:tblCellMar>
    </w:tblPr>
  </w:style>
  <w:style w:type="character" w:customStyle="1" w:styleId="19">
    <w:name w:val="Cabeçalho Char"/>
    <w:basedOn w:val="8"/>
    <w:link w:val="15"/>
    <w:uiPriority w:val="99"/>
  </w:style>
  <w:style w:type="character" w:customStyle="1" w:styleId="20">
    <w:name w:val="Rodapé Char"/>
    <w:basedOn w:val="8"/>
    <w:link w:val="16"/>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4097</Words>
  <Characters>22128</Characters>
  <Lines>184</Lines>
  <Paragraphs>52</Paragraphs>
  <TotalTime>6</TotalTime>
  <ScaleCrop>false</ScaleCrop>
  <LinksUpToDate>false</LinksUpToDate>
  <CharactersWithSpaces>26173</CharactersWithSpaces>
  <Application>WPS Office_12.2.0.21546_F1E327BC-269C-435d-A152-05C5408002CA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2025-07-04T20:54:00Z</dcterms:created>
  <dc:creator>DELL</dc:creator>
  <cp:lastModifiedBy>Andrews Victor</cp:lastModifiedBy>
  <dcterms:modified xsi:type="dcterms:W3CDTF">2025-07-05T17:06:22Z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131EF3D27BB0421FA39EBDA46A624187_13</vt:lpwstr>
  </property>
</Properties>
</file>