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867098" w14:textId="77777777" w:rsidR="004801C5" w:rsidRDefault="008267B2">
      <w:pPr>
        <w:spacing w:line="360" w:lineRule="auto"/>
        <w:ind w:hanging="2"/>
        <w:jc w:val="center"/>
      </w:pPr>
      <w:bookmarkStart w:id="0" w:name="_heading=h.mupft1443kkn" w:colFirst="0" w:colLast="0"/>
      <w:bookmarkEnd w:id="0"/>
      <w:r>
        <w:rPr>
          <w:b/>
          <w:i/>
          <w:sz w:val="24"/>
          <w:szCs w:val="24"/>
        </w:rPr>
        <w:t>INFÂNCIAS</w:t>
      </w:r>
      <w:r>
        <w:rPr>
          <w:b/>
          <w:sz w:val="24"/>
          <w:szCs w:val="24"/>
        </w:rPr>
        <w:t xml:space="preserve">, LINGUAGEM/PALAVRA E DESCOLONIZAÇÃO: </w:t>
      </w:r>
      <w:r>
        <w:rPr>
          <w:sz w:val="24"/>
          <w:szCs w:val="24"/>
        </w:rPr>
        <w:t>A pluralidade como fundamento no método histórico-dialético e das Políticas Públicas</w:t>
      </w:r>
      <w:r>
        <w:t xml:space="preserve">. </w:t>
      </w:r>
    </w:p>
    <w:p w14:paraId="329A2DEB" w14:textId="77777777" w:rsidR="004801C5" w:rsidRDefault="008267B2">
      <w:pPr>
        <w:spacing w:line="360" w:lineRule="auto"/>
        <w:ind w:hanging="2"/>
        <w:jc w:val="right"/>
        <w:rPr>
          <w:sz w:val="24"/>
          <w:szCs w:val="24"/>
          <w:highlight w:val="yellow"/>
        </w:rPr>
      </w:pPr>
      <w:r>
        <w:t>Jacqueline Tatiane da Silva Guimarães</w:t>
      </w:r>
      <w:r>
        <w:rPr>
          <w:vertAlign w:val="superscript"/>
        </w:rPr>
        <w:footnoteReference w:id="1"/>
      </w:r>
    </w:p>
    <w:p w14:paraId="5FE05AC6" w14:textId="77777777" w:rsidR="004801C5" w:rsidRDefault="008267B2">
      <w:pPr>
        <w:spacing w:line="240" w:lineRule="auto"/>
        <w:ind w:left="2268"/>
        <w:jc w:val="both"/>
        <w:rPr>
          <w:sz w:val="20"/>
          <w:szCs w:val="20"/>
        </w:rPr>
      </w:pPr>
      <w:r>
        <w:rPr>
          <w:b/>
          <w:sz w:val="20"/>
          <w:szCs w:val="20"/>
        </w:rPr>
        <w:t>Resumo</w:t>
      </w:r>
    </w:p>
    <w:p w14:paraId="3D0745EE" w14:textId="77777777" w:rsidR="004801C5" w:rsidRDefault="008267B2">
      <w:pPr>
        <w:spacing w:line="240" w:lineRule="auto"/>
        <w:ind w:left="2268"/>
        <w:jc w:val="both"/>
      </w:pPr>
      <w:r>
        <w:t>Propõe-se questionar, de forma provocativa, a compreensão superficial de que referir-se a “infâncias” no plural seria antagônico ou equivocado perante o método histórico-dialético — especialmente em áreas do conhecimento que pouco dialogam com os estudos d</w:t>
      </w:r>
      <w:r>
        <w:t>a linguagem. Parto dos seguintes questionamentos: I) Quais os impactos de uma compreensão fixa, restrita e singular das palavras nas políticas públicas e na vida social? II) Quais as consequências de uma leitura limitada da infância, ancorada na ideia de s</w:t>
      </w:r>
      <w:r>
        <w:t>ujeito universal, para a proteção de crianças e adolescentes com corpos e territórios subalternizados? Revisito teóricos da análise do discurso inspirados no pensamento marxiano e, na mesma direção, recorro a intelectuais marxistas da diáspora africana par</w:t>
      </w:r>
      <w:r>
        <w:t>a pensar a linguagem como matéria política, ideológica e racializada. Nomear e dar visibilidade à pluralidade não é apenas reconhecer a diversidade — é insurgir contra as violências coloniais, afirmando existências que não cabem em palavras hegemônicas, un</w:t>
      </w:r>
      <w:r>
        <w:t>iversais e nem no singular.</w:t>
      </w:r>
    </w:p>
    <w:p w14:paraId="5B1299CB" w14:textId="77777777" w:rsidR="004801C5" w:rsidRPr="009D074D" w:rsidRDefault="008267B2">
      <w:pPr>
        <w:spacing w:line="240" w:lineRule="auto"/>
        <w:ind w:left="2268"/>
        <w:jc w:val="both"/>
        <w:rPr>
          <w:lang w:val="en-US"/>
        </w:rPr>
      </w:pPr>
      <w:r>
        <w:rPr>
          <w:b/>
        </w:rPr>
        <w:t>Palavras-chave</w:t>
      </w:r>
      <w:r>
        <w:t xml:space="preserve">: Racismo Epistemológico; Intelectuais Negras e Negros. </w:t>
      </w:r>
      <w:r w:rsidRPr="009D074D">
        <w:rPr>
          <w:lang w:val="en-US"/>
        </w:rPr>
        <w:t>Anticolonial e contracolonial.</w:t>
      </w:r>
    </w:p>
    <w:p w14:paraId="73A2F4E2" w14:textId="77777777" w:rsidR="004801C5" w:rsidRPr="009D074D" w:rsidRDefault="004801C5">
      <w:pPr>
        <w:spacing w:line="240" w:lineRule="auto"/>
        <w:ind w:left="2268"/>
        <w:jc w:val="both"/>
        <w:rPr>
          <w:lang w:val="en-US"/>
        </w:rPr>
      </w:pPr>
    </w:p>
    <w:p w14:paraId="4D9970C5" w14:textId="77777777" w:rsidR="004801C5" w:rsidRPr="009D074D" w:rsidRDefault="008267B2">
      <w:pPr>
        <w:spacing w:line="240" w:lineRule="auto"/>
        <w:ind w:left="2268"/>
        <w:jc w:val="both"/>
        <w:rPr>
          <w:lang w:val="en-US"/>
        </w:rPr>
      </w:pPr>
      <w:r w:rsidRPr="009D074D">
        <w:rPr>
          <w:b/>
          <w:lang w:val="en-US"/>
        </w:rPr>
        <w:t>Abstract</w:t>
      </w:r>
    </w:p>
    <w:p w14:paraId="12881A59" w14:textId="77777777" w:rsidR="004801C5" w:rsidRPr="009D074D" w:rsidRDefault="008267B2">
      <w:pPr>
        <w:spacing w:line="240" w:lineRule="auto"/>
        <w:ind w:left="2268"/>
        <w:jc w:val="both"/>
        <w:rPr>
          <w:lang w:val="en-US"/>
        </w:rPr>
      </w:pPr>
      <w:r w:rsidRPr="009D074D">
        <w:rPr>
          <w:lang w:val="en-US"/>
        </w:rPr>
        <w:t>This paper provocatively challenges the superficial view that referring to "childhoods" in the plural contradicts the</w:t>
      </w:r>
      <w:r w:rsidRPr="009D074D">
        <w:rPr>
          <w:lang w:val="en-US"/>
        </w:rPr>
        <w:t xml:space="preserve"> historical-dialectical method — especially in academic fields with limited engagement in language studies. I begin with two central questions: (I) What are the impacts of a fixed, restrictive, and singular understanding of words on public policies and soc</w:t>
      </w:r>
      <w:r w:rsidRPr="009D074D">
        <w:rPr>
          <w:lang w:val="en-US"/>
        </w:rPr>
        <w:t>ial life? (II) What are the consequences of a limited conception of childhood, rooted in the idea of a universal subject, for protecting children and adolescents with racialized bodies and subaltern territories? Revisiting theorists of discourse analysis i</w:t>
      </w:r>
      <w:r w:rsidRPr="009D074D">
        <w:rPr>
          <w:lang w:val="en-US"/>
        </w:rPr>
        <w:t>nspired by Marxian thought, I also draw on Marxist intellectuals of the African diaspora to conceive language as political, ideological, and racialized matter. To name and make plurality visible is not merely to acknowledge diversity — it is to resist colo</w:t>
      </w:r>
      <w:r w:rsidRPr="009D074D">
        <w:rPr>
          <w:lang w:val="en-US"/>
        </w:rPr>
        <w:t>nial violence and affirm lives that do not fit within hegemonic, universal, and singular words.</w:t>
      </w:r>
    </w:p>
    <w:p w14:paraId="0A678793" w14:textId="77777777" w:rsidR="004801C5" w:rsidRPr="009D074D" w:rsidRDefault="008267B2">
      <w:pPr>
        <w:spacing w:line="240" w:lineRule="auto"/>
        <w:ind w:left="2268"/>
        <w:jc w:val="both"/>
        <w:rPr>
          <w:lang w:val="en-US"/>
        </w:rPr>
      </w:pPr>
      <w:r w:rsidRPr="009D074D">
        <w:rPr>
          <w:b/>
          <w:lang w:val="en-US"/>
        </w:rPr>
        <w:t>Keywords</w:t>
      </w:r>
      <w:r w:rsidRPr="009D074D">
        <w:rPr>
          <w:lang w:val="en-US"/>
        </w:rPr>
        <w:t>: Epistemic Racism; Black Intellectuals; Anticolonial and Countercolonial Thought.</w:t>
      </w:r>
    </w:p>
    <w:p w14:paraId="40C8D191" w14:textId="77777777" w:rsidR="004801C5" w:rsidRPr="009D074D" w:rsidRDefault="004801C5">
      <w:pPr>
        <w:spacing w:line="240" w:lineRule="auto"/>
        <w:ind w:hanging="2"/>
        <w:jc w:val="both"/>
        <w:rPr>
          <w:sz w:val="24"/>
          <w:szCs w:val="24"/>
          <w:lang w:val="en-US"/>
        </w:rPr>
      </w:pPr>
    </w:p>
    <w:p w14:paraId="731C863C" w14:textId="77777777" w:rsidR="004801C5" w:rsidRDefault="008267B2">
      <w:pPr>
        <w:spacing w:line="360" w:lineRule="auto"/>
        <w:ind w:hanging="2"/>
        <w:rPr>
          <w:sz w:val="24"/>
          <w:szCs w:val="24"/>
        </w:rPr>
      </w:pPr>
      <w:r w:rsidRPr="009D074D">
        <w:br w:type="page"/>
      </w:r>
      <w:r>
        <w:rPr>
          <w:b/>
          <w:sz w:val="24"/>
          <w:szCs w:val="24"/>
        </w:rPr>
        <w:lastRenderedPageBreak/>
        <w:t>1</w:t>
      </w:r>
      <w:r>
        <w:rPr>
          <w:b/>
          <w:sz w:val="24"/>
          <w:szCs w:val="24"/>
        </w:rPr>
        <w:tab/>
        <w:t>INTRODUÇÃO</w:t>
      </w:r>
    </w:p>
    <w:p w14:paraId="28568E7B" w14:textId="77777777" w:rsidR="004801C5" w:rsidRDefault="008267B2">
      <w:pPr>
        <w:pBdr>
          <w:top w:val="nil"/>
          <w:left w:val="nil"/>
          <w:bottom w:val="nil"/>
          <w:right w:val="nil"/>
          <w:between w:val="nil"/>
        </w:pBdr>
        <w:spacing w:line="360" w:lineRule="auto"/>
        <w:ind w:left="-2" w:firstLine="850"/>
        <w:jc w:val="both"/>
        <w:rPr>
          <w:color w:val="000000"/>
          <w:sz w:val="24"/>
          <w:szCs w:val="24"/>
        </w:rPr>
      </w:pPr>
      <w:bookmarkStart w:id="1" w:name="_heading=h.rapjbjo5b9w" w:colFirst="0" w:colLast="0"/>
      <w:bookmarkEnd w:id="1"/>
      <w:r>
        <w:rPr>
          <w:color w:val="000000"/>
          <w:sz w:val="24"/>
          <w:szCs w:val="24"/>
        </w:rPr>
        <w:t>Este artigo resulta de reflexões provocadas por dois m</w:t>
      </w:r>
      <w:r>
        <w:rPr>
          <w:color w:val="000000"/>
          <w:sz w:val="24"/>
          <w:szCs w:val="24"/>
        </w:rPr>
        <w:t xml:space="preserve">omentos acadêmicos: a participação em uma banca de defesa de monografia em um curso de Serviço Social e um evento do Conselho Regional de Serviço Social do estado do Pará, nos quais foi afirmado que tratar, falar, referir-se e pautar "infâncias" no plural </w:t>
      </w:r>
      <w:r>
        <w:rPr>
          <w:color w:val="000000"/>
          <w:sz w:val="24"/>
          <w:szCs w:val="24"/>
        </w:rPr>
        <w:t>seria incoerente com o método histórico-crítico e dialético inaugurado por Karl Marx. Nesses dois momentos me questionei se tais regras não seriam a manifestação de um marxismo atravessado por sujeitos imersos na branquitude e no eurocentrismo?</w:t>
      </w:r>
    </w:p>
    <w:p w14:paraId="1BA4C0B4" w14:textId="77777777" w:rsidR="004801C5" w:rsidRDefault="008267B2">
      <w:pPr>
        <w:pBdr>
          <w:top w:val="nil"/>
          <w:left w:val="nil"/>
          <w:bottom w:val="nil"/>
          <w:right w:val="nil"/>
          <w:between w:val="nil"/>
        </w:pBdr>
        <w:spacing w:line="360" w:lineRule="auto"/>
        <w:ind w:left="-2" w:firstLine="850"/>
        <w:jc w:val="both"/>
        <w:rPr>
          <w:color w:val="000000"/>
          <w:sz w:val="24"/>
          <w:szCs w:val="24"/>
        </w:rPr>
      </w:pPr>
      <w:r>
        <w:rPr>
          <w:color w:val="000000"/>
          <w:sz w:val="24"/>
          <w:szCs w:val="24"/>
        </w:rPr>
        <w:t>Assim, me p</w:t>
      </w:r>
      <w:r>
        <w:rPr>
          <w:color w:val="000000"/>
          <w:sz w:val="24"/>
          <w:szCs w:val="24"/>
        </w:rPr>
        <w:t>roponho a questionar, de forma provocativa, a compreensão superficial de que, no método de Marx, as palavras devem ser imutáveis, fixas e enrijecidas, desconsiderando o próprio histórico, dialético e dinâmico da ideologia e da realidade social, que é movid</w:t>
      </w:r>
      <w:r>
        <w:rPr>
          <w:color w:val="000000"/>
          <w:sz w:val="24"/>
          <w:szCs w:val="24"/>
        </w:rPr>
        <w:t xml:space="preserve">o e impulsionado por sujeitos que se comunicam. </w:t>
      </w:r>
    </w:p>
    <w:p w14:paraId="1A817FD3" w14:textId="77777777" w:rsidR="004801C5" w:rsidRDefault="008267B2">
      <w:pPr>
        <w:pBdr>
          <w:top w:val="nil"/>
          <w:left w:val="nil"/>
          <w:bottom w:val="nil"/>
          <w:right w:val="nil"/>
          <w:between w:val="nil"/>
        </w:pBdr>
        <w:spacing w:line="360" w:lineRule="auto"/>
        <w:ind w:left="-2" w:firstLine="850"/>
        <w:jc w:val="both"/>
        <w:rPr>
          <w:color w:val="000000"/>
          <w:sz w:val="24"/>
          <w:szCs w:val="24"/>
        </w:rPr>
      </w:pPr>
      <w:bookmarkStart w:id="2" w:name="_heading=h.9drw8pd202pz" w:colFirst="0" w:colLast="0"/>
      <w:bookmarkEnd w:id="2"/>
      <w:r>
        <w:rPr>
          <w:color w:val="000000"/>
          <w:sz w:val="24"/>
          <w:szCs w:val="24"/>
        </w:rPr>
        <w:t>Neste texto, me coloco no mesmo lugar que Sueli Carneiro (2023) ao abordar sobre os dispositivos da racialidade, quando, ao usar como base Michel Foucault e forma emblemática, expõe e ironiza o fato de que a</w:t>
      </w:r>
      <w:r>
        <w:rPr>
          <w:color w:val="000000"/>
          <w:sz w:val="24"/>
          <w:szCs w:val="24"/>
        </w:rPr>
        <w:t xml:space="preserve"> branquitude só consegue entender e validar pensamentos acadêmicos, científicos e epistemológicos que partem de seu próprio espelho. Assim, também o farei, recorrendo inicialmente aos russos Mikhail Bakhtin (1981) e seu Círculo, ao francês, Michel Pêcheux </w:t>
      </w:r>
      <w:r>
        <w:rPr>
          <w:color w:val="000000"/>
          <w:sz w:val="24"/>
          <w:szCs w:val="24"/>
        </w:rPr>
        <w:t xml:space="preserve">(1995) e fazendo breves referências ao britânico Norman Fairclough (2016), para compreendermos a linguagem e a utilização das palavras dentro de um processo histórico, vivo e material, coerente ao método histórico-dialético marxista. </w:t>
      </w:r>
    </w:p>
    <w:p w14:paraId="75119199" w14:textId="77777777" w:rsidR="004801C5" w:rsidRDefault="008267B2">
      <w:pPr>
        <w:spacing w:line="360" w:lineRule="auto"/>
        <w:ind w:left="-2" w:firstLine="850"/>
        <w:jc w:val="both"/>
        <w:rPr>
          <w:sz w:val="24"/>
          <w:szCs w:val="24"/>
        </w:rPr>
      </w:pPr>
      <w:r>
        <w:rPr>
          <w:sz w:val="24"/>
          <w:szCs w:val="24"/>
        </w:rPr>
        <w:t xml:space="preserve">Recorro a estes teóricos para inferir que referir-se a "infâncias" no plural não seria antagônico ou equivocado ao método de Karl Marx. Esse pensamento ainda permanece cristalizado em alguns grupos de ditos marxistas fiéis ao método, especialmente aqueles </w:t>
      </w:r>
      <w:r>
        <w:rPr>
          <w:sz w:val="24"/>
          <w:szCs w:val="24"/>
        </w:rPr>
        <w:t>que circulam estritamente nas Ciências Sociais Aplicadas e que não dialogam com a linguística</w:t>
      </w:r>
      <w:r>
        <w:rPr>
          <w:b/>
          <w:sz w:val="24"/>
          <w:szCs w:val="24"/>
        </w:rPr>
        <w:t>.</w:t>
      </w:r>
    </w:p>
    <w:p w14:paraId="3E0B9384" w14:textId="77777777" w:rsidR="004801C5" w:rsidRDefault="008267B2">
      <w:pPr>
        <w:pBdr>
          <w:top w:val="nil"/>
          <w:left w:val="nil"/>
          <w:bottom w:val="nil"/>
          <w:right w:val="nil"/>
          <w:between w:val="nil"/>
        </w:pBdr>
        <w:spacing w:line="360" w:lineRule="auto"/>
        <w:ind w:left="-2" w:firstLine="850"/>
        <w:jc w:val="both"/>
        <w:rPr>
          <w:rFonts w:ascii="Times New Roman" w:eastAsia="Times New Roman" w:hAnsi="Times New Roman" w:cs="Times New Roman"/>
          <w:color w:val="000000"/>
          <w:sz w:val="24"/>
          <w:szCs w:val="24"/>
        </w:rPr>
      </w:pPr>
      <w:r>
        <w:rPr>
          <w:color w:val="000000"/>
          <w:sz w:val="24"/>
          <w:szCs w:val="24"/>
        </w:rPr>
        <w:t>Nesta seção introdutória, que dialoga com a próxima, parto, então, dos seguintes questionamentos: I) Quais os impactos de uma compreensão fixa, restrita e singul</w:t>
      </w:r>
      <w:r>
        <w:rPr>
          <w:color w:val="000000"/>
          <w:sz w:val="24"/>
          <w:szCs w:val="24"/>
        </w:rPr>
        <w:t xml:space="preserve">ar de "palavras" nas políticas públicas e na vida social? II) Quais as possíveis </w:t>
      </w:r>
      <w:r>
        <w:rPr>
          <w:color w:val="000000"/>
          <w:sz w:val="24"/>
          <w:szCs w:val="24"/>
        </w:rPr>
        <w:lastRenderedPageBreak/>
        <w:t>consequências de uma visão limitada que singulariza a infância, utilizando o método histórico-dialético como argumento, para a proteção de crianças e adolescentes que não poss</w:t>
      </w:r>
      <w:r>
        <w:rPr>
          <w:color w:val="000000"/>
          <w:sz w:val="24"/>
          <w:szCs w:val="24"/>
        </w:rPr>
        <w:t>uem corpos e territórios hegemônicos e universais?</w:t>
      </w:r>
    </w:p>
    <w:p w14:paraId="5D270F62" w14:textId="77777777" w:rsidR="004801C5" w:rsidRDefault="008267B2">
      <w:pPr>
        <w:spacing w:line="360" w:lineRule="auto"/>
        <w:ind w:left="-2" w:firstLine="850"/>
        <w:jc w:val="both"/>
        <w:rPr>
          <w:sz w:val="24"/>
          <w:szCs w:val="24"/>
        </w:rPr>
      </w:pPr>
      <w:r>
        <w:rPr>
          <w:sz w:val="24"/>
          <w:szCs w:val="24"/>
        </w:rPr>
        <w:t>Na primeira seção, costuram-se considerações que nos permitam compreender como a percepção de que palavras "intocadas" se relacionam diretamente a construções analíticas que defendem que a língua e a lingu</w:t>
      </w:r>
      <w:r>
        <w:rPr>
          <w:sz w:val="24"/>
          <w:szCs w:val="24"/>
        </w:rPr>
        <w:t>agem devem seguir uma lógica estrutural que impõe normas e regras linguísticas que não devem ser questionadas. Tais percepções seguem alinhadas a entendimentos que fortalecem o Preconceito Linguístico (Bagno, 2015) e o Racismo Linguístico (Nascimento, 2019</w:t>
      </w:r>
      <w:r>
        <w:rPr>
          <w:sz w:val="24"/>
          <w:szCs w:val="24"/>
        </w:rPr>
        <w:t>).</w:t>
      </w:r>
    </w:p>
    <w:p w14:paraId="3E861A0A" w14:textId="77777777" w:rsidR="004801C5" w:rsidRDefault="008267B2">
      <w:pPr>
        <w:spacing w:line="360" w:lineRule="auto"/>
        <w:ind w:left="-2" w:firstLine="850"/>
        <w:jc w:val="both"/>
        <w:rPr>
          <w:b/>
          <w:sz w:val="24"/>
          <w:szCs w:val="24"/>
        </w:rPr>
      </w:pPr>
      <w:r>
        <w:rPr>
          <w:sz w:val="24"/>
          <w:szCs w:val="24"/>
        </w:rPr>
        <w:t>Em seguida, abordo sobre uma perspectiva linguística que se constitui como resistência perante uma língua única e imposta pelo processo civilizatório colonial, dialogando com Lélia Gonzalez (1984), Antônio Nego Bispo (2015; 2023) e Grada Kilomba (2019).</w:t>
      </w:r>
      <w:r>
        <w:rPr>
          <w:sz w:val="24"/>
          <w:szCs w:val="24"/>
        </w:rPr>
        <w:t xml:space="preserve"> Posteriormente, apresenta-se a categoria teórica "infância", que surge de um lugar comum, para então apresentar as "infâncias" no plural como estratégia de combate aos apagamentos da diversidade, saindo de uma construção analítica eurocentrada para encont</w:t>
      </w:r>
      <w:r>
        <w:rPr>
          <w:sz w:val="24"/>
          <w:szCs w:val="24"/>
        </w:rPr>
        <w:t>rar uma oposição nos estudos de pesquisadores amazônidas. Com este escrito, de modo ousado e provocativo afirmo que totalidade não significa ou representa que será traduzida por palavras no singular e que ignoram as dinâmicas da realidade social, construíd</w:t>
      </w:r>
      <w:r>
        <w:rPr>
          <w:sz w:val="24"/>
          <w:szCs w:val="24"/>
        </w:rPr>
        <w:t>a pelos diferentes grupos sociais, muito menos quando ignoram o movimento da história e dos movimentos sociais</w:t>
      </w:r>
      <w:r>
        <w:rPr>
          <w:b/>
          <w:sz w:val="24"/>
          <w:szCs w:val="24"/>
        </w:rPr>
        <w:t>.</w:t>
      </w:r>
    </w:p>
    <w:p w14:paraId="39A1B9A4" w14:textId="77777777" w:rsidR="004801C5" w:rsidRDefault="004801C5">
      <w:pPr>
        <w:spacing w:line="360" w:lineRule="auto"/>
        <w:ind w:hanging="2"/>
        <w:jc w:val="both"/>
        <w:rPr>
          <w:sz w:val="24"/>
          <w:szCs w:val="24"/>
        </w:rPr>
      </w:pPr>
    </w:p>
    <w:p w14:paraId="0C5B9169" w14:textId="77777777" w:rsidR="004801C5" w:rsidRDefault="008267B2">
      <w:pPr>
        <w:spacing w:line="240" w:lineRule="auto"/>
        <w:ind w:hanging="2"/>
        <w:jc w:val="both"/>
        <w:rPr>
          <w:b/>
          <w:sz w:val="24"/>
          <w:szCs w:val="24"/>
        </w:rPr>
      </w:pPr>
      <w:bookmarkStart w:id="3" w:name="_heading=h.g17sytw4ueek" w:colFirst="0" w:colLast="0"/>
      <w:bookmarkEnd w:id="3"/>
      <w:r>
        <w:rPr>
          <w:b/>
          <w:sz w:val="24"/>
          <w:szCs w:val="24"/>
        </w:rPr>
        <w:t>2</w:t>
      </w:r>
      <w:r>
        <w:rPr>
          <w:b/>
          <w:sz w:val="24"/>
          <w:szCs w:val="24"/>
        </w:rPr>
        <w:tab/>
        <w:t>A “PALAVRA” E A LINGUAGEM NA PERSPECTIVA DOS LINGUISTAS QUE FORAM GUIADOS PELO MÉTODO HISTÓRICO DIALÉTICO DE KARL MARX</w:t>
      </w:r>
    </w:p>
    <w:p w14:paraId="2FE631E7" w14:textId="77777777" w:rsidR="004801C5" w:rsidRDefault="008267B2">
      <w:pPr>
        <w:spacing w:line="360" w:lineRule="auto"/>
        <w:ind w:left="-2" w:firstLine="850"/>
        <w:jc w:val="both"/>
        <w:rPr>
          <w:sz w:val="24"/>
          <w:szCs w:val="24"/>
        </w:rPr>
      </w:pPr>
      <w:r>
        <w:rPr>
          <w:sz w:val="24"/>
          <w:szCs w:val="24"/>
        </w:rPr>
        <w:t>Há múltiplas formas de</w:t>
      </w:r>
      <w:r>
        <w:rPr>
          <w:sz w:val="24"/>
          <w:szCs w:val="24"/>
        </w:rPr>
        <w:t xml:space="preserve"> se estudar e teorizar a linguagem, originadas de distintas tradições teóricas. Destaco, aqui, aquelas que se debruçam sobre a linguagem a partir da perspectiva marxista e marxiana, especialmente a do Círculo de Bakhtin, que oferece a possibilidades de uma</w:t>
      </w:r>
      <w:r>
        <w:rPr>
          <w:sz w:val="24"/>
          <w:szCs w:val="24"/>
        </w:rPr>
        <w:t xml:space="preserve"> análise teórica e crítica, considerando os aspectos e as influências do contexto sociocultural, histórico, político e ideológico nas falas dos diferentes sujeitos inseridos em uma sociedade. </w:t>
      </w:r>
    </w:p>
    <w:p w14:paraId="2D152CB5" w14:textId="77777777" w:rsidR="004801C5" w:rsidRDefault="008267B2">
      <w:pPr>
        <w:spacing w:line="360" w:lineRule="auto"/>
        <w:ind w:left="-2" w:firstLine="850"/>
        <w:jc w:val="both"/>
        <w:rPr>
          <w:sz w:val="24"/>
          <w:szCs w:val="24"/>
        </w:rPr>
      </w:pPr>
      <w:r>
        <w:rPr>
          <w:sz w:val="24"/>
          <w:szCs w:val="24"/>
        </w:rPr>
        <w:lastRenderedPageBreak/>
        <w:t>Os primeiros estudos sobre linguagem e discurso adotaram, em gr</w:t>
      </w:r>
      <w:r>
        <w:rPr>
          <w:sz w:val="24"/>
          <w:szCs w:val="24"/>
        </w:rPr>
        <w:t>ande medida, abordagens baseadas no objetivismo abstrato — tendo Ferdinand de Saussure como expoente — e no subjetivismo idealista, representado por Wilhelm von Humboldt. No primeiro observa-se uma compreensão de que a linguagem seria um sistema abstrato d</w:t>
      </w:r>
      <w:r>
        <w:rPr>
          <w:sz w:val="24"/>
          <w:szCs w:val="24"/>
        </w:rPr>
        <w:t xml:space="preserve">e formas, que deveria se guiar por normas e regras para o seu uso, enquanto o segundo tomava a linguagem enquanto uma simples e mera enunciação monológica isolada, desconsiderando as influências do contexto e dos grupos sociais (Jobim e Souza, 2012). </w:t>
      </w:r>
    </w:p>
    <w:p w14:paraId="2060E1AA" w14:textId="77777777" w:rsidR="004801C5" w:rsidRDefault="008267B2">
      <w:pPr>
        <w:spacing w:line="360" w:lineRule="auto"/>
        <w:ind w:left="-2" w:firstLine="850"/>
        <w:jc w:val="both"/>
        <w:rPr>
          <w:sz w:val="24"/>
          <w:szCs w:val="24"/>
        </w:rPr>
      </w:pPr>
      <w:r>
        <w:rPr>
          <w:sz w:val="24"/>
          <w:szCs w:val="24"/>
        </w:rPr>
        <w:t>As f</w:t>
      </w:r>
      <w:r>
        <w:rPr>
          <w:sz w:val="24"/>
          <w:szCs w:val="24"/>
        </w:rPr>
        <w:t>ormulações teóricas sobre a palavra — enquanto signo e símbolo que, reunidos, exprimem línguas e linguagem — extrapolam o campo da Sociologia e alcançam os estudos linguísticos, ancoradas no método histórico-dialético de Marx e Engels, com uma dialética de</w:t>
      </w:r>
      <w:r>
        <w:rPr>
          <w:sz w:val="24"/>
          <w:szCs w:val="24"/>
        </w:rPr>
        <w:t xml:space="preserve"> base materialista. Karel Kosik (1976) explicita</w:t>
      </w:r>
      <w:r>
        <w:t xml:space="preserve"> que </w:t>
      </w:r>
      <w:r>
        <w:rPr>
          <w:sz w:val="24"/>
          <w:szCs w:val="24"/>
        </w:rPr>
        <w:t>a compreensão da realidade não é imediata, exigindo esforço e um desvio reflexivo (</w:t>
      </w:r>
      <w:r>
        <w:rPr>
          <w:i/>
          <w:sz w:val="24"/>
          <w:szCs w:val="24"/>
        </w:rPr>
        <w:t>détour</w:t>
      </w:r>
      <w:r>
        <w:rPr>
          <w:sz w:val="24"/>
          <w:szCs w:val="24"/>
        </w:rPr>
        <w:t>). Para ele, a distinção entre representação e conceito da coisa revela não apenas diferentes formas de conhecimento, mas sobretudo diferentes qualidades da práxis humana.</w:t>
      </w:r>
    </w:p>
    <w:p w14:paraId="3FBDFC4B" w14:textId="77777777" w:rsidR="004801C5" w:rsidRDefault="008267B2">
      <w:pPr>
        <w:spacing w:line="360" w:lineRule="auto"/>
        <w:ind w:left="-2" w:firstLine="850"/>
        <w:jc w:val="both"/>
        <w:rPr>
          <w:sz w:val="24"/>
          <w:szCs w:val="24"/>
        </w:rPr>
      </w:pPr>
      <w:r>
        <w:rPr>
          <w:sz w:val="24"/>
          <w:szCs w:val="24"/>
        </w:rPr>
        <w:t>Na perspectiva dialética marxista a representação</w:t>
      </w:r>
      <w:r>
        <w:rPr>
          <w:b/>
          <w:sz w:val="24"/>
          <w:szCs w:val="24"/>
        </w:rPr>
        <w:t xml:space="preserve">, </w:t>
      </w:r>
      <w:r>
        <w:rPr>
          <w:sz w:val="24"/>
          <w:szCs w:val="24"/>
        </w:rPr>
        <w:t>modo imediato como vivenciamos os</w:t>
      </w:r>
      <w:r>
        <w:rPr>
          <w:sz w:val="24"/>
          <w:szCs w:val="24"/>
        </w:rPr>
        <w:t xml:space="preserve"> fenômenos e conceito, sendo o acesso teórico à essência (abstração), não seria apenas uma forma distinta de conhecimento, mas como qualidades distintas da práxis humana. Para compreender a “coisa em si” —a realidade em sua totalidade—é necessário ultrapas</w:t>
      </w:r>
      <w:r>
        <w:rPr>
          <w:sz w:val="24"/>
          <w:szCs w:val="24"/>
        </w:rPr>
        <w:t xml:space="preserve">sar o aspecto fenomênico e avançar rumo à construção conceitual crítica, conectando análise e ação no contexto histórico-social, que é material.  </w:t>
      </w:r>
    </w:p>
    <w:p w14:paraId="7684924C" w14:textId="77777777" w:rsidR="004801C5" w:rsidRDefault="008267B2">
      <w:pPr>
        <w:spacing w:line="360" w:lineRule="auto"/>
        <w:ind w:left="-2" w:firstLine="850"/>
        <w:jc w:val="both"/>
        <w:rPr>
          <w:sz w:val="24"/>
          <w:szCs w:val="24"/>
        </w:rPr>
      </w:pPr>
      <w:r>
        <w:rPr>
          <w:sz w:val="24"/>
          <w:szCs w:val="24"/>
        </w:rPr>
        <w:t>A abordagem dialética marxista enfatiza a importância de considerar as contradições e complexidades da realid</w:t>
      </w:r>
      <w:r>
        <w:rPr>
          <w:sz w:val="24"/>
          <w:szCs w:val="24"/>
        </w:rPr>
        <w:t>ade social, sendo oposto ao estabelecimento de regras rígidas seja em um aspecto societário, quanto no processo analítico. Dessa forma, o pensamento marxiano é profundamente contextualizado e histórico, não sendo uma fórmula rígida a ser aplicada de maneir</w:t>
      </w:r>
      <w:r>
        <w:rPr>
          <w:sz w:val="24"/>
          <w:szCs w:val="24"/>
        </w:rPr>
        <w:t xml:space="preserve">a uniforme em todos os casos, exigindo crítica e reflexão contínua. </w:t>
      </w:r>
    </w:p>
    <w:p w14:paraId="56ED71A2" w14:textId="77777777" w:rsidR="004801C5" w:rsidRDefault="008267B2">
      <w:pPr>
        <w:spacing w:line="360" w:lineRule="auto"/>
        <w:ind w:left="-2" w:firstLine="850"/>
        <w:jc w:val="both"/>
        <w:rPr>
          <w:color w:val="FF0000"/>
          <w:sz w:val="24"/>
          <w:szCs w:val="24"/>
        </w:rPr>
      </w:pPr>
      <w:r>
        <w:rPr>
          <w:sz w:val="24"/>
          <w:szCs w:val="24"/>
        </w:rPr>
        <w:lastRenderedPageBreak/>
        <w:t>Na abordagem marxista, linguagem e realidade não se reduzem à aparência, mas demandam análise que conecte forma e conteúdo, estrutura e história. É nesse contexto que Mikhail Bakhtin surg</w:t>
      </w:r>
      <w:r>
        <w:rPr>
          <w:sz w:val="24"/>
          <w:szCs w:val="24"/>
        </w:rPr>
        <w:t>e com críticas contundentes às compreensões monológicas, fixas e ahistóricas da linguagem e das palavras, demonstrando que não seria tão somente um sistema abstrato de formas e nem uma simples enunciação monológica isolada, posições que impedem a percepção</w:t>
      </w:r>
      <w:r>
        <w:rPr>
          <w:sz w:val="24"/>
          <w:szCs w:val="24"/>
        </w:rPr>
        <w:t xml:space="preserve"> da real natureza da linguagem: o código ideológico. </w:t>
      </w:r>
    </w:p>
    <w:p w14:paraId="6E2D2FC9" w14:textId="77777777" w:rsidR="004801C5" w:rsidRDefault="008267B2">
      <w:pPr>
        <w:spacing w:line="360" w:lineRule="auto"/>
        <w:ind w:left="-2" w:firstLine="850"/>
        <w:jc w:val="both"/>
        <w:rPr>
          <w:sz w:val="24"/>
          <w:szCs w:val="24"/>
        </w:rPr>
      </w:pPr>
      <w:r>
        <w:rPr>
          <w:sz w:val="24"/>
          <w:szCs w:val="24"/>
        </w:rPr>
        <w:t xml:space="preserve">Cabe destacar que Mikhail Bakhtin integrava o chamado Círculo de Bakhtin, composto por Valentin </w:t>
      </w:r>
      <w:proofErr w:type="spellStart"/>
      <w:r>
        <w:rPr>
          <w:color w:val="1F1F1F"/>
          <w:sz w:val="24"/>
          <w:szCs w:val="24"/>
          <w:highlight w:val="white"/>
        </w:rPr>
        <w:t>Volóchinov</w:t>
      </w:r>
      <w:proofErr w:type="spellEnd"/>
      <w:r>
        <w:rPr>
          <w:sz w:val="24"/>
          <w:szCs w:val="24"/>
        </w:rPr>
        <w:t xml:space="preserve"> e Pavel Medvedev, cujas contribuições se entrelaçam no campo da filosofia da linguagem e da crí</w:t>
      </w:r>
      <w:r>
        <w:rPr>
          <w:sz w:val="24"/>
          <w:szCs w:val="24"/>
        </w:rPr>
        <w:t xml:space="preserve">tica dialógica. Entre as obras centrais do grupo, destacam-se “Estética da Criação Verbal” (2010), </w:t>
      </w:r>
      <w:proofErr w:type="gramStart"/>
      <w:r>
        <w:rPr>
          <w:i/>
          <w:sz w:val="24"/>
          <w:szCs w:val="24"/>
        </w:rPr>
        <w:t>Para</w:t>
      </w:r>
      <w:proofErr w:type="gramEnd"/>
      <w:r>
        <w:rPr>
          <w:i/>
          <w:sz w:val="24"/>
          <w:szCs w:val="24"/>
        </w:rPr>
        <w:t xml:space="preserve"> uma Filosofia do Ato Responsivo </w:t>
      </w:r>
      <w:r>
        <w:rPr>
          <w:sz w:val="24"/>
          <w:szCs w:val="24"/>
        </w:rPr>
        <w:t xml:space="preserve">(2012) e </w:t>
      </w:r>
      <w:r>
        <w:rPr>
          <w:i/>
          <w:sz w:val="24"/>
          <w:szCs w:val="24"/>
        </w:rPr>
        <w:t>Marxismo e Filosofia da Linguagem</w:t>
      </w:r>
      <w:r>
        <w:rPr>
          <w:sz w:val="24"/>
          <w:szCs w:val="24"/>
        </w:rPr>
        <w:t xml:space="preserve"> (2017). Entretanto no presente artigo foco as considerações na última obra me</w:t>
      </w:r>
      <w:r>
        <w:rPr>
          <w:sz w:val="24"/>
          <w:szCs w:val="24"/>
        </w:rPr>
        <w:t>ncionada, pois nos apresenta elementos que se contrapõem a um entendimento de que o método histórico-dialético nos imporia regras para a utilização do que no final são palavras, que carregam intencionalidades e disputas ideológicas que se materializam na v</w:t>
      </w:r>
      <w:r>
        <w:rPr>
          <w:sz w:val="24"/>
          <w:szCs w:val="24"/>
        </w:rPr>
        <w:t xml:space="preserve">ida social. </w:t>
      </w:r>
    </w:p>
    <w:p w14:paraId="568F2D5A" w14:textId="77777777" w:rsidR="004801C5" w:rsidRDefault="008267B2">
      <w:pPr>
        <w:spacing w:line="360" w:lineRule="auto"/>
        <w:ind w:left="-2" w:firstLine="850"/>
        <w:jc w:val="both"/>
        <w:rPr>
          <w:sz w:val="20"/>
          <w:szCs w:val="20"/>
        </w:rPr>
      </w:pPr>
      <w:r>
        <w:rPr>
          <w:sz w:val="24"/>
          <w:szCs w:val="24"/>
        </w:rPr>
        <w:t>Mikhail Bakhtin nasceu em</w:t>
      </w:r>
      <w:r>
        <w:rPr>
          <w:b/>
          <w:sz w:val="24"/>
          <w:szCs w:val="24"/>
        </w:rPr>
        <w:t xml:space="preserve"> </w:t>
      </w:r>
      <w:r>
        <w:rPr>
          <w:sz w:val="24"/>
          <w:szCs w:val="24"/>
        </w:rPr>
        <w:t>1895</w:t>
      </w:r>
      <w:r>
        <w:rPr>
          <w:b/>
          <w:sz w:val="24"/>
          <w:szCs w:val="24"/>
        </w:rPr>
        <w:t xml:space="preserve"> </w:t>
      </w:r>
      <w:r>
        <w:rPr>
          <w:sz w:val="24"/>
          <w:szCs w:val="24"/>
        </w:rPr>
        <w:t>e faleceu em</w:t>
      </w:r>
      <w:r>
        <w:rPr>
          <w:b/>
          <w:sz w:val="24"/>
          <w:szCs w:val="24"/>
        </w:rPr>
        <w:t xml:space="preserve"> </w:t>
      </w:r>
      <w:r>
        <w:rPr>
          <w:sz w:val="24"/>
          <w:szCs w:val="24"/>
        </w:rPr>
        <w:t>1975 e</w:t>
      </w:r>
      <w:r>
        <w:rPr>
          <w:b/>
          <w:sz w:val="24"/>
          <w:szCs w:val="24"/>
        </w:rPr>
        <w:t xml:space="preserve"> </w:t>
      </w:r>
      <w:r>
        <w:rPr>
          <w:sz w:val="24"/>
          <w:szCs w:val="24"/>
        </w:rPr>
        <w:t>Michel Pêcheux nasceu em 1938 e faleceu em 1984. Entretanto, cabe salientar que há diferentes compreensões quanto a autoria dos livros que no Brasil chegaram como exclusivamente de Bakhtin. Co</w:t>
      </w:r>
      <w:r>
        <w:rPr>
          <w:sz w:val="24"/>
          <w:szCs w:val="24"/>
        </w:rPr>
        <w:t>mo bem observa Zandwais (2015), a edição de 1986 de “</w:t>
      </w:r>
      <w:r>
        <w:rPr>
          <w:i/>
          <w:sz w:val="24"/>
          <w:szCs w:val="24"/>
        </w:rPr>
        <w:t>Marxismo e Filosofia da Linguagem</w:t>
      </w:r>
      <w:r>
        <w:rPr>
          <w:sz w:val="24"/>
          <w:szCs w:val="24"/>
        </w:rPr>
        <w:t>”, traduzida da versão francesa, credita a autoria Mikhail Bakhtin e Valentin Volochinov, todavia versões inglesas de 1973 e russo-francesa de 2009, atribuem autoria à Vo</w:t>
      </w:r>
      <w:r>
        <w:rPr>
          <w:sz w:val="24"/>
          <w:szCs w:val="24"/>
        </w:rPr>
        <w:t>lochinov, versão a que</w:t>
      </w:r>
      <w:r>
        <w:rPr>
          <w:b/>
          <w:sz w:val="24"/>
          <w:szCs w:val="24"/>
        </w:rPr>
        <w:t xml:space="preserve"> </w:t>
      </w:r>
      <w:r>
        <w:rPr>
          <w:sz w:val="24"/>
          <w:szCs w:val="24"/>
        </w:rPr>
        <w:t>Pêcheux teve acesso e menciona em 1980, revelando as influências do Círculo às gerações posteriores. Pêcheux (1995), mergulha em um debate profundo sobre como a perspectiva do marxismo-leninista articula-se ao debate sobre a semântic</w:t>
      </w:r>
      <w:r>
        <w:rPr>
          <w:sz w:val="24"/>
          <w:szCs w:val="24"/>
        </w:rPr>
        <w:t xml:space="preserve">a, o discurso e a linguagem, argumentando que: “[...] as contradições ideológicas que se desenvolvem através da unidade da língua são constituídas pelas relações </w:t>
      </w:r>
      <w:r>
        <w:rPr>
          <w:sz w:val="24"/>
          <w:szCs w:val="24"/>
        </w:rPr>
        <w:lastRenderedPageBreak/>
        <w:t xml:space="preserve">contraditórias que mantêm, necessariamente, entre si os ‘processos discursivos’, na medida em </w:t>
      </w:r>
      <w:r>
        <w:rPr>
          <w:sz w:val="24"/>
          <w:szCs w:val="24"/>
        </w:rPr>
        <w:t>que se inscrevem em relações ideológicas de classes (Pêcheux, 1995; p. 93).</w:t>
      </w:r>
      <w:r>
        <w:rPr>
          <w:sz w:val="20"/>
          <w:szCs w:val="20"/>
        </w:rPr>
        <w:t xml:space="preserve"> </w:t>
      </w:r>
    </w:p>
    <w:p w14:paraId="4DCBAEEF" w14:textId="77777777" w:rsidR="004801C5" w:rsidRDefault="008267B2">
      <w:pPr>
        <w:spacing w:line="360" w:lineRule="auto"/>
        <w:ind w:left="-2" w:firstLine="850"/>
        <w:jc w:val="both"/>
        <w:rPr>
          <w:sz w:val="24"/>
          <w:szCs w:val="24"/>
        </w:rPr>
      </w:pPr>
      <w:r>
        <w:rPr>
          <w:sz w:val="24"/>
          <w:szCs w:val="24"/>
        </w:rPr>
        <w:t>A unidade da língua não é um sistema inerte, mas espaço onde se manifestam conflitos ideológicos, necessitando de uma abordagem materialista sobre o discurso, já que a língua ofer</w:t>
      </w:r>
      <w:r>
        <w:rPr>
          <w:sz w:val="24"/>
          <w:szCs w:val="24"/>
        </w:rPr>
        <w:t>ece uma base estrutural relativamente autônoma e toda manifestação discursiva — ou processo discursivo — estando inevitavelmente imbricada às formações ideológicas, refletindo posições de classe e modos de confrontar sujeitos. A partir da linguagem e palav</w:t>
      </w:r>
      <w:r>
        <w:rPr>
          <w:sz w:val="24"/>
          <w:szCs w:val="24"/>
        </w:rPr>
        <w:t>ras criamos estratégias para assumir e demarcar posicionamentos, materializando e espelhando os interesses ideológicos em jogo.</w:t>
      </w:r>
    </w:p>
    <w:p w14:paraId="1A02ED7B" w14:textId="77777777" w:rsidR="004801C5" w:rsidRDefault="008267B2">
      <w:pPr>
        <w:spacing w:line="360" w:lineRule="auto"/>
        <w:ind w:left="-2" w:firstLine="850"/>
        <w:jc w:val="both"/>
        <w:rPr>
          <w:color w:val="FF0000"/>
          <w:sz w:val="24"/>
          <w:szCs w:val="24"/>
        </w:rPr>
      </w:pPr>
      <w:r>
        <w:rPr>
          <w:sz w:val="24"/>
          <w:szCs w:val="24"/>
        </w:rPr>
        <w:t>Assim, a linguagem constitui-se em fenômeno vivo, servindo também enquanto instrumento de crítica à normatização e elitização do</w:t>
      </w:r>
      <w:r>
        <w:rPr>
          <w:sz w:val="24"/>
          <w:szCs w:val="24"/>
        </w:rPr>
        <w:t xml:space="preserve"> modo de se comunicar e de estratificar a sociedade. A língua é construída coletivamente e utilizada pelo ser social como forma de estabelecer interações, não estando submissa a regras, portanto é produto e processo social. Não há como restringir o uso da </w:t>
      </w:r>
      <w:r>
        <w:rPr>
          <w:sz w:val="24"/>
          <w:szCs w:val="24"/>
        </w:rPr>
        <w:t>língua e a realidade linguística e aqui em específico a imposições, pois os indivíduos no momento da interação exercem uma prática viva da língua com objetivos e intencionalidades.</w:t>
      </w:r>
    </w:p>
    <w:p w14:paraId="7D5D3550" w14:textId="77777777" w:rsidR="004801C5" w:rsidRDefault="008267B2">
      <w:pPr>
        <w:spacing w:line="360" w:lineRule="auto"/>
        <w:ind w:left="-2" w:firstLine="850"/>
        <w:jc w:val="both"/>
        <w:rPr>
          <w:sz w:val="24"/>
          <w:szCs w:val="24"/>
        </w:rPr>
      </w:pPr>
      <w:r>
        <w:rPr>
          <w:sz w:val="24"/>
          <w:szCs w:val="24"/>
        </w:rPr>
        <w:t>Tais aspectos encontram confluências em Norman Fairclough (2016), que propõ</w:t>
      </w:r>
      <w:r>
        <w:rPr>
          <w:sz w:val="24"/>
          <w:szCs w:val="24"/>
        </w:rPr>
        <w:t>e uma Teoria Social do Discurso que contribua não somente para os estudos da linguagem, mas sobretudo para o estudo das mudanças e transformações sociais e culturais, partindo do entendimento de que a linguagem é multifuncional, pois representa e ordena as</w:t>
      </w:r>
      <w:r>
        <w:rPr>
          <w:sz w:val="24"/>
          <w:szCs w:val="24"/>
        </w:rPr>
        <w:t xml:space="preserve"> relações sociais e estabelece identidades. Logo, </w:t>
      </w:r>
    </w:p>
    <w:p w14:paraId="7BD32FA7" w14:textId="77777777" w:rsidR="004801C5" w:rsidRDefault="008267B2">
      <w:pPr>
        <w:spacing w:line="240" w:lineRule="auto"/>
        <w:ind w:left="2552"/>
        <w:jc w:val="both"/>
        <w:rPr>
          <w:sz w:val="20"/>
          <w:szCs w:val="20"/>
        </w:rPr>
      </w:pPr>
      <w:r>
        <w:rPr>
          <w:sz w:val="20"/>
          <w:szCs w:val="20"/>
        </w:rPr>
        <w:t xml:space="preserve">A relação das palavras com os significados e de muitos-para-um e não de um-para-um, em ambas as direções: as palavras têm tipicamente vários significados </w:t>
      </w:r>
      <w:r>
        <w:t>[...]</w:t>
      </w:r>
      <w:r>
        <w:rPr>
          <w:sz w:val="20"/>
          <w:szCs w:val="20"/>
        </w:rPr>
        <w:t xml:space="preserve"> isso significa que como produtores estamos diante de escolhas sobre como usar uma palavra e como</w:t>
      </w:r>
      <w:r>
        <w:rPr>
          <w:sz w:val="20"/>
          <w:szCs w:val="20"/>
        </w:rPr>
        <w:t xml:space="preserve"> expressar um significado por meio de palavras, e como intérpretes sempre nos confrontamos com decisões sobre como interpretar as escolhas que os produtores fizeram (que valores atribuir a elas). Essas escolhas e decisões não são de natureza puramente indi</w:t>
      </w:r>
      <w:r>
        <w:rPr>
          <w:sz w:val="20"/>
          <w:szCs w:val="20"/>
        </w:rPr>
        <w:t xml:space="preserve">vidual: os significados das palavras e a lexicalização de significados são questões que são variáveis socialmente </w:t>
      </w:r>
      <w:r>
        <w:rPr>
          <w:sz w:val="20"/>
          <w:szCs w:val="20"/>
        </w:rPr>
        <w:lastRenderedPageBreak/>
        <w:t>e socialmente contestadas, e facetas de processos sociais e culturais mais amplos (Fairclough, 2016; p. 239).</w:t>
      </w:r>
    </w:p>
    <w:p w14:paraId="6FD80197" w14:textId="77777777" w:rsidR="004801C5" w:rsidRDefault="004801C5">
      <w:pPr>
        <w:spacing w:line="360" w:lineRule="auto"/>
        <w:ind w:left="2552"/>
        <w:jc w:val="both"/>
        <w:rPr>
          <w:sz w:val="24"/>
          <w:szCs w:val="24"/>
        </w:rPr>
      </w:pPr>
    </w:p>
    <w:p w14:paraId="4CC1FBA9" w14:textId="77777777" w:rsidR="004801C5" w:rsidRDefault="008267B2">
      <w:pPr>
        <w:spacing w:line="360" w:lineRule="auto"/>
        <w:ind w:left="-2" w:firstLine="850"/>
        <w:jc w:val="both"/>
        <w:rPr>
          <w:sz w:val="24"/>
          <w:szCs w:val="24"/>
        </w:rPr>
      </w:pPr>
      <w:r>
        <w:rPr>
          <w:sz w:val="24"/>
          <w:szCs w:val="24"/>
        </w:rPr>
        <w:t>Ou seja, em sua atualidade anal</w:t>
      </w:r>
      <w:r>
        <w:rPr>
          <w:sz w:val="24"/>
          <w:szCs w:val="24"/>
        </w:rPr>
        <w:t>ítica Fairclough estabelece interseções entre os discursos e as mudanças sociais engendradas pelos diferentes grupos e movimentos sociais que tomam na linguagem meio de confrontar os “discursos de prestígios”. Fairclough, adverte: “</w:t>
      </w:r>
      <w:r>
        <w:rPr>
          <w:i/>
          <w:sz w:val="24"/>
          <w:szCs w:val="24"/>
        </w:rPr>
        <w:t>Não se trata de proclama</w:t>
      </w:r>
      <w:r>
        <w:rPr>
          <w:i/>
          <w:sz w:val="24"/>
          <w:szCs w:val="24"/>
        </w:rPr>
        <w:t>r o surgimento de uma utopia linguística. São conquistas advindas de lutas sociais que encontram resistências e continuam a provocá-la</w:t>
      </w:r>
      <w:r>
        <w:rPr>
          <w:sz w:val="24"/>
          <w:szCs w:val="24"/>
        </w:rPr>
        <w:t>” (Fairclough, 2016; p. 258).</w:t>
      </w:r>
    </w:p>
    <w:p w14:paraId="48E05B56" w14:textId="77777777" w:rsidR="004801C5" w:rsidRDefault="008267B2">
      <w:pPr>
        <w:spacing w:line="360" w:lineRule="auto"/>
        <w:ind w:left="-2" w:firstLine="850"/>
        <w:jc w:val="both"/>
        <w:rPr>
          <w:sz w:val="24"/>
          <w:szCs w:val="24"/>
        </w:rPr>
      </w:pPr>
      <w:r>
        <w:rPr>
          <w:sz w:val="24"/>
          <w:szCs w:val="24"/>
        </w:rPr>
        <w:t>Atualmente, vemos o intenso debate em torno da utilização da linguagem neutra que encontra r</w:t>
      </w:r>
      <w:r>
        <w:rPr>
          <w:sz w:val="24"/>
          <w:szCs w:val="24"/>
        </w:rPr>
        <w:t xml:space="preserve">esistência tanto nos setores conversadores quanto nos que se compreendem progressistas e de esquerda. Não são recentes as diferentes estratégias que visam impor limites a qualquer forma de manifestação verbal que destoe ou encaminhe para um questionamento </w:t>
      </w:r>
      <w:r>
        <w:rPr>
          <w:sz w:val="24"/>
          <w:szCs w:val="24"/>
        </w:rPr>
        <w:t xml:space="preserve">a uma sociedade padronizada, limitada e que tem nas figuras do homem, branco, europeu, cisheteronormativo e burguês como modelos corretos de apresentação e vocalização. </w:t>
      </w:r>
    </w:p>
    <w:p w14:paraId="621CBD05" w14:textId="77777777" w:rsidR="004801C5" w:rsidRDefault="008267B2">
      <w:pPr>
        <w:spacing w:line="360" w:lineRule="auto"/>
        <w:ind w:left="-2" w:firstLine="850"/>
        <w:jc w:val="both"/>
        <w:rPr>
          <w:sz w:val="24"/>
          <w:szCs w:val="24"/>
        </w:rPr>
      </w:pPr>
      <w:r>
        <w:rPr>
          <w:sz w:val="24"/>
          <w:szCs w:val="24"/>
        </w:rPr>
        <w:t>A linguagem e as palavras devem ser compreendidas em seus contextos sociais e históric</w:t>
      </w:r>
      <w:r>
        <w:rPr>
          <w:sz w:val="24"/>
          <w:szCs w:val="24"/>
        </w:rPr>
        <w:t>os, considerando que as escolhas linguísticas refletem e influenciam as relações de poder, ressaltando a importância de reconhecer a multiplicidade de vozes, pensando como determinadas narrativas e palavras podem</w:t>
      </w:r>
      <w:r>
        <w:rPr>
          <w:b/>
          <w:sz w:val="24"/>
          <w:szCs w:val="24"/>
        </w:rPr>
        <w:t xml:space="preserve"> </w:t>
      </w:r>
      <w:r>
        <w:rPr>
          <w:sz w:val="24"/>
          <w:szCs w:val="24"/>
        </w:rPr>
        <w:t>perpetuar desigualdades, à medida que també</w:t>
      </w:r>
      <w:r>
        <w:rPr>
          <w:sz w:val="24"/>
          <w:szCs w:val="24"/>
        </w:rPr>
        <w:t>m pode ser potencial promotor de transformação social ao utilizarmos</w:t>
      </w:r>
      <w:r>
        <w:rPr>
          <w:b/>
          <w:sz w:val="24"/>
          <w:szCs w:val="24"/>
        </w:rPr>
        <w:t xml:space="preserve"> </w:t>
      </w:r>
      <w:r>
        <w:rPr>
          <w:sz w:val="24"/>
          <w:szCs w:val="24"/>
        </w:rPr>
        <w:t xml:space="preserve">o discurso e as palavras como uma ferramenta para questionar e modificar estruturas sociais hegemônicas impostas. </w:t>
      </w:r>
    </w:p>
    <w:p w14:paraId="038C4D4D" w14:textId="77777777" w:rsidR="004801C5" w:rsidRDefault="004801C5">
      <w:pPr>
        <w:spacing w:line="360" w:lineRule="auto"/>
        <w:ind w:left="-2" w:firstLine="850"/>
        <w:jc w:val="both"/>
        <w:rPr>
          <w:sz w:val="24"/>
          <w:szCs w:val="24"/>
        </w:rPr>
      </w:pPr>
    </w:p>
    <w:p w14:paraId="387E2657" w14:textId="77777777" w:rsidR="004801C5" w:rsidRDefault="008267B2">
      <w:pPr>
        <w:spacing w:line="240" w:lineRule="auto"/>
        <w:ind w:hanging="2"/>
        <w:jc w:val="both"/>
        <w:rPr>
          <w:b/>
          <w:smallCaps/>
          <w:sz w:val="24"/>
          <w:szCs w:val="24"/>
        </w:rPr>
      </w:pPr>
      <w:r>
        <w:rPr>
          <w:b/>
          <w:smallCaps/>
          <w:sz w:val="24"/>
          <w:szCs w:val="24"/>
        </w:rPr>
        <w:t>3 A LINGUAGEM COMO ESTRATÉGIA DE COMBATE ÀS FERIDAS DO CAPITALISMO COLO</w:t>
      </w:r>
      <w:r>
        <w:rPr>
          <w:b/>
          <w:smallCaps/>
          <w:sz w:val="24"/>
          <w:szCs w:val="24"/>
        </w:rPr>
        <w:t>NIAL E RACIAL</w:t>
      </w:r>
    </w:p>
    <w:p w14:paraId="5A91A741" w14:textId="77777777" w:rsidR="004801C5" w:rsidRDefault="008267B2">
      <w:pPr>
        <w:spacing w:line="360" w:lineRule="auto"/>
        <w:ind w:left="-2" w:firstLine="850"/>
        <w:jc w:val="both"/>
        <w:rPr>
          <w:sz w:val="24"/>
          <w:szCs w:val="24"/>
        </w:rPr>
      </w:pPr>
      <w:r>
        <w:rPr>
          <w:sz w:val="24"/>
          <w:szCs w:val="24"/>
        </w:rPr>
        <w:t>A linguagem, as palavras e os discursos são elementos fundamentais e fundantes de relações sociais, marcadas por dinâmicas contraditórias e em disputa constante. Não cabem normas rígidas e universais para seu uso. À medida que manifestam e re</w:t>
      </w:r>
      <w:r>
        <w:rPr>
          <w:sz w:val="24"/>
          <w:szCs w:val="24"/>
        </w:rPr>
        <w:t>velam desigualdades</w:t>
      </w:r>
      <w:r>
        <w:rPr>
          <w:b/>
          <w:sz w:val="24"/>
          <w:szCs w:val="24"/>
        </w:rPr>
        <w:t xml:space="preserve">, </w:t>
      </w:r>
      <w:r>
        <w:rPr>
          <w:sz w:val="24"/>
          <w:szCs w:val="24"/>
        </w:rPr>
        <w:t xml:space="preserve">as palavras também se tornam ferramentas de </w:t>
      </w:r>
      <w:r>
        <w:rPr>
          <w:sz w:val="24"/>
          <w:szCs w:val="24"/>
        </w:rPr>
        <w:lastRenderedPageBreak/>
        <w:t>dominação e exploração, atuando como “um mecanismo de manutenção de poder” (Ribeiro, 2017). Lélia Gonzalez, denunciava o caráter controlador da língua como dispositivo de negação da racionali</w:t>
      </w:r>
      <w:r>
        <w:rPr>
          <w:sz w:val="24"/>
          <w:szCs w:val="24"/>
        </w:rPr>
        <w:t xml:space="preserve">dade das populações negras. </w:t>
      </w:r>
    </w:p>
    <w:p w14:paraId="20CA45AD" w14:textId="77777777" w:rsidR="004801C5" w:rsidRDefault="008267B2">
      <w:pPr>
        <w:spacing w:line="240" w:lineRule="auto"/>
        <w:ind w:left="2552"/>
        <w:jc w:val="both"/>
        <w:rPr>
          <w:sz w:val="20"/>
          <w:szCs w:val="20"/>
        </w:rPr>
      </w:pPr>
      <w:r>
        <w:rPr>
          <w:sz w:val="20"/>
          <w:szCs w:val="20"/>
        </w:rPr>
        <w:t xml:space="preserve">Chamam a gente de ignorante dizendo que a gente fala errado. E de repente ignoram que a presença desse r no lugar do l, nada mais é que a marca linguística de um idioma africano, no qual o l inexiste </w:t>
      </w:r>
      <w:proofErr w:type="gramStart"/>
      <w:r>
        <w:t>[...]</w:t>
      </w:r>
      <w:r>
        <w:rPr>
          <w:sz w:val="20"/>
          <w:szCs w:val="20"/>
        </w:rPr>
        <w:t xml:space="preserve"> </w:t>
      </w:r>
      <w:r>
        <w:rPr>
          <w:b/>
          <w:sz w:val="20"/>
          <w:szCs w:val="20"/>
        </w:rPr>
        <w:t>Não</w:t>
      </w:r>
      <w:proofErr w:type="gramEnd"/>
      <w:r>
        <w:rPr>
          <w:b/>
          <w:sz w:val="20"/>
          <w:szCs w:val="20"/>
        </w:rPr>
        <w:t xml:space="preserve"> sacam</w:t>
      </w:r>
      <w:r>
        <w:rPr>
          <w:b/>
          <w:sz w:val="20"/>
          <w:szCs w:val="20"/>
        </w:rPr>
        <w:t xml:space="preserve"> que tão falando pretuguês </w:t>
      </w:r>
      <w:r>
        <w:rPr>
          <w:sz w:val="20"/>
          <w:szCs w:val="20"/>
        </w:rPr>
        <w:t>(Gonzalez, 1984; p. 238; grifo meu).</w:t>
      </w:r>
    </w:p>
    <w:p w14:paraId="0ADFC841" w14:textId="77777777" w:rsidR="004801C5" w:rsidRDefault="008267B2">
      <w:pPr>
        <w:spacing w:line="360" w:lineRule="auto"/>
        <w:ind w:left="-2" w:firstLine="849"/>
        <w:jc w:val="both"/>
        <w:rPr>
          <w:sz w:val="24"/>
          <w:szCs w:val="24"/>
        </w:rPr>
      </w:pPr>
      <w:r>
        <w:t xml:space="preserve">Em Gonzalez (1984), encontramos o conceito de </w:t>
      </w:r>
      <w:r>
        <w:rPr>
          <w:i/>
        </w:rPr>
        <w:t>pretuguês</w:t>
      </w:r>
      <w:r>
        <w:t>, que, segundo a teórica amefricana marxista, é uma língua insubmissa, que desobedece, desloca e contraria o português normativo e oficia</w:t>
      </w:r>
      <w:r>
        <w:t>l — esse instrumento de dominação que tentou aprisionar corpos e mentes.</w:t>
      </w:r>
      <w:r>
        <w:rPr>
          <w:b/>
        </w:rPr>
        <w:t xml:space="preserve"> </w:t>
      </w:r>
      <w:r>
        <w:t>O povo negro, forçado a falar a língua do colonizador para sobreviver e resistir, também foi capaz de transformá-la, subvertê-la e recriá-la (Nascimento, 2019).</w:t>
      </w:r>
      <w:r>
        <w:rPr>
          <w:sz w:val="24"/>
          <w:szCs w:val="24"/>
        </w:rPr>
        <w:t xml:space="preserve"> As construções de Gonz</w:t>
      </w:r>
      <w:r>
        <w:rPr>
          <w:sz w:val="24"/>
          <w:szCs w:val="24"/>
        </w:rPr>
        <w:t xml:space="preserve">áles dialogam com as falas de Antônio Nego Bispo (2020), que nos diz: </w:t>
      </w:r>
    </w:p>
    <w:p w14:paraId="46122740" w14:textId="77777777" w:rsidR="004801C5" w:rsidRDefault="008267B2">
      <w:pPr>
        <w:spacing w:line="240" w:lineRule="auto"/>
        <w:ind w:left="2552"/>
        <w:jc w:val="both"/>
        <w:rPr>
          <w:sz w:val="20"/>
          <w:szCs w:val="20"/>
        </w:rPr>
      </w:pPr>
      <w:r>
        <w:rPr>
          <w:sz w:val="20"/>
          <w:szCs w:val="20"/>
        </w:rPr>
        <w:t>E escrevemos mal ortografado. Quando nós cantamos desafinando. E dançamos descompassado. Quando nós pintamos borrando. E desenhamos enviesado. Não é por que estamos errando. É porque nã</w:t>
      </w:r>
      <w:r>
        <w:rPr>
          <w:sz w:val="20"/>
          <w:szCs w:val="20"/>
        </w:rPr>
        <w:t xml:space="preserve">o fomos colonizados. </w:t>
      </w:r>
    </w:p>
    <w:p w14:paraId="4178A096" w14:textId="77777777" w:rsidR="004801C5" w:rsidRDefault="008267B2">
      <w:pPr>
        <w:spacing w:line="360" w:lineRule="auto"/>
        <w:ind w:left="-2" w:firstLine="849"/>
        <w:jc w:val="both"/>
      </w:pPr>
      <w:r>
        <w:t>Nego Bispo nos lembra que o erro, na lógica colonial, é muitas vezes apenas o nome que se dá à diferença que resiste.</w:t>
      </w:r>
      <w:r>
        <w:rPr>
          <w:b/>
        </w:rPr>
        <w:t xml:space="preserve"> </w:t>
      </w:r>
      <w:r>
        <w:t>Sua fala é uma denúncia poética da colonialidade da linguagem — que tenta fixar como "erro" aquilo que escapa à norm</w:t>
      </w:r>
      <w:r>
        <w:t>a branca, europeia e patriarcal. A</w:t>
      </w:r>
      <w:r>
        <w:rPr>
          <w:sz w:val="24"/>
          <w:szCs w:val="24"/>
        </w:rPr>
        <w:t xml:space="preserve"> violência colonial na imposição do português cheio de normas e regras, entendido como “correto”, </w:t>
      </w:r>
      <w:r>
        <w:t>uma das mais perversas estratégias coloniais</w:t>
      </w:r>
      <w:r>
        <w:rPr>
          <w:sz w:val="24"/>
          <w:szCs w:val="24"/>
        </w:rPr>
        <w:t>, pois n</w:t>
      </w:r>
      <w:r>
        <w:t>ão se trata apenas de ensinar um idioma, mas de apagar outros mundos e o</w:t>
      </w:r>
      <w:r>
        <w:t>utras formas de nomear o mundo. Além disso, se i</w:t>
      </w:r>
      <w:r>
        <w:rPr>
          <w:sz w:val="24"/>
          <w:szCs w:val="24"/>
        </w:rPr>
        <w:t>mpõe a utilização de substantivos que singularizam e respaldam modelos padrões, tais como “sujeito”, “humano” e “todos” como capazes de atender uma multiplicidade de vidas e histórias. Grada Kilomba ao public</w:t>
      </w:r>
      <w:r>
        <w:rPr>
          <w:sz w:val="24"/>
          <w:szCs w:val="24"/>
        </w:rPr>
        <w:t xml:space="preserve">ar o seu livro na língua portuguesa do Brasil, frisa: </w:t>
      </w:r>
    </w:p>
    <w:p w14:paraId="4BB56844" w14:textId="77777777" w:rsidR="004801C5" w:rsidRDefault="008267B2">
      <w:pPr>
        <w:spacing w:line="240" w:lineRule="auto"/>
        <w:ind w:left="2552"/>
        <w:jc w:val="both"/>
        <w:rPr>
          <w:sz w:val="20"/>
          <w:szCs w:val="20"/>
        </w:rPr>
      </w:pPr>
      <w:r>
        <w:rPr>
          <w:sz w:val="20"/>
          <w:szCs w:val="20"/>
        </w:rPr>
        <w:t>A língua, por mais poética que possa ser, tem também uma dimensão política de criar, fixar e perpetuar relações de poder e de violência, pois cada palavra que usamos define o lugar de uma identidade. N</w:t>
      </w:r>
      <w:r>
        <w:rPr>
          <w:sz w:val="20"/>
          <w:szCs w:val="20"/>
        </w:rPr>
        <w:t xml:space="preserve">o fundo, através das suas terminologias, a língua informa-nos constantemente de quem é </w:t>
      </w:r>
      <w:r>
        <w:rPr>
          <w:i/>
          <w:sz w:val="20"/>
          <w:szCs w:val="20"/>
        </w:rPr>
        <w:t>normal</w:t>
      </w:r>
      <w:r>
        <w:rPr>
          <w:sz w:val="20"/>
          <w:szCs w:val="20"/>
        </w:rPr>
        <w:t xml:space="preserve"> e de quem é pode representar a </w:t>
      </w:r>
      <w:r>
        <w:rPr>
          <w:i/>
          <w:sz w:val="20"/>
          <w:szCs w:val="20"/>
        </w:rPr>
        <w:t>verdadeira condição humana</w:t>
      </w:r>
      <w:r>
        <w:rPr>
          <w:sz w:val="20"/>
          <w:szCs w:val="20"/>
        </w:rPr>
        <w:t xml:space="preserve">. </w:t>
      </w:r>
    </w:p>
    <w:p w14:paraId="096DE760" w14:textId="77777777" w:rsidR="004801C5" w:rsidRDefault="008267B2">
      <w:pPr>
        <w:spacing w:line="360" w:lineRule="auto"/>
        <w:ind w:left="-2" w:firstLine="849"/>
        <w:jc w:val="both"/>
        <w:rPr>
          <w:sz w:val="24"/>
          <w:szCs w:val="24"/>
        </w:rPr>
      </w:pPr>
      <w:r>
        <w:t>Assim como o território, a linguagem é um campo de disputa simbólica e material.</w:t>
      </w:r>
      <w:r>
        <w:rPr>
          <w:sz w:val="24"/>
          <w:szCs w:val="24"/>
        </w:rPr>
        <w:t xml:space="preserve"> A depender do lugar, </w:t>
      </w:r>
      <w:r>
        <w:rPr>
          <w:sz w:val="24"/>
          <w:szCs w:val="24"/>
        </w:rPr>
        <w:t xml:space="preserve">palavras que pretendem nomear grupos e coletivos revelam-se </w:t>
      </w:r>
      <w:r>
        <w:rPr>
          <w:sz w:val="24"/>
          <w:szCs w:val="24"/>
        </w:rPr>
        <w:lastRenderedPageBreak/>
        <w:t>moldadas por relações de gênero que posicionam o homem, o masculino, como padrão e universal. Neste texto, pautando-me em intelectuais da diáspora, sustento que a língua não impõe apenas um gênero</w:t>
      </w:r>
      <w:r>
        <w:rPr>
          <w:sz w:val="24"/>
          <w:szCs w:val="24"/>
        </w:rPr>
        <w:t>, mas sobretudo promove o apagamento de diferentes raças e etnias por meio da utilização de substantivos no singular, que não revelam a totalidade da realidade social, mas sim fragmentam.</w:t>
      </w:r>
    </w:p>
    <w:p w14:paraId="58520C37" w14:textId="77777777" w:rsidR="004801C5" w:rsidRDefault="004801C5">
      <w:pPr>
        <w:spacing w:line="360" w:lineRule="auto"/>
        <w:ind w:hanging="2"/>
        <w:jc w:val="both"/>
      </w:pPr>
    </w:p>
    <w:p w14:paraId="5EAB789D" w14:textId="77777777" w:rsidR="004801C5" w:rsidRDefault="008267B2">
      <w:pPr>
        <w:spacing w:line="240" w:lineRule="auto"/>
        <w:ind w:hanging="2"/>
        <w:jc w:val="both"/>
        <w:rPr>
          <w:b/>
          <w:i/>
          <w:smallCaps/>
          <w:sz w:val="24"/>
          <w:szCs w:val="24"/>
        </w:rPr>
      </w:pPr>
      <w:r>
        <w:rPr>
          <w:b/>
          <w:smallCaps/>
          <w:sz w:val="24"/>
          <w:szCs w:val="24"/>
        </w:rPr>
        <w:t xml:space="preserve">4 DAS INFÂNCIAS PLURAIS AOS POVOS DA FLORESTA: INSURGÊNCIAS CONTRA </w:t>
      </w:r>
      <w:r>
        <w:rPr>
          <w:b/>
          <w:smallCaps/>
          <w:sz w:val="24"/>
          <w:szCs w:val="24"/>
        </w:rPr>
        <w:t xml:space="preserve">A UNIVERSALIZAÇÃO DO </w:t>
      </w:r>
      <w:r>
        <w:rPr>
          <w:b/>
          <w:i/>
          <w:smallCaps/>
          <w:sz w:val="24"/>
          <w:szCs w:val="24"/>
        </w:rPr>
        <w:t>“ENFANT”</w:t>
      </w:r>
    </w:p>
    <w:p w14:paraId="733F08AE" w14:textId="77777777" w:rsidR="004801C5" w:rsidRDefault="008267B2">
      <w:pPr>
        <w:spacing w:line="360" w:lineRule="auto"/>
        <w:ind w:left="-2" w:firstLine="850"/>
        <w:jc w:val="both"/>
        <w:rPr>
          <w:sz w:val="24"/>
          <w:szCs w:val="24"/>
        </w:rPr>
      </w:pPr>
      <w:r>
        <w:rPr>
          <w:sz w:val="24"/>
          <w:szCs w:val="24"/>
        </w:rPr>
        <w:t xml:space="preserve">O conceito de infância é historicamente construído, socialmente situado e epistemologicamente disputado, sendo complexo, multifacetado e heteróclito. Não há sequer a possibilidade de se estabelecer uma definição atemporal. Do </w:t>
      </w:r>
      <w:r>
        <w:rPr>
          <w:sz w:val="24"/>
          <w:szCs w:val="24"/>
        </w:rPr>
        <w:t>mesmo modo, não é possível indicar ou consagrar um único teórico</w:t>
      </w:r>
      <w:r>
        <w:rPr>
          <w:sz w:val="24"/>
          <w:szCs w:val="24"/>
          <w:vertAlign w:val="superscript"/>
        </w:rPr>
        <w:footnoteReference w:id="2"/>
      </w:r>
      <w:r>
        <w:rPr>
          <w:sz w:val="24"/>
          <w:szCs w:val="24"/>
        </w:rPr>
        <w:t xml:space="preserve"> como seu formulador inaugural, haja vista sua presença inicial entre estudiosos do desenvolvimento humano e do desenvolvimento infantil — campos muitas vezes confundidos de forma equivocada</w:t>
      </w:r>
      <w:r>
        <w:rPr>
          <w:sz w:val="24"/>
          <w:szCs w:val="24"/>
        </w:rPr>
        <w:t>.</w:t>
      </w:r>
    </w:p>
    <w:p w14:paraId="543CFFC2" w14:textId="77777777" w:rsidR="004801C5" w:rsidRDefault="008267B2">
      <w:pPr>
        <w:spacing w:line="360" w:lineRule="auto"/>
        <w:ind w:left="-2" w:firstLine="850"/>
        <w:jc w:val="both"/>
        <w:rPr>
          <w:sz w:val="24"/>
          <w:szCs w:val="24"/>
        </w:rPr>
      </w:pPr>
      <w:r>
        <w:rPr>
          <w:sz w:val="24"/>
          <w:szCs w:val="24"/>
        </w:rPr>
        <w:t>O árduo e complexo objetivo de fomentar uma compreensão crítica sobre os apagamentos e essencialização que o termo “infância” carrega — marcando, assim, o silenciamento de uma infinidade de existências historicamente ignoradas — exige uma retomada do sen</w:t>
      </w:r>
      <w:r>
        <w:rPr>
          <w:sz w:val="24"/>
          <w:szCs w:val="24"/>
        </w:rPr>
        <w:t>tido, do significado, do lugar e do território que lhe deram origem</w:t>
      </w:r>
      <w:r>
        <w:rPr>
          <w:sz w:val="24"/>
          <w:szCs w:val="24"/>
          <w:vertAlign w:val="superscript"/>
        </w:rPr>
        <w:footnoteReference w:id="3"/>
      </w:r>
      <w:r>
        <w:rPr>
          <w:sz w:val="24"/>
          <w:szCs w:val="24"/>
        </w:rPr>
        <w:t xml:space="preserve">. A palavra “infância” vem do latim </w:t>
      </w:r>
      <w:r>
        <w:rPr>
          <w:i/>
          <w:sz w:val="24"/>
          <w:szCs w:val="24"/>
        </w:rPr>
        <w:t>infantia</w:t>
      </w:r>
      <w:r>
        <w:rPr>
          <w:sz w:val="24"/>
          <w:szCs w:val="24"/>
        </w:rPr>
        <w:t>, que significa “ausência de fala” — expressão que carrega a violência epistêmica da negação da racionalidade. É justamente desse lugar europeu</w:t>
      </w:r>
      <w:r>
        <w:rPr>
          <w:sz w:val="24"/>
          <w:szCs w:val="24"/>
        </w:rPr>
        <w:t xml:space="preserve"> que se impõe a compreensão de que o termo infância deriva de </w:t>
      </w:r>
      <w:r>
        <w:rPr>
          <w:i/>
          <w:sz w:val="24"/>
          <w:szCs w:val="24"/>
        </w:rPr>
        <w:t>enfant</w:t>
      </w:r>
      <w:r>
        <w:rPr>
          <w:sz w:val="24"/>
          <w:szCs w:val="24"/>
        </w:rPr>
        <w:t>, o “ser sem voz”. A partir disso nos é repassada a ideia de que houve um processo histórico comum, linear e homogêneo para as crianças nos mais diversos recantos do mundo.</w:t>
      </w:r>
    </w:p>
    <w:p w14:paraId="432C9BC1" w14:textId="77777777" w:rsidR="004801C5" w:rsidRDefault="008267B2">
      <w:pPr>
        <w:spacing w:line="360" w:lineRule="auto"/>
        <w:ind w:left="-2" w:firstLine="850"/>
        <w:jc w:val="both"/>
        <w:rPr>
          <w:sz w:val="24"/>
          <w:szCs w:val="24"/>
        </w:rPr>
      </w:pPr>
      <w:r>
        <w:rPr>
          <w:sz w:val="24"/>
          <w:szCs w:val="24"/>
        </w:rPr>
        <w:t xml:space="preserve">Historiadores e pesquisadores de diferentes vertentes teóricas e políticas, ainda assim pertencentes a um mesmo lugar de enunciação — branco, europeu, </w:t>
      </w:r>
      <w:r>
        <w:rPr>
          <w:sz w:val="24"/>
          <w:szCs w:val="24"/>
        </w:rPr>
        <w:lastRenderedPageBreak/>
        <w:t>universal — escrevem sobre “a infância” no singular, consolidando uma leitura que uniformiza o diverso. T</w:t>
      </w:r>
      <w:r>
        <w:rPr>
          <w:sz w:val="24"/>
          <w:szCs w:val="24"/>
        </w:rPr>
        <w:t>ais compreensões reverberam nos estudos sobre crianças conduzidos por historiadores, higienistas e pesquisadores da sociologia da infância no Brasil, marcados, em sua maioria, por perfis brancos, do Sul e Sudeste do país.</w:t>
      </w:r>
    </w:p>
    <w:p w14:paraId="216012A2" w14:textId="77777777" w:rsidR="004801C5" w:rsidRDefault="008267B2">
      <w:pPr>
        <w:spacing w:line="360" w:lineRule="auto"/>
        <w:ind w:left="-2" w:firstLine="850"/>
        <w:jc w:val="both"/>
        <w:rPr>
          <w:sz w:val="24"/>
          <w:szCs w:val="24"/>
        </w:rPr>
      </w:pPr>
      <w:r>
        <w:rPr>
          <w:sz w:val="24"/>
          <w:szCs w:val="24"/>
        </w:rPr>
        <w:t>Esse perfil dominante reforça a ló</w:t>
      </w:r>
      <w:r>
        <w:rPr>
          <w:sz w:val="24"/>
          <w:szCs w:val="24"/>
        </w:rPr>
        <w:t>gica colonial do saber: uma geopolítica acadêmica que centraliza a produção nos grandes centros e subalterniza a Amazônia, relegando-a ao papel de zona de extração — de corpos, de experiências, de saberes — e não como sujeito produtor de conhecimento. À re</w:t>
      </w:r>
      <w:r>
        <w:rPr>
          <w:sz w:val="24"/>
          <w:szCs w:val="24"/>
        </w:rPr>
        <w:t xml:space="preserve">gião é atribuído o papel de fornecedora de matéria-prima e de mão de obra gratuita, pois nem mesmo como “barata” foi — ou </w:t>
      </w:r>
      <w:proofErr w:type="spellStart"/>
      <w:r>
        <w:rPr>
          <w:sz w:val="24"/>
          <w:szCs w:val="24"/>
        </w:rPr>
        <w:t>é</w:t>
      </w:r>
      <w:proofErr w:type="spellEnd"/>
      <w:r>
        <w:rPr>
          <w:sz w:val="24"/>
          <w:szCs w:val="24"/>
        </w:rPr>
        <w:t xml:space="preserve"> — considerada.</w:t>
      </w:r>
    </w:p>
    <w:p w14:paraId="7DB78A51" w14:textId="77777777" w:rsidR="004801C5" w:rsidRDefault="008267B2">
      <w:pPr>
        <w:spacing w:line="360" w:lineRule="auto"/>
        <w:ind w:left="-2" w:firstLine="850"/>
        <w:jc w:val="both"/>
        <w:rPr>
          <w:sz w:val="24"/>
          <w:szCs w:val="24"/>
        </w:rPr>
      </w:pPr>
      <w:r>
        <w:rPr>
          <w:sz w:val="24"/>
          <w:szCs w:val="24"/>
        </w:rPr>
        <w:t>A literatura nacional sobre crianças e a sua historiografia aos poucos vêm enxergando e lendo o quanto foi danoso e v</w:t>
      </w:r>
      <w:r>
        <w:rPr>
          <w:sz w:val="24"/>
          <w:szCs w:val="24"/>
        </w:rPr>
        <w:t>em sendo prejudicial a abordagem que por anos falavam de uma infância no singular que neutralizou corpos e retirou identidade e memórias. Por anos tivemos estudos no campo da História da Infância que faziam menção à "infância pobre” ou "infância desvalida”</w:t>
      </w:r>
      <w:r>
        <w:rPr>
          <w:sz w:val="24"/>
          <w:szCs w:val="24"/>
        </w:rPr>
        <w:t xml:space="preserve"> quando na verdade se tratavam de crianças negras, quilombolas e indígenas (Guimarães, 2023). </w:t>
      </w:r>
    </w:p>
    <w:p w14:paraId="054251D8" w14:textId="77777777" w:rsidR="004801C5" w:rsidRDefault="008267B2">
      <w:pPr>
        <w:spacing w:line="360" w:lineRule="auto"/>
        <w:ind w:left="-2" w:firstLine="850"/>
        <w:jc w:val="both"/>
        <w:rPr>
          <w:sz w:val="24"/>
          <w:szCs w:val="24"/>
        </w:rPr>
      </w:pPr>
      <w:r>
        <w:rPr>
          <w:sz w:val="24"/>
          <w:szCs w:val="24"/>
        </w:rPr>
        <w:t xml:space="preserve">Evidentemente compreendo tais pautas como atuais e que surgem a partir de lutas sociais que passaram a se adensar na universidade quanto a um direito de memória </w:t>
      </w:r>
      <w:r>
        <w:rPr>
          <w:sz w:val="24"/>
          <w:szCs w:val="24"/>
        </w:rPr>
        <w:t xml:space="preserve">de populações que foram historicamente atingidas pelo racismo e o genocídio. As violências institucionais da academia insistem em se manter por meio de leituras caducas, eurocentradas, que </w:t>
      </w:r>
      <w:r>
        <w:rPr>
          <w:i/>
          <w:sz w:val="24"/>
          <w:szCs w:val="24"/>
        </w:rPr>
        <w:t>performam</w:t>
      </w:r>
      <w:r>
        <w:rPr>
          <w:sz w:val="24"/>
          <w:szCs w:val="24"/>
        </w:rPr>
        <w:t xml:space="preserve"> uma crítica social superficial, simulando discurso de aut</w:t>
      </w:r>
      <w:r>
        <w:rPr>
          <w:sz w:val="24"/>
          <w:szCs w:val="24"/>
        </w:rPr>
        <w:t>oridade intelectual a fim de neutralizar, homogeneizar e pacificar os sujeitos subalternizados.</w:t>
      </w:r>
    </w:p>
    <w:p w14:paraId="5C4A8E3A" w14:textId="77777777" w:rsidR="004801C5" w:rsidRDefault="008267B2">
      <w:pPr>
        <w:spacing w:line="360" w:lineRule="auto"/>
        <w:ind w:left="-2" w:firstLine="850"/>
        <w:jc w:val="both"/>
        <w:rPr>
          <w:sz w:val="24"/>
          <w:szCs w:val="24"/>
        </w:rPr>
      </w:pPr>
      <w:r>
        <w:rPr>
          <w:sz w:val="24"/>
          <w:szCs w:val="24"/>
        </w:rPr>
        <w:t>Clovis Moura, ainda na década de 1983, cravou que a “ótica acadêmica e eurocêntrica”, faz com que “marxistas universitários mitificam grande parte da nossa história social” supervalorizam fatos secundários simplesmente pela necessidade de “comprovar os seu</w:t>
      </w:r>
      <w:r>
        <w:rPr>
          <w:sz w:val="24"/>
          <w:szCs w:val="24"/>
        </w:rPr>
        <w:t xml:space="preserve">s esquemas metodológicos”, em que supervalorizam o surto migratório pós 1888 que formou uma população livre que se sobrepôs a negra e assim ignoram quatro séculos de escravidão e desde então tentam nos convencer, negros, </w:t>
      </w:r>
      <w:r>
        <w:rPr>
          <w:sz w:val="24"/>
          <w:szCs w:val="24"/>
        </w:rPr>
        <w:lastRenderedPageBreak/>
        <w:t>negras, indígenas, quilombolas e ri</w:t>
      </w:r>
      <w:r>
        <w:rPr>
          <w:sz w:val="24"/>
          <w:szCs w:val="24"/>
        </w:rPr>
        <w:t xml:space="preserve">beirinhas, que a nossa unitarização e singularização em “classe trabalhadora”, “homem”, “mulher” e “infância” nos contemplam em nossa realidade material, forjando uma totalidade que nos apaga e representa somente a eles. </w:t>
      </w:r>
    </w:p>
    <w:p w14:paraId="333F4134" w14:textId="77777777" w:rsidR="004801C5" w:rsidRDefault="008267B2">
      <w:pPr>
        <w:spacing w:line="360" w:lineRule="auto"/>
        <w:ind w:left="-2" w:firstLine="850"/>
        <w:jc w:val="both"/>
        <w:rPr>
          <w:sz w:val="24"/>
          <w:szCs w:val="24"/>
        </w:rPr>
      </w:pPr>
      <w:bookmarkStart w:id="4" w:name="_heading=h.mo0w13ktp5ny" w:colFirst="0" w:colLast="0"/>
      <w:bookmarkEnd w:id="4"/>
      <w:r>
        <w:rPr>
          <w:sz w:val="24"/>
          <w:szCs w:val="24"/>
        </w:rPr>
        <w:t>"Infância" é uma categoria analíti</w:t>
      </w:r>
      <w:r>
        <w:rPr>
          <w:sz w:val="24"/>
          <w:szCs w:val="24"/>
        </w:rPr>
        <w:t>ca, situada historicamente e carregada de disputas ideológicas. "Criança", por sua vez, é sujeito — e, como sujeito, encarna experiências plurais que resistem à captura por categorias universalizantes. Reconhecer as infâncias amazônicas e amazônidas é reco</w:t>
      </w:r>
      <w:r>
        <w:rPr>
          <w:sz w:val="24"/>
          <w:szCs w:val="24"/>
        </w:rPr>
        <w:t>nhecer formas de vida que desafiam o capitalismo racial e colonial, afirmando outras temporalidades, outras epistemologias e outras formas de existir.</w:t>
      </w:r>
    </w:p>
    <w:p w14:paraId="1CB54494" w14:textId="77777777" w:rsidR="004801C5" w:rsidRDefault="008267B2">
      <w:pPr>
        <w:spacing w:line="360" w:lineRule="auto"/>
        <w:ind w:hanging="2"/>
        <w:jc w:val="both"/>
        <w:rPr>
          <w:sz w:val="24"/>
          <w:szCs w:val="24"/>
        </w:rPr>
      </w:pPr>
      <w:r>
        <w:rPr>
          <w:b/>
          <w:sz w:val="24"/>
          <w:szCs w:val="24"/>
        </w:rPr>
        <w:t>3</w:t>
      </w:r>
      <w:r>
        <w:rPr>
          <w:b/>
          <w:sz w:val="24"/>
          <w:szCs w:val="24"/>
        </w:rPr>
        <w:tab/>
        <w:t>CONCLUSÃO</w:t>
      </w:r>
    </w:p>
    <w:p w14:paraId="7114AFB0" w14:textId="77777777" w:rsidR="004801C5" w:rsidRDefault="008267B2">
      <w:pPr>
        <w:spacing w:line="360" w:lineRule="auto"/>
        <w:ind w:left="-2" w:firstLine="850"/>
        <w:jc w:val="both"/>
        <w:rPr>
          <w:sz w:val="24"/>
          <w:szCs w:val="24"/>
        </w:rPr>
      </w:pPr>
      <w:r>
        <w:rPr>
          <w:sz w:val="24"/>
          <w:szCs w:val="24"/>
        </w:rPr>
        <w:t xml:space="preserve">As áreas que não se debruçam — ou que não têm por hábito visitar as teorias e os teóricos da </w:t>
      </w:r>
      <w:r>
        <w:rPr>
          <w:sz w:val="24"/>
          <w:szCs w:val="24"/>
        </w:rPr>
        <w:t>linguagem —, até pouco tempo atrás, desacreditaram manifestações simples como o uso de "todas". Porém, nos encontramos num momento político em que a adoção de formas de linguagem neutra, que adota o “todes”, mobiliza debates e provoca reações. Ainda que se</w:t>
      </w:r>
      <w:r>
        <w:rPr>
          <w:sz w:val="24"/>
          <w:szCs w:val="24"/>
        </w:rPr>
        <w:t xml:space="preserve"> apresentem como progressistas, muitos discursos continuam sustentando categorias totalizantes que operam novas formas de invisibilidade.</w:t>
      </w:r>
    </w:p>
    <w:p w14:paraId="41A4EF8B" w14:textId="77777777" w:rsidR="004801C5" w:rsidRDefault="008267B2">
      <w:pPr>
        <w:spacing w:line="360" w:lineRule="auto"/>
        <w:ind w:left="-2" w:firstLine="850"/>
        <w:jc w:val="both"/>
        <w:rPr>
          <w:sz w:val="24"/>
          <w:szCs w:val="24"/>
        </w:rPr>
      </w:pPr>
      <w:r>
        <w:rPr>
          <w:sz w:val="24"/>
          <w:szCs w:val="24"/>
        </w:rPr>
        <w:t>Essas estruturas de linguagem — colonizadas — são moldadas por condutas aporofóbicas, racistas, xenofóbicas, genocidas</w:t>
      </w:r>
      <w:r>
        <w:rPr>
          <w:sz w:val="24"/>
          <w:szCs w:val="24"/>
        </w:rPr>
        <w:t xml:space="preserve">, lgbtfóbicas, misóginas e epistemicidas, que se refletem nas resistências a palavras como </w:t>
      </w:r>
      <w:r>
        <w:rPr>
          <w:i/>
          <w:sz w:val="24"/>
          <w:szCs w:val="24"/>
        </w:rPr>
        <w:t>todes</w:t>
      </w:r>
      <w:r>
        <w:rPr>
          <w:sz w:val="24"/>
          <w:szCs w:val="24"/>
        </w:rPr>
        <w:t xml:space="preserve">, </w:t>
      </w:r>
      <w:r>
        <w:rPr>
          <w:i/>
          <w:sz w:val="24"/>
          <w:szCs w:val="24"/>
        </w:rPr>
        <w:t>presidenta</w:t>
      </w:r>
      <w:r>
        <w:rPr>
          <w:sz w:val="24"/>
          <w:szCs w:val="24"/>
        </w:rPr>
        <w:t xml:space="preserve"> ou expressões como </w:t>
      </w:r>
      <w:r>
        <w:rPr>
          <w:i/>
          <w:sz w:val="24"/>
          <w:szCs w:val="24"/>
        </w:rPr>
        <w:t>pessoas que menstruam</w:t>
      </w:r>
      <w:r>
        <w:rPr>
          <w:sz w:val="24"/>
          <w:szCs w:val="24"/>
        </w:rPr>
        <w:t>. O incômodo que essas palavras geram revela como a linguagem se torna um campo de disputa que ultrapassa o</w:t>
      </w:r>
      <w:r>
        <w:rPr>
          <w:sz w:val="24"/>
          <w:szCs w:val="24"/>
        </w:rPr>
        <w:t xml:space="preserve"> léxico: trata-se de decidir quem tem o direito de existir no discurso público, nas políticas e nos documentos institucionais, que representam a materialidade e registro de políticas públicas. </w:t>
      </w:r>
    </w:p>
    <w:p w14:paraId="6F868408" w14:textId="77777777" w:rsidR="004801C5" w:rsidRDefault="008267B2">
      <w:pPr>
        <w:spacing w:line="360" w:lineRule="auto"/>
        <w:ind w:left="-2" w:firstLine="850"/>
        <w:jc w:val="both"/>
        <w:rPr>
          <w:b/>
          <w:sz w:val="24"/>
          <w:szCs w:val="24"/>
        </w:rPr>
      </w:pPr>
      <w:r>
        <w:rPr>
          <w:sz w:val="24"/>
          <w:szCs w:val="24"/>
        </w:rPr>
        <w:t>É por meio da palavra que os conflitos ideológicos são tension</w:t>
      </w:r>
      <w:r>
        <w:rPr>
          <w:sz w:val="24"/>
          <w:szCs w:val="24"/>
        </w:rPr>
        <w:t xml:space="preserve">ados e potencializados. A linguagem carrega intenções, memória e também desejo de transformação social. Em territórios como o nosso — latino-americano, marcado pela </w:t>
      </w:r>
      <w:r>
        <w:rPr>
          <w:sz w:val="24"/>
          <w:szCs w:val="24"/>
        </w:rPr>
        <w:lastRenderedPageBreak/>
        <w:t>dizimação indígena e pela brutalização de corpos negros africanos por meio da cruz, da espa</w:t>
      </w:r>
      <w:r>
        <w:rPr>
          <w:sz w:val="24"/>
          <w:szCs w:val="24"/>
        </w:rPr>
        <w:t>da e, sobretudo, da imposição de uma língua que negava nossas constituições biopsíquico-cognitivas —, construiu-se uma história única. E nos ensinaram a acreditar que essa história, escrita no singular, nos contemplava. Mas não nos contemplava. E é por iss</w:t>
      </w:r>
      <w:r>
        <w:rPr>
          <w:sz w:val="24"/>
          <w:szCs w:val="24"/>
        </w:rPr>
        <w:t>o que hoje escrevemos, tencionamos e nomeamos no plural!</w:t>
      </w:r>
    </w:p>
    <w:p w14:paraId="16840D43" w14:textId="77777777" w:rsidR="004801C5" w:rsidRDefault="008267B2">
      <w:pPr>
        <w:spacing w:line="360" w:lineRule="auto"/>
        <w:ind w:hanging="2"/>
        <w:rPr>
          <w:sz w:val="24"/>
          <w:szCs w:val="24"/>
        </w:rPr>
      </w:pPr>
      <w:r>
        <w:rPr>
          <w:b/>
          <w:sz w:val="24"/>
          <w:szCs w:val="24"/>
        </w:rPr>
        <w:t xml:space="preserve">REFERÊNCIAS </w:t>
      </w:r>
    </w:p>
    <w:p w14:paraId="62FD7B9C" w14:textId="77777777" w:rsidR="004801C5" w:rsidRDefault="008267B2">
      <w:pPr>
        <w:ind w:hanging="2"/>
        <w:jc w:val="both"/>
        <w:rPr>
          <w:sz w:val="24"/>
          <w:szCs w:val="24"/>
          <w:highlight w:val="white"/>
        </w:rPr>
      </w:pPr>
      <w:r>
        <w:rPr>
          <w:sz w:val="24"/>
          <w:szCs w:val="24"/>
        </w:rPr>
        <w:t>BAKHTIN, Mikhail Mikhailovitch.</w:t>
      </w:r>
      <w:r>
        <w:rPr>
          <w:sz w:val="24"/>
          <w:szCs w:val="24"/>
          <w:highlight w:val="white"/>
        </w:rPr>
        <w:t> </w:t>
      </w:r>
      <w:r>
        <w:rPr>
          <w:b/>
          <w:sz w:val="24"/>
          <w:szCs w:val="24"/>
        </w:rPr>
        <w:t>Marxismo e filosofia da linguagem: problemas fundamentais do método sociológico na ciência da linguagem</w:t>
      </w:r>
      <w:r>
        <w:rPr>
          <w:sz w:val="24"/>
          <w:szCs w:val="24"/>
        </w:rPr>
        <w:t>.</w:t>
      </w:r>
      <w:r>
        <w:rPr>
          <w:sz w:val="24"/>
          <w:szCs w:val="24"/>
          <w:highlight w:val="white"/>
        </w:rPr>
        <w:t> </w:t>
      </w:r>
      <w:r>
        <w:rPr>
          <w:sz w:val="24"/>
          <w:szCs w:val="24"/>
        </w:rPr>
        <w:t>São Paulo: Hucitec, 1981</w:t>
      </w:r>
      <w:r>
        <w:rPr>
          <w:sz w:val="24"/>
          <w:szCs w:val="24"/>
          <w:highlight w:val="white"/>
        </w:rPr>
        <w:t>.</w:t>
      </w:r>
    </w:p>
    <w:p w14:paraId="317BF952" w14:textId="77777777" w:rsidR="004801C5" w:rsidRDefault="008267B2">
      <w:pPr>
        <w:spacing w:line="240" w:lineRule="auto"/>
        <w:ind w:hanging="2"/>
        <w:jc w:val="both"/>
        <w:rPr>
          <w:sz w:val="24"/>
          <w:szCs w:val="24"/>
        </w:rPr>
      </w:pPr>
      <w:r>
        <w:rPr>
          <w:sz w:val="24"/>
          <w:szCs w:val="24"/>
        </w:rPr>
        <w:t xml:space="preserve">BAGNO, Marcos. </w:t>
      </w:r>
      <w:r>
        <w:rPr>
          <w:b/>
          <w:sz w:val="24"/>
          <w:szCs w:val="24"/>
        </w:rPr>
        <w:t>Preconce</w:t>
      </w:r>
      <w:r>
        <w:rPr>
          <w:b/>
          <w:sz w:val="24"/>
          <w:szCs w:val="24"/>
        </w:rPr>
        <w:t>ito linguístico: o que é, como se faz</w:t>
      </w:r>
      <w:r>
        <w:rPr>
          <w:i/>
          <w:sz w:val="24"/>
          <w:szCs w:val="24"/>
        </w:rPr>
        <w:t xml:space="preserve">. </w:t>
      </w:r>
      <w:r>
        <w:rPr>
          <w:sz w:val="24"/>
          <w:szCs w:val="24"/>
        </w:rPr>
        <w:t>56. ed. São Paulo: Parábola Editorial, 2015.</w:t>
      </w:r>
    </w:p>
    <w:p w14:paraId="7C189CF8" w14:textId="77777777" w:rsidR="004801C5" w:rsidRDefault="008267B2">
      <w:pPr>
        <w:spacing w:line="240" w:lineRule="auto"/>
        <w:ind w:hanging="2"/>
        <w:jc w:val="both"/>
        <w:rPr>
          <w:sz w:val="24"/>
          <w:szCs w:val="24"/>
        </w:rPr>
      </w:pPr>
      <w:r>
        <w:rPr>
          <w:sz w:val="24"/>
          <w:szCs w:val="24"/>
        </w:rPr>
        <w:t xml:space="preserve">BISPO, Antônio dos Santos. </w:t>
      </w:r>
      <w:r>
        <w:rPr>
          <w:b/>
          <w:sz w:val="24"/>
          <w:szCs w:val="24"/>
        </w:rPr>
        <w:t>A terra dá, a terra quer</w:t>
      </w:r>
      <w:r>
        <w:rPr>
          <w:sz w:val="24"/>
          <w:szCs w:val="24"/>
        </w:rPr>
        <w:t>. São Paulo: Ubu Editora/PISEAGRAMA, 2023.</w:t>
      </w:r>
    </w:p>
    <w:p w14:paraId="574AE2A8" w14:textId="77777777" w:rsidR="004801C5" w:rsidRDefault="008267B2">
      <w:pPr>
        <w:ind w:hanging="2"/>
        <w:jc w:val="both"/>
        <w:rPr>
          <w:sz w:val="24"/>
          <w:szCs w:val="24"/>
        </w:rPr>
      </w:pPr>
      <w:r>
        <w:rPr>
          <w:sz w:val="24"/>
          <w:szCs w:val="24"/>
          <w:highlight w:val="white"/>
        </w:rPr>
        <w:t>FAIRCLOUGH, Norman. </w:t>
      </w:r>
      <w:r>
        <w:rPr>
          <w:b/>
          <w:sz w:val="24"/>
          <w:szCs w:val="24"/>
          <w:highlight w:val="white"/>
        </w:rPr>
        <w:t>Discurso e Mudança Social</w:t>
      </w:r>
      <w:r>
        <w:rPr>
          <w:sz w:val="24"/>
          <w:szCs w:val="24"/>
          <w:highlight w:val="white"/>
        </w:rPr>
        <w:t>. 2. ed. Brasília: Editora Univer</w:t>
      </w:r>
      <w:r>
        <w:rPr>
          <w:sz w:val="24"/>
          <w:szCs w:val="24"/>
          <w:highlight w:val="white"/>
        </w:rPr>
        <w:t xml:space="preserve">sidade de Brasília, 2016. </w:t>
      </w:r>
    </w:p>
    <w:p w14:paraId="6EE63DF1" w14:textId="77777777" w:rsidR="004801C5" w:rsidRDefault="008267B2">
      <w:pPr>
        <w:spacing w:line="240" w:lineRule="auto"/>
        <w:ind w:hanging="2"/>
        <w:jc w:val="both"/>
        <w:rPr>
          <w:sz w:val="24"/>
          <w:szCs w:val="24"/>
        </w:rPr>
      </w:pPr>
      <w:r>
        <w:rPr>
          <w:sz w:val="24"/>
          <w:szCs w:val="24"/>
        </w:rPr>
        <w:t>GONZALEZ, Lélia</w:t>
      </w:r>
      <w:r>
        <w:rPr>
          <w:b/>
          <w:sz w:val="24"/>
          <w:szCs w:val="24"/>
        </w:rPr>
        <w:t>.</w:t>
      </w:r>
      <w:r>
        <w:rPr>
          <w:sz w:val="24"/>
          <w:szCs w:val="24"/>
        </w:rPr>
        <w:t xml:space="preserve"> Racismo e sexismo na cultura brasileira. In: ANPOCS (Org.). </w:t>
      </w:r>
      <w:r>
        <w:rPr>
          <w:b/>
          <w:sz w:val="24"/>
          <w:szCs w:val="24"/>
        </w:rPr>
        <w:t>Ciências Sociais Hoje – 1984</w:t>
      </w:r>
      <w:r>
        <w:rPr>
          <w:i/>
          <w:sz w:val="24"/>
          <w:szCs w:val="24"/>
        </w:rPr>
        <w:t>.</w:t>
      </w:r>
      <w:r>
        <w:rPr>
          <w:sz w:val="24"/>
          <w:szCs w:val="24"/>
        </w:rPr>
        <w:t xml:space="preserve"> São Paulo: Vértice; ANPOCS, 1984. p. 223-244.</w:t>
      </w:r>
    </w:p>
    <w:p w14:paraId="11E32A82" w14:textId="77777777" w:rsidR="004801C5" w:rsidRDefault="008267B2">
      <w:pPr>
        <w:spacing w:line="240" w:lineRule="auto"/>
        <w:ind w:hanging="2"/>
        <w:jc w:val="both"/>
        <w:rPr>
          <w:sz w:val="24"/>
          <w:szCs w:val="24"/>
        </w:rPr>
      </w:pPr>
      <w:r>
        <w:rPr>
          <w:sz w:val="24"/>
          <w:szCs w:val="24"/>
        </w:rPr>
        <w:t>GUIMARÃES, Jacqueline Tatiane da Silva</w:t>
      </w:r>
      <w:r>
        <w:rPr>
          <w:b/>
          <w:sz w:val="24"/>
          <w:szCs w:val="24"/>
        </w:rPr>
        <w:t>.</w:t>
      </w:r>
      <w:r>
        <w:rPr>
          <w:sz w:val="24"/>
          <w:szCs w:val="24"/>
        </w:rPr>
        <w:t xml:space="preserve"> A história das infâncias negras: des</w:t>
      </w:r>
      <w:r>
        <w:rPr>
          <w:sz w:val="24"/>
          <w:szCs w:val="24"/>
        </w:rPr>
        <w:t xml:space="preserve">colonizando os direitos de crianças da Amazônia. </w:t>
      </w:r>
      <w:r>
        <w:rPr>
          <w:b/>
          <w:i/>
          <w:sz w:val="24"/>
          <w:szCs w:val="24"/>
        </w:rPr>
        <w:t>Revista de Educação Interritórios</w:t>
      </w:r>
      <w:r>
        <w:rPr>
          <w:b/>
          <w:sz w:val="24"/>
          <w:szCs w:val="24"/>
        </w:rPr>
        <w:t>,</w:t>
      </w:r>
      <w:r>
        <w:rPr>
          <w:sz w:val="24"/>
          <w:szCs w:val="24"/>
        </w:rPr>
        <w:t xml:space="preserve"> v. 9, n. 18, 2023.</w:t>
      </w:r>
    </w:p>
    <w:p w14:paraId="52E27CB1" w14:textId="77777777" w:rsidR="004801C5" w:rsidRDefault="008267B2">
      <w:pPr>
        <w:ind w:hanging="2"/>
        <w:jc w:val="both"/>
        <w:rPr>
          <w:sz w:val="24"/>
          <w:szCs w:val="24"/>
          <w:highlight w:val="white"/>
        </w:rPr>
      </w:pPr>
      <w:r>
        <w:rPr>
          <w:sz w:val="24"/>
          <w:szCs w:val="24"/>
          <w:highlight w:val="white"/>
        </w:rPr>
        <w:t>KOSIK, Karel. </w:t>
      </w:r>
      <w:r>
        <w:rPr>
          <w:b/>
          <w:sz w:val="24"/>
          <w:szCs w:val="24"/>
          <w:highlight w:val="white"/>
        </w:rPr>
        <w:t>Dialética do Concreto</w:t>
      </w:r>
      <w:r>
        <w:rPr>
          <w:sz w:val="24"/>
          <w:szCs w:val="24"/>
          <w:highlight w:val="white"/>
        </w:rPr>
        <w:t>. Rio de Janeiro: Paz e Terra, 1976. </w:t>
      </w:r>
    </w:p>
    <w:p w14:paraId="55D6665F" w14:textId="77777777" w:rsidR="004801C5" w:rsidRDefault="008267B2">
      <w:pPr>
        <w:spacing w:line="240" w:lineRule="auto"/>
        <w:ind w:hanging="2"/>
        <w:jc w:val="both"/>
        <w:rPr>
          <w:sz w:val="24"/>
          <w:szCs w:val="24"/>
        </w:rPr>
      </w:pPr>
      <w:r>
        <w:rPr>
          <w:sz w:val="24"/>
          <w:szCs w:val="24"/>
        </w:rPr>
        <w:t xml:space="preserve">MARX, Karl. </w:t>
      </w:r>
      <w:r>
        <w:rPr>
          <w:b/>
          <w:sz w:val="24"/>
          <w:szCs w:val="24"/>
        </w:rPr>
        <w:t>Manuscritos econômico-filosóficos</w:t>
      </w:r>
      <w:r>
        <w:rPr>
          <w:b/>
          <w:i/>
          <w:sz w:val="24"/>
          <w:szCs w:val="24"/>
        </w:rPr>
        <w:t>.</w:t>
      </w:r>
      <w:r>
        <w:rPr>
          <w:sz w:val="24"/>
          <w:szCs w:val="24"/>
        </w:rPr>
        <w:t xml:space="preserve"> Tradução de Jesus Ranieri. São Pa</w:t>
      </w:r>
      <w:r>
        <w:rPr>
          <w:sz w:val="24"/>
          <w:szCs w:val="24"/>
        </w:rPr>
        <w:t>ulo: Boitempo, 2004.</w:t>
      </w:r>
    </w:p>
    <w:p w14:paraId="1D221CB6" w14:textId="77777777" w:rsidR="004801C5" w:rsidRDefault="008267B2">
      <w:pPr>
        <w:spacing w:line="240" w:lineRule="auto"/>
        <w:ind w:hanging="2"/>
        <w:jc w:val="both"/>
        <w:rPr>
          <w:sz w:val="24"/>
          <w:szCs w:val="24"/>
        </w:rPr>
      </w:pPr>
      <w:r>
        <w:rPr>
          <w:sz w:val="24"/>
          <w:szCs w:val="24"/>
        </w:rPr>
        <w:t>MOURA, Clóvis</w:t>
      </w:r>
      <w:r>
        <w:rPr>
          <w:b/>
          <w:sz w:val="24"/>
          <w:szCs w:val="24"/>
        </w:rPr>
        <w:t>.</w:t>
      </w:r>
      <w:r>
        <w:rPr>
          <w:sz w:val="24"/>
          <w:szCs w:val="24"/>
        </w:rPr>
        <w:t xml:space="preserve"> Escravismo, colonialismo, imperialismo e racismo. </w:t>
      </w:r>
      <w:r>
        <w:rPr>
          <w:i/>
          <w:sz w:val="24"/>
          <w:szCs w:val="24"/>
        </w:rPr>
        <w:t>Afro-Ásia</w:t>
      </w:r>
      <w:r>
        <w:rPr>
          <w:sz w:val="24"/>
          <w:szCs w:val="24"/>
        </w:rPr>
        <w:t>, Salvador, n. 14, 1983.</w:t>
      </w:r>
    </w:p>
    <w:p w14:paraId="40B42F8F" w14:textId="77777777" w:rsidR="004801C5" w:rsidRDefault="008267B2">
      <w:pPr>
        <w:spacing w:line="240" w:lineRule="auto"/>
        <w:ind w:hanging="2"/>
        <w:jc w:val="both"/>
        <w:rPr>
          <w:sz w:val="24"/>
          <w:szCs w:val="24"/>
        </w:rPr>
      </w:pPr>
      <w:r>
        <w:rPr>
          <w:sz w:val="24"/>
          <w:szCs w:val="24"/>
        </w:rPr>
        <w:t xml:space="preserve">NASCIMENTO, Gabriel. </w:t>
      </w:r>
      <w:r>
        <w:rPr>
          <w:b/>
          <w:sz w:val="24"/>
          <w:szCs w:val="24"/>
        </w:rPr>
        <w:t>Racismo linguístico: os subterrâneos da linguagem e do racismo</w:t>
      </w:r>
      <w:r>
        <w:rPr>
          <w:b/>
          <w:i/>
          <w:sz w:val="24"/>
          <w:szCs w:val="24"/>
        </w:rPr>
        <w:t>.</w:t>
      </w:r>
      <w:r>
        <w:rPr>
          <w:b/>
          <w:sz w:val="24"/>
          <w:szCs w:val="24"/>
        </w:rPr>
        <w:t xml:space="preserve"> </w:t>
      </w:r>
      <w:r>
        <w:rPr>
          <w:sz w:val="24"/>
          <w:szCs w:val="24"/>
        </w:rPr>
        <w:t>São Paulo: Editora Letramento, 2019.</w:t>
      </w:r>
    </w:p>
    <w:p w14:paraId="5B9158B0" w14:textId="77777777" w:rsidR="004801C5" w:rsidRDefault="008267B2">
      <w:pPr>
        <w:ind w:hanging="2"/>
        <w:jc w:val="both"/>
        <w:rPr>
          <w:smallCaps/>
          <w:sz w:val="24"/>
          <w:szCs w:val="24"/>
        </w:rPr>
      </w:pPr>
      <w:r>
        <w:rPr>
          <w:sz w:val="24"/>
          <w:szCs w:val="24"/>
        </w:rPr>
        <w:t xml:space="preserve">PÊCHEUX, Michel. </w:t>
      </w:r>
      <w:r>
        <w:rPr>
          <w:b/>
          <w:sz w:val="24"/>
          <w:szCs w:val="24"/>
        </w:rPr>
        <w:t>Semântica e discurso: uma crítica à afirmação do óbvio</w:t>
      </w:r>
      <w:r>
        <w:rPr>
          <w:sz w:val="24"/>
          <w:szCs w:val="24"/>
        </w:rPr>
        <w:t>. 2.ed. Campinas: Ed. da UNICAMP, 1995.</w:t>
      </w:r>
    </w:p>
    <w:p w14:paraId="72044CAC" w14:textId="77777777" w:rsidR="004801C5" w:rsidRDefault="008267B2">
      <w:pPr>
        <w:spacing w:line="240" w:lineRule="auto"/>
        <w:ind w:hanging="2"/>
        <w:jc w:val="both"/>
        <w:rPr>
          <w:sz w:val="24"/>
          <w:szCs w:val="24"/>
        </w:rPr>
      </w:pPr>
      <w:r>
        <w:rPr>
          <w:smallCaps/>
          <w:sz w:val="24"/>
          <w:szCs w:val="24"/>
        </w:rPr>
        <w:t>RIBEIRO</w:t>
      </w:r>
      <w:r>
        <w:rPr>
          <w:sz w:val="24"/>
          <w:szCs w:val="24"/>
        </w:rPr>
        <w:t xml:space="preserve">, Djamila. </w:t>
      </w:r>
      <w:r>
        <w:rPr>
          <w:b/>
          <w:sz w:val="24"/>
          <w:szCs w:val="24"/>
        </w:rPr>
        <w:t>O que é: lugar de fala?</w:t>
      </w:r>
      <w:r>
        <w:rPr>
          <w:sz w:val="24"/>
          <w:szCs w:val="24"/>
        </w:rPr>
        <w:t xml:space="preserve"> -- Belo Horizonte (MG): Letramento: Justificando, 2017.</w:t>
      </w:r>
    </w:p>
    <w:p w14:paraId="29FE628A" w14:textId="77777777" w:rsidR="004801C5" w:rsidRDefault="008267B2">
      <w:pPr>
        <w:spacing w:line="240" w:lineRule="auto"/>
        <w:ind w:hanging="2"/>
        <w:jc w:val="both"/>
      </w:pPr>
      <w:r>
        <w:rPr>
          <w:sz w:val="24"/>
          <w:szCs w:val="24"/>
        </w:rPr>
        <w:t xml:space="preserve">ZANDWAIS, Ana. Contribuições de teorias de vertente marxista para os estudos da linguagem. </w:t>
      </w:r>
      <w:r>
        <w:rPr>
          <w:b/>
          <w:sz w:val="24"/>
          <w:szCs w:val="24"/>
        </w:rPr>
        <w:t>Revista Conexão Letras</w:t>
      </w:r>
      <w:r>
        <w:rPr>
          <w:sz w:val="24"/>
          <w:szCs w:val="24"/>
        </w:rPr>
        <w:t xml:space="preserve">, Porto Alegre, v. 9, n. 12, p. 51-63, jan./dez. 2015. </w:t>
      </w:r>
    </w:p>
    <w:sectPr w:rsidR="004801C5">
      <w:headerReference w:type="even" r:id="rId7"/>
      <w:headerReference w:type="default" r:id="rId8"/>
      <w:footerReference w:type="even" r:id="rId9"/>
      <w:footerReference w:type="default" r:id="rId10"/>
      <w:headerReference w:type="first" r:id="rId11"/>
      <w:footerReference w:type="first" r:id="rId12"/>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78930" w14:textId="77777777" w:rsidR="008267B2" w:rsidRDefault="008267B2">
      <w:pPr>
        <w:spacing w:line="240" w:lineRule="auto"/>
      </w:pPr>
      <w:r>
        <w:separator/>
      </w:r>
    </w:p>
  </w:endnote>
  <w:endnote w:type="continuationSeparator" w:id="0">
    <w:p w14:paraId="74071612" w14:textId="77777777" w:rsidR="008267B2" w:rsidRDefault="008267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F6F4F" w14:textId="77777777" w:rsidR="004801C5" w:rsidRDefault="004801C5">
    <w:pPr>
      <w:pBdr>
        <w:top w:val="nil"/>
        <w:left w:val="nil"/>
        <w:bottom w:val="nil"/>
        <w:right w:val="nil"/>
        <w:between w:val="nil"/>
      </w:pBdr>
      <w:tabs>
        <w:tab w:val="center" w:pos="4252"/>
        <w:tab w:val="right" w:pos="8504"/>
      </w:tabs>
      <w:spacing w:line="240" w:lineRule="auto"/>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08835" w14:textId="77777777" w:rsidR="004801C5" w:rsidRDefault="004801C5">
    <w:pPr>
      <w:pBdr>
        <w:top w:val="nil"/>
        <w:left w:val="nil"/>
        <w:bottom w:val="nil"/>
        <w:right w:val="nil"/>
        <w:between w:val="nil"/>
      </w:pBdr>
      <w:tabs>
        <w:tab w:val="center" w:pos="4252"/>
        <w:tab w:val="right" w:pos="8504"/>
      </w:tabs>
      <w:spacing w:line="240" w:lineRule="auto"/>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2BD80" w14:textId="77777777" w:rsidR="004801C5" w:rsidRDefault="004801C5">
    <w:pPr>
      <w:pBdr>
        <w:top w:val="nil"/>
        <w:left w:val="nil"/>
        <w:bottom w:val="nil"/>
        <w:right w:val="nil"/>
        <w:between w:val="nil"/>
      </w:pBdr>
      <w:tabs>
        <w:tab w:val="center" w:pos="4252"/>
        <w:tab w:val="right" w:pos="8504"/>
      </w:tabs>
      <w:spacing w:line="240" w:lineRule="auto"/>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4755C" w14:textId="77777777" w:rsidR="008267B2" w:rsidRDefault="008267B2">
      <w:pPr>
        <w:spacing w:line="240" w:lineRule="auto"/>
      </w:pPr>
      <w:r>
        <w:separator/>
      </w:r>
    </w:p>
  </w:footnote>
  <w:footnote w:type="continuationSeparator" w:id="0">
    <w:p w14:paraId="6FAC887E" w14:textId="77777777" w:rsidR="008267B2" w:rsidRDefault="008267B2">
      <w:pPr>
        <w:spacing w:line="240" w:lineRule="auto"/>
      </w:pPr>
      <w:r>
        <w:continuationSeparator/>
      </w:r>
    </w:p>
  </w:footnote>
  <w:footnote w:id="1">
    <w:p w14:paraId="2592A630" w14:textId="77777777" w:rsidR="004801C5" w:rsidRDefault="008267B2">
      <w:pPr>
        <w:pBdr>
          <w:top w:val="nil"/>
          <w:left w:val="nil"/>
          <w:bottom w:val="nil"/>
          <w:right w:val="nil"/>
          <w:between w:val="nil"/>
        </w:pBdr>
        <w:spacing w:line="240" w:lineRule="auto"/>
        <w:ind w:hanging="2"/>
        <w:jc w:val="both"/>
        <w:rPr>
          <w:color w:val="000000"/>
          <w:sz w:val="20"/>
          <w:szCs w:val="20"/>
        </w:rPr>
      </w:pPr>
      <w:r>
        <w:rPr>
          <w:vertAlign w:val="superscript"/>
        </w:rPr>
        <w:footnoteRef/>
      </w:r>
      <w:r>
        <w:rPr>
          <w:color w:val="000000"/>
          <w:sz w:val="20"/>
          <w:szCs w:val="20"/>
        </w:rPr>
        <w:t xml:space="preserve"> Programa de Pós-graduação em Serviço Social da Universidade Federal do Pará e Faculdade de Serviço Social do Campus Universitário do Marajó-Breves (CUMB-UFPA). E-mail: jacguimaraes@</w:t>
      </w:r>
      <w:proofErr w:type="gramStart"/>
      <w:r>
        <w:rPr>
          <w:color w:val="000000"/>
          <w:sz w:val="20"/>
          <w:szCs w:val="20"/>
        </w:rPr>
        <w:t>ufpa,br.</w:t>
      </w:r>
      <w:proofErr w:type="gramEnd"/>
      <w:r>
        <w:rPr>
          <w:color w:val="000000"/>
          <w:sz w:val="20"/>
          <w:szCs w:val="20"/>
        </w:rPr>
        <w:t xml:space="preserve">  </w:t>
      </w:r>
    </w:p>
  </w:footnote>
  <w:footnote w:id="2">
    <w:p w14:paraId="05FE44AD" w14:textId="77777777" w:rsidR="004801C5" w:rsidRDefault="008267B2">
      <w:pPr>
        <w:pBdr>
          <w:top w:val="nil"/>
          <w:left w:val="nil"/>
          <w:bottom w:val="nil"/>
          <w:right w:val="nil"/>
          <w:between w:val="nil"/>
        </w:pBdr>
        <w:spacing w:line="240" w:lineRule="auto"/>
        <w:ind w:hanging="2"/>
        <w:jc w:val="both"/>
        <w:rPr>
          <w:color w:val="000000"/>
          <w:sz w:val="20"/>
          <w:szCs w:val="20"/>
        </w:rPr>
      </w:pPr>
      <w:r>
        <w:rPr>
          <w:vertAlign w:val="superscript"/>
        </w:rPr>
        <w:footnoteRef/>
      </w:r>
      <w:r>
        <w:rPr>
          <w:color w:val="000000"/>
          <w:sz w:val="20"/>
          <w:szCs w:val="20"/>
        </w:rPr>
        <w:t xml:space="preserve"> Nesse campo conceitual, destacam-se Philippe Ariès, Colin Hey</w:t>
      </w:r>
      <w:r>
        <w:rPr>
          <w:color w:val="000000"/>
          <w:sz w:val="20"/>
          <w:szCs w:val="20"/>
        </w:rPr>
        <w:t>wood, Peter Stearns, William Corsaro, Jens Qvortrup e Manuel Sarmento.</w:t>
      </w:r>
    </w:p>
  </w:footnote>
  <w:footnote w:id="3">
    <w:p w14:paraId="069D4E09" w14:textId="77777777" w:rsidR="004801C5" w:rsidRDefault="008267B2">
      <w:pPr>
        <w:pBdr>
          <w:top w:val="nil"/>
          <w:left w:val="nil"/>
          <w:bottom w:val="nil"/>
          <w:right w:val="nil"/>
          <w:between w:val="nil"/>
        </w:pBdr>
        <w:spacing w:line="240" w:lineRule="auto"/>
        <w:ind w:hanging="2"/>
        <w:jc w:val="both"/>
        <w:rPr>
          <w:color w:val="000000"/>
          <w:sz w:val="20"/>
          <w:szCs w:val="20"/>
        </w:rPr>
      </w:pPr>
      <w:r>
        <w:rPr>
          <w:vertAlign w:val="superscript"/>
        </w:rPr>
        <w:footnoteRef/>
      </w:r>
      <w:r>
        <w:rPr>
          <w:color w:val="000000"/>
          <w:sz w:val="20"/>
          <w:szCs w:val="20"/>
        </w:rPr>
        <w:t xml:space="preserve"> Sugiro, a quem interessar, que leia a obra de Gabriel Nascimento (2019) em especial o primeiro parágrafo do Capítulo 1, página 11.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25175" w14:textId="77777777" w:rsidR="004801C5" w:rsidRDefault="004801C5">
    <w:pPr>
      <w:pBdr>
        <w:top w:val="nil"/>
        <w:left w:val="nil"/>
        <w:bottom w:val="nil"/>
        <w:right w:val="nil"/>
        <w:between w:val="nil"/>
      </w:pBdr>
      <w:tabs>
        <w:tab w:val="center" w:pos="4252"/>
        <w:tab w:val="right" w:pos="8504"/>
      </w:tabs>
      <w:spacing w:line="240" w:lineRule="auto"/>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F5D29" w14:textId="77777777" w:rsidR="004801C5" w:rsidRDefault="008267B2">
    <w:pPr>
      <w:ind w:hanging="2"/>
    </w:pPr>
    <w:r>
      <w:rPr>
        <w:noProof/>
      </w:rPr>
      <w:drawing>
        <wp:anchor distT="0" distB="0" distL="0" distR="0" simplePos="0" relativeHeight="251658240" behindDoc="1" locked="0" layoutInCell="1" hidden="0" allowOverlap="1" wp14:anchorId="43A56763" wp14:editId="3B7C2B37">
          <wp:simplePos x="0" y="0"/>
          <wp:positionH relativeFrom="page">
            <wp:posOffset>0</wp:posOffset>
          </wp:positionH>
          <wp:positionV relativeFrom="page">
            <wp:posOffset>6985</wp:posOffset>
          </wp:positionV>
          <wp:extent cx="7563485" cy="10727690"/>
          <wp:effectExtent l="0" t="0" r="0" b="0"/>
          <wp:wrapNone/>
          <wp:docPr id="10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56FD7" w14:textId="77777777" w:rsidR="004801C5" w:rsidRDefault="004801C5">
    <w:pPr>
      <w:pBdr>
        <w:top w:val="nil"/>
        <w:left w:val="nil"/>
        <w:bottom w:val="nil"/>
        <w:right w:val="nil"/>
        <w:between w:val="nil"/>
      </w:pBdr>
      <w:tabs>
        <w:tab w:val="center" w:pos="4252"/>
        <w:tab w:val="right" w:pos="8504"/>
      </w:tabs>
      <w:spacing w:line="240" w:lineRule="auto"/>
      <w:ind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1C5"/>
    <w:rsid w:val="004801C5"/>
    <w:rsid w:val="008267B2"/>
    <w:rsid w:val="009D074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F6831"/>
  <w15:docId w15:val="{7D556FD4-DB9E-4B3D-BA72-8FD132D8D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character" w:styleId="nfase">
    <w:name w:val="Emphasis"/>
    <w:basedOn w:val="Fontepargpadro"/>
    <w:uiPriority w:val="20"/>
    <w:qFormat/>
    <w:rsid w:val="00F832CC"/>
    <w:rPr>
      <w:i/>
      <w:iCs/>
    </w:rPr>
  </w:style>
  <w:style w:type="character" w:styleId="Forte">
    <w:name w:val="Strong"/>
    <w:basedOn w:val="Fontepargpadro"/>
    <w:uiPriority w:val="22"/>
    <w:qFormat/>
    <w:rsid w:val="00F832CC"/>
    <w:rPr>
      <w:b/>
      <w:bCs/>
    </w:rPr>
  </w:style>
  <w:style w:type="paragraph" w:styleId="NormalWeb">
    <w:name w:val="Normal (Web)"/>
    <w:basedOn w:val="Normal"/>
    <w:uiPriority w:val="99"/>
    <w:unhideWhenUsed/>
    <w:rsid w:val="00F832CC"/>
    <w:pPr>
      <w:spacing w:before="100" w:beforeAutospacing="1" w:after="100" w:afterAutospacing="1" w:line="240" w:lineRule="auto"/>
      <w:ind w:firstLine="0"/>
    </w:pPr>
    <w:rPr>
      <w:rFonts w:ascii="Times New Roman" w:eastAsia="Times New Roman" w:hAnsi="Times New Roman" w:cs="Times New Roman"/>
      <w:sz w:val="24"/>
      <w:szCs w:val="24"/>
    </w:rPr>
  </w:style>
  <w:style w:type="character" w:customStyle="1" w:styleId="relative">
    <w:name w:val="relative"/>
    <w:basedOn w:val="Fontepargpadro"/>
    <w:rsid w:val="00F832CC"/>
  </w:style>
  <w:style w:type="character" w:styleId="Hyperlink">
    <w:name w:val="Hyperlink"/>
    <w:basedOn w:val="Fontepargpadro"/>
    <w:uiPriority w:val="99"/>
    <w:semiHidden/>
    <w:unhideWhenUsed/>
    <w:rsid w:val="00F832CC"/>
    <w:rPr>
      <w:color w:val="0000FF"/>
      <w:u w:val="single"/>
    </w:rPr>
  </w:style>
  <w:style w:type="paragraph" w:styleId="Textodenotaderodap">
    <w:name w:val="footnote text"/>
    <w:basedOn w:val="Normal"/>
    <w:link w:val="TextodenotaderodapChar"/>
    <w:uiPriority w:val="99"/>
    <w:semiHidden/>
    <w:unhideWhenUsed/>
    <w:rsid w:val="00F832CC"/>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F832CC"/>
    <w:rPr>
      <w:rFonts w:ascii="Arial" w:eastAsia="Arial" w:hAnsi="Arial" w:cs="Arial"/>
      <w:kern w:val="0"/>
      <w:position w:val="-1"/>
      <w:sz w:val="20"/>
      <w:szCs w:val="20"/>
      <w:lang w:eastAsia="pt-BR"/>
    </w:rPr>
  </w:style>
  <w:style w:type="character" w:styleId="Refdenotaderodap">
    <w:name w:val="footnote reference"/>
    <w:basedOn w:val="Fontepargpadro"/>
    <w:uiPriority w:val="99"/>
    <w:semiHidden/>
    <w:unhideWhenUsed/>
    <w:rsid w:val="00F832CC"/>
    <w:rPr>
      <w:vertAlign w:val="superscript"/>
    </w:rPr>
  </w:style>
  <w:style w:type="paragraph" w:customStyle="1" w:styleId="Default">
    <w:name w:val="Default"/>
    <w:rsid w:val="00F033E3"/>
    <w:pPr>
      <w:autoSpaceDE w:val="0"/>
      <w:autoSpaceDN w:val="0"/>
      <w:adjustRightInd w:val="0"/>
      <w:spacing w:line="240" w:lineRule="auto"/>
    </w:pPr>
    <w:rPr>
      <w:rFonts w:ascii="Book Antiqua" w:hAnsi="Book Antiqua" w:cs="Book Antiqua"/>
      <w:color w:val="000000"/>
      <w:sz w:val="24"/>
      <w:szCs w:val="24"/>
    </w:rPr>
  </w:style>
  <w:style w:type="character" w:customStyle="1" w:styleId="uv3um">
    <w:name w:val="uv3um"/>
    <w:basedOn w:val="Fontepargpadro"/>
    <w:rsid w:val="008717A3"/>
  </w:style>
  <w:style w:type="paragraph" w:styleId="Cabealho">
    <w:name w:val="header"/>
    <w:basedOn w:val="Normal"/>
    <w:link w:val="CabealhoChar"/>
    <w:uiPriority w:val="99"/>
    <w:unhideWhenUsed/>
    <w:rsid w:val="006C2AA4"/>
    <w:pPr>
      <w:tabs>
        <w:tab w:val="center" w:pos="4252"/>
        <w:tab w:val="right" w:pos="8504"/>
      </w:tabs>
      <w:spacing w:line="240" w:lineRule="auto"/>
    </w:pPr>
  </w:style>
  <w:style w:type="character" w:customStyle="1" w:styleId="CabealhoChar">
    <w:name w:val="Cabeçalho Char"/>
    <w:basedOn w:val="Fontepargpadro"/>
    <w:link w:val="Cabealho"/>
    <w:uiPriority w:val="99"/>
    <w:rsid w:val="006C2AA4"/>
    <w:rPr>
      <w:rFonts w:ascii="Arial" w:eastAsia="Arial" w:hAnsi="Arial" w:cs="Arial"/>
      <w:kern w:val="0"/>
      <w:position w:val="-1"/>
      <w:lang w:eastAsia="pt-BR"/>
    </w:rPr>
  </w:style>
  <w:style w:type="paragraph" w:styleId="Rodap">
    <w:name w:val="footer"/>
    <w:basedOn w:val="Normal"/>
    <w:link w:val="RodapChar"/>
    <w:uiPriority w:val="99"/>
    <w:unhideWhenUsed/>
    <w:rsid w:val="006C2AA4"/>
    <w:pPr>
      <w:tabs>
        <w:tab w:val="center" w:pos="4252"/>
        <w:tab w:val="right" w:pos="8504"/>
      </w:tabs>
      <w:spacing w:line="240" w:lineRule="auto"/>
    </w:pPr>
  </w:style>
  <w:style w:type="character" w:customStyle="1" w:styleId="RodapChar">
    <w:name w:val="Rodapé Char"/>
    <w:basedOn w:val="Fontepargpadro"/>
    <w:link w:val="Rodap"/>
    <w:uiPriority w:val="99"/>
    <w:rsid w:val="006C2AA4"/>
    <w:rPr>
      <w:rFonts w:ascii="Arial" w:eastAsia="Arial" w:hAnsi="Arial" w:cs="Arial"/>
      <w:kern w:val="0"/>
      <w:position w:val="-1"/>
      <w:lang w:eastAsia="pt-B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lWwZ6oRclO77PuLdZTA/KPhx4w==">CgMxLjAyDmgubXVwZnQxNDQza2tuMg1oLnJhcGpiam81Yjl3Mg5oLjlkcnc4cGQyMDJwejIOaC5nMTdzeXR3NHVlZWsyDmgubW8wdzEza3RwNW55OAByITFETHhpcGtiZkI0cFhJMExmWmxCdFJvWk1QUnZkSVljUA==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4042</Words>
  <Characters>21829</Characters>
  <Application>Microsoft Office Word</Application>
  <DocSecurity>0</DocSecurity>
  <Lines>181</Lines>
  <Paragraphs>51</Paragraphs>
  <ScaleCrop>false</ScaleCrop>
  <Company/>
  <LinksUpToDate>false</LinksUpToDate>
  <CharactersWithSpaces>25820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Profa Jacqueline</dc:creator>
  <cp:lastModifiedBy>Jacqueline GUIMARÃES</cp:lastModifiedBy>
  <cp:revision>2</cp:revision>
  <dcterms:created xsi:type="dcterms:W3CDTF">2025-09-29T16:00:00Z</dcterms:created>
  <dcterms:modified xsi:type="dcterms:W3CDTF">2025-09-29T16:00:00Z</dcterms:modified>
</cp:coreProperties>
</file>