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E8A" w:rsidRDefault="003E6B3D">
      <w:pPr>
        <w:tabs>
          <w:tab w:val="left" w:pos="426"/>
        </w:tabs>
        <w:spacing w:line="360" w:lineRule="auto"/>
        <w:ind w:hanging="2"/>
        <w:jc w:val="center"/>
        <w:rPr>
          <w:b/>
          <w:sz w:val="24"/>
          <w:szCs w:val="24"/>
        </w:rPr>
      </w:pPr>
      <w:bookmarkStart w:id="0" w:name="_heading=h.9pw4ydafyvv" w:colFirst="0" w:colLast="0"/>
      <w:bookmarkEnd w:id="0"/>
      <w:r>
        <w:rPr>
          <w:b/>
          <w:sz w:val="24"/>
          <w:szCs w:val="24"/>
        </w:rPr>
        <w:t>REGIMES DE BEM ESTAR GLOBAL</w:t>
      </w:r>
      <w:r>
        <w:rPr>
          <w:sz w:val="24"/>
          <w:szCs w:val="24"/>
        </w:rPr>
        <w:t xml:space="preserve">: sistematização das informações do Brasil </w:t>
      </w:r>
    </w:p>
    <w:p w:rsidR="00A35E8A" w:rsidRDefault="00A35E8A">
      <w:pPr>
        <w:ind w:hanging="2"/>
        <w:jc w:val="center"/>
        <w:rPr>
          <w:b/>
          <w:sz w:val="24"/>
          <w:szCs w:val="24"/>
        </w:rPr>
      </w:pPr>
    </w:p>
    <w:p w:rsidR="00A35E8A" w:rsidRDefault="003E6B3D">
      <w:pP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Julia </w:t>
      </w:r>
      <w:proofErr w:type="spellStart"/>
      <w:r>
        <w:rPr>
          <w:sz w:val="24"/>
          <w:szCs w:val="24"/>
        </w:rPr>
        <w:t>Shu-Wua</w:t>
      </w:r>
      <w:proofErr w:type="spellEnd"/>
      <w:r>
        <w:rPr>
          <w:sz w:val="24"/>
          <w:szCs w:val="24"/>
        </w:rPr>
        <w:t xml:space="preserve"> Wang</w:t>
      </w:r>
      <w:r>
        <w:rPr>
          <w:sz w:val="24"/>
          <w:szCs w:val="24"/>
          <w:vertAlign w:val="superscript"/>
        </w:rPr>
        <w:footnoteReference w:id="1"/>
      </w:r>
    </w:p>
    <w:p w:rsidR="00A35E8A" w:rsidRDefault="003E6B3D">
      <w:pP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Rúbia dos Santos </w:t>
      </w:r>
      <w:proofErr w:type="spellStart"/>
      <w:r>
        <w:rPr>
          <w:sz w:val="24"/>
          <w:szCs w:val="24"/>
        </w:rPr>
        <w:t>Ronzoni</w:t>
      </w:r>
      <w:proofErr w:type="spellEnd"/>
      <w:r>
        <w:rPr>
          <w:sz w:val="24"/>
          <w:szCs w:val="24"/>
          <w:vertAlign w:val="superscript"/>
        </w:rPr>
        <w:footnoteReference w:id="2"/>
      </w:r>
    </w:p>
    <w:p w:rsidR="00A35E8A" w:rsidRDefault="003E6B3D">
      <w:pP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Keli Regina Dal </w:t>
      </w:r>
      <w:proofErr w:type="spellStart"/>
      <w:r>
        <w:rPr>
          <w:sz w:val="24"/>
          <w:szCs w:val="24"/>
        </w:rPr>
        <w:t>Prá</w:t>
      </w:r>
      <w:proofErr w:type="spellEnd"/>
      <w:r>
        <w:rPr>
          <w:sz w:val="24"/>
          <w:szCs w:val="24"/>
          <w:vertAlign w:val="superscript"/>
        </w:rPr>
        <w:footnoteReference w:id="3"/>
      </w:r>
    </w:p>
    <w:p w:rsidR="00A35E8A" w:rsidRDefault="003E6B3D">
      <w:pP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Lara da Silva </w:t>
      </w:r>
      <w:proofErr w:type="spellStart"/>
      <w:r>
        <w:rPr>
          <w:sz w:val="24"/>
          <w:szCs w:val="24"/>
        </w:rPr>
        <w:t>Zatarian</w:t>
      </w:r>
      <w:proofErr w:type="spellEnd"/>
      <w:r>
        <w:rPr>
          <w:sz w:val="24"/>
          <w:szCs w:val="24"/>
          <w:vertAlign w:val="superscript"/>
        </w:rPr>
        <w:footnoteReference w:id="4"/>
      </w:r>
    </w:p>
    <w:p w:rsidR="00A35E8A" w:rsidRDefault="003E6B3D">
      <w:pP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>Debora Greice Trindade Valim</w:t>
      </w:r>
      <w:r>
        <w:rPr>
          <w:sz w:val="24"/>
          <w:szCs w:val="24"/>
          <w:vertAlign w:val="superscript"/>
        </w:rPr>
        <w:footnoteReference w:id="5"/>
      </w:r>
    </w:p>
    <w:p w:rsidR="00A35E8A" w:rsidRDefault="00A35E8A">
      <w:pPr>
        <w:ind w:hanging="2"/>
        <w:jc w:val="right"/>
        <w:rPr>
          <w:sz w:val="24"/>
          <w:szCs w:val="24"/>
        </w:rPr>
      </w:pPr>
    </w:p>
    <w:p w:rsidR="00A35E8A" w:rsidRDefault="003E6B3D">
      <w:pPr>
        <w:ind w:left="2835" w:firstLine="0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A35E8A" w:rsidRDefault="003E6B3D">
      <w:pPr>
        <w:spacing w:line="240" w:lineRule="auto"/>
        <w:ind w:left="2835" w:firstLine="0"/>
        <w:jc w:val="both"/>
        <w:rPr>
          <w:sz w:val="20"/>
          <w:szCs w:val="20"/>
        </w:rPr>
      </w:pPr>
      <w:r>
        <w:rPr>
          <w:sz w:val="20"/>
          <w:szCs w:val="20"/>
        </w:rPr>
        <w:t>Apresenta-se informações da pesquisa “Regimes de Bem-Estar Global: Investigando o Sistema de Proteção Social Brasileiro no Contexto Pós-Pandêmico”, conduzida no Brasil como parte do estudo transnacional coordenado pela Universidade Nacional de Taiwan. A investigação parte do modelo de família hipotética para analisar a cobertura, generosidade e redistribuição das políticas sociais. São abordados aspectos referentes à proteção de renda como o Programa Bolsa Família, o Benefício de Prestação Continuada e o seguro-desemprego, previdência social, salário mínimo, além das políticas públicas nas áreas de educação, saúde, habitação, segurança alimentar, energia e água. Os dados revelam avanços institucionais na estruturação do sistema de proteção social e evidenciam lacunas na universalização, na (</w:t>
      </w:r>
      <w:proofErr w:type="gramStart"/>
      <w:r>
        <w:rPr>
          <w:sz w:val="20"/>
          <w:szCs w:val="20"/>
        </w:rPr>
        <w:t>in)suficiência</w:t>
      </w:r>
      <w:proofErr w:type="gramEnd"/>
      <w:r>
        <w:rPr>
          <w:sz w:val="20"/>
          <w:szCs w:val="20"/>
        </w:rPr>
        <w:t xml:space="preserve"> dos benefícios e na equidade, especialmente diante da centralidade do </w:t>
      </w:r>
      <w:proofErr w:type="spellStart"/>
      <w:r>
        <w:rPr>
          <w:sz w:val="20"/>
          <w:szCs w:val="20"/>
        </w:rPr>
        <w:t>familismo</w:t>
      </w:r>
      <w:proofErr w:type="spellEnd"/>
      <w:r>
        <w:rPr>
          <w:sz w:val="20"/>
          <w:szCs w:val="20"/>
        </w:rPr>
        <w:t xml:space="preserve"> e da desigualdade de gênero. As conclusões indicam a necessidade de investimento, integração e fortalecimento das políticas públicas para efetivação de um regime de bem-estar social mais universal no Brasil.</w:t>
      </w:r>
    </w:p>
    <w:p w:rsidR="00A35E8A" w:rsidRDefault="003E6B3D">
      <w:pPr>
        <w:spacing w:line="240" w:lineRule="auto"/>
        <w:ind w:left="2835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Palavras-chave:</w:t>
      </w:r>
      <w:r>
        <w:rPr>
          <w:sz w:val="20"/>
          <w:szCs w:val="20"/>
        </w:rPr>
        <w:t xml:space="preserve"> Regimes de bem-estar; proteção social; políticas públicas.</w:t>
      </w:r>
    </w:p>
    <w:p w:rsidR="00A35E8A" w:rsidRDefault="00A35E8A">
      <w:pPr>
        <w:spacing w:line="240" w:lineRule="auto"/>
        <w:ind w:left="2" w:hanging="2"/>
        <w:jc w:val="both"/>
        <w:rPr>
          <w:sz w:val="20"/>
          <w:szCs w:val="20"/>
        </w:rPr>
      </w:pPr>
    </w:p>
    <w:p w:rsidR="00A35E8A" w:rsidRDefault="003E6B3D">
      <w:pPr>
        <w:spacing w:line="240" w:lineRule="auto"/>
        <w:ind w:left="2835" w:firstLine="0"/>
        <w:rPr>
          <w:b/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A35E8A" w:rsidRDefault="003E6B3D">
      <w:pPr>
        <w:spacing w:line="240" w:lineRule="auto"/>
        <w:ind w:left="2835" w:firstLine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 “Global </w:t>
      </w:r>
      <w:proofErr w:type="spellStart"/>
      <w:r>
        <w:rPr>
          <w:sz w:val="20"/>
          <w:szCs w:val="20"/>
        </w:rPr>
        <w:t>Welfare</w:t>
      </w:r>
      <w:proofErr w:type="spellEnd"/>
      <w:r>
        <w:rPr>
          <w:sz w:val="20"/>
          <w:szCs w:val="20"/>
        </w:rPr>
        <w:t xml:space="preserve"> Regimes: </w:t>
      </w:r>
      <w:proofErr w:type="spellStart"/>
      <w:r>
        <w:rPr>
          <w:sz w:val="20"/>
          <w:szCs w:val="20"/>
        </w:rPr>
        <w:t>Investigating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Brazilian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Protection</w:t>
      </w:r>
      <w:proofErr w:type="spellEnd"/>
      <w:r>
        <w:rPr>
          <w:sz w:val="20"/>
          <w:szCs w:val="20"/>
        </w:rPr>
        <w:t xml:space="preserve"> System in a Post-</w:t>
      </w:r>
      <w:proofErr w:type="spellStart"/>
      <w:r>
        <w:rPr>
          <w:sz w:val="20"/>
          <w:szCs w:val="20"/>
        </w:rPr>
        <w:t>Pandemic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Context</w:t>
      </w:r>
      <w:proofErr w:type="spellEnd"/>
      <w:r>
        <w:rPr>
          <w:sz w:val="20"/>
          <w:szCs w:val="20"/>
        </w:rPr>
        <w:t>,”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conducted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 as </w:t>
      </w:r>
      <w:proofErr w:type="spellStart"/>
      <w:r>
        <w:rPr>
          <w:sz w:val="20"/>
          <w:szCs w:val="20"/>
        </w:rPr>
        <w:t>part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transnational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coordinated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National</w:t>
      </w:r>
      <w:proofErr w:type="spellEnd"/>
      <w:r>
        <w:rPr>
          <w:sz w:val="20"/>
          <w:szCs w:val="20"/>
        </w:rPr>
        <w:t xml:space="preserve"> Taiwan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 uses a </w:t>
      </w:r>
      <w:proofErr w:type="spellStart"/>
      <w:r>
        <w:rPr>
          <w:sz w:val="20"/>
          <w:szCs w:val="20"/>
        </w:rPr>
        <w:t>hypothetical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family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model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coverage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generosity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redistribution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policies. </w:t>
      </w:r>
      <w:proofErr w:type="spellStart"/>
      <w:r>
        <w:rPr>
          <w:sz w:val="20"/>
          <w:szCs w:val="20"/>
        </w:rPr>
        <w:t>Aspects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related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income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protection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such</w:t>
      </w:r>
      <w:proofErr w:type="spellEnd"/>
      <w:r>
        <w:rPr>
          <w:sz w:val="20"/>
          <w:szCs w:val="20"/>
        </w:rPr>
        <w:t xml:space="preserve"> as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Bolsa Família </w:t>
      </w:r>
      <w:proofErr w:type="spellStart"/>
      <w:r>
        <w:rPr>
          <w:sz w:val="20"/>
          <w:szCs w:val="20"/>
        </w:rPr>
        <w:t>Program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Continuous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Payment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Benefit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unemployment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insurance</w:t>
      </w:r>
      <w:proofErr w:type="spellEnd"/>
      <w:r>
        <w:rPr>
          <w:sz w:val="20"/>
          <w:szCs w:val="20"/>
        </w:rPr>
        <w:t xml:space="preserve">, social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minimum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wage</w:t>
      </w:r>
      <w:proofErr w:type="spellEnd"/>
      <w:r>
        <w:rPr>
          <w:sz w:val="20"/>
          <w:szCs w:val="20"/>
        </w:rPr>
        <w:t xml:space="preserve">, as </w:t>
      </w:r>
      <w:proofErr w:type="spellStart"/>
      <w:r>
        <w:rPr>
          <w:sz w:val="20"/>
          <w:szCs w:val="20"/>
        </w:rPr>
        <w:t>well</w:t>
      </w:r>
      <w:proofErr w:type="spellEnd"/>
      <w:r>
        <w:rPr>
          <w:sz w:val="20"/>
          <w:szCs w:val="20"/>
        </w:rPr>
        <w:t xml:space="preserve"> as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areas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education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healthcare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housing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food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energy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water</w:t>
      </w:r>
      <w:proofErr w:type="spellEnd"/>
      <w:r>
        <w:rPr>
          <w:sz w:val="20"/>
          <w:szCs w:val="20"/>
        </w:rPr>
        <w:t xml:space="preserve">, are </w:t>
      </w:r>
      <w:proofErr w:type="spellStart"/>
      <w:r>
        <w:rPr>
          <w:sz w:val="20"/>
          <w:szCs w:val="20"/>
        </w:rPr>
        <w:t>addressed</w:t>
      </w:r>
      <w:proofErr w:type="spellEnd"/>
      <w:r>
        <w:rPr>
          <w:sz w:val="20"/>
          <w:szCs w:val="20"/>
        </w:rPr>
        <w:t xml:space="preserve">. The data </w:t>
      </w:r>
      <w:proofErr w:type="spellStart"/>
      <w:r>
        <w:rPr>
          <w:sz w:val="20"/>
          <w:szCs w:val="20"/>
        </w:rPr>
        <w:t>reveals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lastRenderedPageBreak/>
        <w:t>institutional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advances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structuring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protection</w:t>
      </w:r>
      <w:proofErr w:type="spellEnd"/>
      <w:r>
        <w:rPr>
          <w:sz w:val="20"/>
          <w:szCs w:val="20"/>
        </w:rPr>
        <w:t xml:space="preserve"> system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highlight</w:t>
      </w:r>
      <w:proofErr w:type="spellEnd"/>
      <w:r>
        <w:rPr>
          <w:sz w:val="20"/>
          <w:szCs w:val="20"/>
        </w:rPr>
        <w:t xml:space="preserve"> gaps in </w:t>
      </w:r>
      <w:proofErr w:type="spellStart"/>
      <w:r>
        <w:rPr>
          <w:sz w:val="20"/>
          <w:szCs w:val="20"/>
        </w:rPr>
        <w:t>universalization</w:t>
      </w:r>
      <w:proofErr w:type="spellEnd"/>
      <w:r>
        <w:rPr>
          <w:sz w:val="20"/>
          <w:szCs w:val="20"/>
        </w:rPr>
        <w:t xml:space="preserve">,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(</w:t>
      </w:r>
      <w:proofErr w:type="gramStart"/>
      <w:r>
        <w:rPr>
          <w:sz w:val="20"/>
          <w:szCs w:val="20"/>
        </w:rPr>
        <w:t>in)</w:t>
      </w:r>
      <w:proofErr w:type="spellStart"/>
      <w:r>
        <w:rPr>
          <w:sz w:val="20"/>
          <w:szCs w:val="20"/>
        </w:rPr>
        <w:t>sufficiency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benefits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equity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especially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given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centrality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familism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inequality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conclusions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indicate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need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investment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integration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strengthening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implement</w:t>
      </w:r>
      <w:proofErr w:type="spellEnd"/>
      <w:r>
        <w:rPr>
          <w:sz w:val="20"/>
          <w:szCs w:val="20"/>
        </w:rPr>
        <w:t xml:space="preserve"> a more universal social </w:t>
      </w:r>
      <w:proofErr w:type="spellStart"/>
      <w:r>
        <w:rPr>
          <w:sz w:val="20"/>
          <w:szCs w:val="20"/>
        </w:rPr>
        <w:t>welfare</w:t>
      </w:r>
      <w:proofErr w:type="spellEnd"/>
      <w:r>
        <w:rPr>
          <w:sz w:val="20"/>
          <w:szCs w:val="20"/>
        </w:rPr>
        <w:t xml:space="preserve"> regime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>.</w:t>
      </w:r>
    </w:p>
    <w:p w:rsidR="00A35E8A" w:rsidRDefault="003E6B3D">
      <w:pPr>
        <w:spacing w:line="240" w:lineRule="auto"/>
        <w:ind w:left="2835" w:firstLine="0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b/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Welfare</w:t>
      </w:r>
      <w:proofErr w:type="spellEnd"/>
      <w:r>
        <w:rPr>
          <w:sz w:val="20"/>
          <w:szCs w:val="20"/>
        </w:rPr>
        <w:t xml:space="preserve"> regimes; social </w:t>
      </w:r>
      <w:proofErr w:type="spellStart"/>
      <w:r>
        <w:rPr>
          <w:sz w:val="20"/>
          <w:szCs w:val="20"/>
        </w:rPr>
        <w:t>protection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policies.</w:t>
      </w:r>
    </w:p>
    <w:p w:rsidR="00A35E8A" w:rsidRDefault="00A35E8A">
      <w:pPr>
        <w:ind w:hanging="2"/>
        <w:jc w:val="center"/>
        <w:rPr>
          <w:b/>
          <w:sz w:val="24"/>
          <w:szCs w:val="24"/>
        </w:rPr>
      </w:pPr>
    </w:p>
    <w:p w:rsidR="00A35E8A" w:rsidRDefault="003E6B3D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 INTRODUÇÃO</w:t>
      </w:r>
    </w:p>
    <w:p w:rsidR="00A35E8A" w:rsidRDefault="00A35E8A">
      <w:pPr>
        <w:ind w:hanging="2"/>
        <w:jc w:val="center"/>
        <w:rPr>
          <w:b/>
          <w:sz w:val="24"/>
          <w:szCs w:val="24"/>
        </w:rPr>
      </w:pPr>
    </w:p>
    <w:p w:rsidR="00A35E8A" w:rsidRDefault="003E6B3D">
      <w:pPr>
        <w:tabs>
          <w:tab w:val="left" w:pos="426"/>
        </w:tabs>
        <w:spacing w:line="360" w:lineRule="auto"/>
        <w:ind w:firstLine="709"/>
        <w:jc w:val="both"/>
        <w:rPr>
          <w:sz w:val="24"/>
          <w:szCs w:val="24"/>
        </w:rPr>
      </w:pPr>
      <w:bookmarkStart w:id="1" w:name="_heading=h.yhofj83z5zn3" w:colFirst="0" w:colLast="0"/>
      <w:bookmarkEnd w:id="1"/>
      <w:r>
        <w:rPr>
          <w:sz w:val="24"/>
          <w:szCs w:val="24"/>
        </w:rPr>
        <w:t xml:space="preserve">O projeto de pesquisa “Regimes de Bem-Estar Global: Investigando o Sistema de Proteção Social Brasileiro no Contexto Pós-Pandêmico” do Departamento de Serviço Social (DSS) da Universidade Federal de Santa Catarina (UFSC) faz parte da pesquisa transnacional “Sistemas de proteção social da era pós-pandêmica para redução da pobreza: investigando regimes de bem-estar globais, do Leste Asiático e de Taiwan” </w:t>
      </w:r>
      <w:r>
        <w:rPr>
          <w:i/>
          <w:sz w:val="24"/>
          <w:szCs w:val="24"/>
        </w:rPr>
        <w:t>(Post-</w:t>
      </w:r>
      <w:proofErr w:type="spellStart"/>
      <w:r>
        <w:rPr>
          <w:i/>
          <w:sz w:val="24"/>
          <w:szCs w:val="24"/>
        </w:rPr>
        <w:t>Pandemic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Era’s</w:t>
      </w:r>
      <w:proofErr w:type="spellEnd"/>
      <w:r>
        <w:rPr>
          <w:i/>
          <w:sz w:val="24"/>
          <w:szCs w:val="24"/>
        </w:rPr>
        <w:t xml:space="preserve"> Social </w:t>
      </w:r>
      <w:proofErr w:type="spellStart"/>
      <w:r>
        <w:rPr>
          <w:i/>
          <w:sz w:val="24"/>
          <w:szCs w:val="24"/>
        </w:rPr>
        <w:t>Protection</w:t>
      </w:r>
      <w:proofErr w:type="spellEnd"/>
      <w:r>
        <w:rPr>
          <w:i/>
          <w:sz w:val="24"/>
          <w:szCs w:val="24"/>
        </w:rPr>
        <w:t xml:space="preserve"> Systems for </w:t>
      </w:r>
      <w:proofErr w:type="spellStart"/>
      <w:r>
        <w:rPr>
          <w:i/>
          <w:sz w:val="24"/>
          <w:szCs w:val="24"/>
        </w:rPr>
        <w:t>Poverty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Reduction</w:t>
      </w:r>
      <w:proofErr w:type="spellEnd"/>
      <w:r>
        <w:rPr>
          <w:i/>
          <w:sz w:val="24"/>
          <w:szCs w:val="24"/>
        </w:rPr>
        <w:t xml:space="preserve">: </w:t>
      </w:r>
      <w:proofErr w:type="spellStart"/>
      <w:r>
        <w:rPr>
          <w:i/>
          <w:sz w:val="24"/>
          <w:szCs w:val="24"/>
        </w:rPr>
        <w:t>Investigating</w:t>
      </w:r>
      <w:proofErr w:type="spellEnd"/>
      <w:r>
        <w:rPr>
          <w:i/>
          <w:sz w:val="24"/>
          <w:szCs w:val="24"/>
        </w:rPr>
        <w:t xml:space="preserve"> Global, </w:t>
      </w:r>
      <w:proofErr w:type="spellStart"/>
      <w:r>
        <w:rPr>
          <w:i/>
          <w:sz w:val="24"/>
          <w:szCs w:val="24"/>
        </w:rPr>
        <w:t>East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Asia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and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Taiwanese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Welfare</w:t>
      </w:r>
      <w:proofErr w:type="spellEnd"/>
      <w:r>
        <w:rPr>
          <w:i/>
          <w:sz w:val="24"/>
          <w:szCs w:val="24"/>
        </w:rPr>
        <w:t xml:space="preserve"> Regimes)</w:t>
      </w:r>
      <w:r>
        <w:rPr>
          <w:sz w:val="24"/>
          <w:szCs w:val="24"/>
        </w:rPr>
        <w:t xml:space="preserve">, coordenada pela Dra. Julia </w:t>
      </w:r>
      <w:proofErr w:type="spellStart"/>
      <w:r>
        <w:rPr>
          <w:sz w:val="24"/>
          <w:szCs w:val="24"/>
        </w:rPr>
        <w:t>Shu-Huah</w:t>
      </w:r>
      <w:proofErr w:type="spellEnd"/>
      <w:r>
        <w:rPr>
          <w:sz w:val="24"/>
          <w:szCs w:val="24"/>
        </w:rPr>
        <w:t xml:space="preserve"> Wang do Departamento de Serviço Social (DSW) da Universidade Nacional de Taiwan (NTU (</w:t>
      </w:r>
      <w:proofErr w:type="spellStart"/>
      <w:r>
        <w:rPr>
          <w:sz w:val="24"/>
          <w:szCs w:val="24"/>
        </w:rPr>
        <w:t>Ronzoni</w:t>
      </w:r>
      <w:proofErr w:type="spellEnd"/>
      <w:r>
        <w:rPr>
          <w:sz w:val="24"/>
          <w:szCs w:val="24"/>
        </w:rPr>
        <w:t xml:space="preserve">, Dal </w:t>
      </w:r>
      <w:proofErr w:type="spellStart"/>
      <w:proofErr w:type="gramStart"/>
      <w:r>
        <w:rPr>
          <w:sz w:val="24"/>
          <w:szCs w:val="24"/>
        </w:rPr>
        <w:t>Prá</w:t>
      </w:r>
      <w:proofErr w:type="spellEnd"/>
      <w:proofErr w:type="gramEnd"/>
      <w:r>
        <w:rPr>
          <w:sz w:val="24"/>
          <w:szCs w:val="24"/>
        </w:rPr>
        <w:t xml:space="preserve">, 2023). </w:t>
      </w:r>
    </w:p>
    <w:p w:rsidR="00A35E8A" w:rsidRDefault="003E6B3D">
      <w:pPr>
        <w:tabs>
          <w:tab w:val="left" w:pos="2840"/>
        </w:tabs>
        <w:spacing w:line="360" w:lineRule="auto"/>
        <w:ind w:firstLine="709"/>
        <w:jc w:val="both"/>
        <w:rPr>
          <w:b/>
          <w:sz w:val="24"/>
          <w:szCs w:val="24"/>
        </w:rPr>
      </w:pPr>
      <w:bookmarkStart w:id="2" w:name="_heading=h.trjvu0xwhvuz" w:colFirst="0" w:colLast="0"/>
      <w:bookmarkEnd w:id="2"/>
      <w:r>
        <w:rPr>
          <w:sz w:val="24"/>
          <w:szCs w:val="24"/>
        </w:rPr>
        <w:t xml:space="preserve">O projeto transnacional tem como objetivo investigar os regimes de bem-estar global para apoiar famílias de baixa renda, utilizando dados de casos de famílias e de renda hipotéticos, com os seguintes objetivos específicos: i) compreender os efeitos de generosidade, cobertura e redistribuição dos programas de proteção social em mais de quarenta países da Ásia, África, América Latina, América do Norte e Europa; </w:t>
      </w:r>
      <w:proofErr w:type="spellStart"/>
      <w:r>
        <w:rPr>
          <w:sz w:val="24"/>
          <w:szCs w:val="24"/>
        </w:rPr>
        <w:t>ii</w:t>
      </w:r>
      <w:proofErr w:type="spellEnd"/>
      <w:r>
        <w:rPr>
          <w:sz w:val="24"/>
          <w:szCs w:val="24"/>
        </w:rPr>
        <w:t xml:space="preserve">) revelar os regimes de bem-estar nos contextos globais, comparando tipologias de programas de bem-estar social usando dados modelo de família em economias em desenvolvimento e desenvolvidas e </w:t>
      </w:r>
      <w:proofErr w:type="spellStart"/>
      <w:r>
        <w:rPr>
          <w:sz w:val="24"/>
          <w:szCs w:val="24"/>
        </w:rPr>
        <w:t>iii</w:t>
      </w:r>
      <w:proofErr w:type="spellEnd"/>
      <w:r>
        <w:rPr>
          <w:sz w:val="24"/>
          <w:szCs w:val="24"/>
        </w:rPr>
        <w:t>) investigar os determinantes econômicos, demográficos, sociais e políticos dos regimes de bem-estar globais, vinculando os indicadores em nível de país aos dados modelo da família. Com a abordagem de modelo de família, a premissa principal é coletar dados para perfis familiares hipotéticos com oito tipos diferentes de família e seis casos de renda (Wang, 2022).</w:t>
      </w:r>
    </w:p>
    <w:p w:rsidR="00A35E8A" w:rsidRDefault="003E6B3D">
      <w:pPr>
        <w:tabs>
          <w:tab w:val="left" w:pos="426"/>
        </w:tabs>
        <w:spacing w:line="360" w:lineRule="auto"/>
        <w:ind w:firstLine="709"/>
        <w:jc w:val="both"/>
        <w:rPr>
          <w:sz w:val="24"/>
          <w:szCs w:val="24"/>
        </w:rPr>
      </w:pPr>
      <w:bookmarkStart w:id="3" w:name="_heading=h.z09v1iqkr1o8" w:colFirst="0" w:colLast="0"/>
      <w:bookmarkEnd w:id="3"/>
      <w:r>
        <w:rPr>
          <w:sz w:val="24"/>
          <w:szCs w:val="24"/>
        </w:rPr>
        <w:t xml:space="preserve">A metodologia de coleta de dados, ocorre mediante cruzamento dos tipos de família e os casos de renda, para análise de cobertura das políticas sociais dos </w:t>
      </w:r>
      <w:r>
        <w:rPr>
          <w:sz w:val="24"/>
          <w:szCs w:val="24"/>
        </w:rPr>
        <w:lastRenderedPageBreak/>
        <w:t>diferentes países. No Brasil, a coleta de dados teve início em 2023. Para fins de registro, foram preenchidas planilhas fornecidas pela NTU, com um modelo fixo para todos os países envolvidos no estudo transnacional. A primeira planilha, intitulada "Proteção de Renda Mínima" (</w:t>
      </w:r>
      <w:proofErr w:type="spellStart"/>
      <w:r>
        <w:rPr>
          <w:i/>
          <w:sz w:val="24"/>
          <w:szCs w:val="24"/>
        </w:rPr>
        <w:t>Minimum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Income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Protection</w:t>
      </w:r>
      <w:proofErr w:type="spellEnd"/>
      <w:r>
        <w:rPr>
          <w:sz w:val="24"/>
          <w:szCs w:val="24"/>
        </w:rPr>
        <w:t>) foi utilizada para coletar informações sobre as Políticas de Assistência Social e Previdência Social e sobre o Salário Mínimo (</w:t>
      </w:r>
      <w:r>
        <w:rPr>
          <w:i/>
          <w:sz w:val="24"/>
          <w:szCs w:val="24"/>
        </w:rPr>
        <w:t xml:space="preserve">Social </w:t>
      </w:r>
      <w:proofErr w:type="spellStart"/>
      <w:r>
        <w:rPr>
          <w:i/>
          <w:sz w:val="24"/>
          <w:szCs w:val="24"/>
        </w:rPr>
        <w:t>Assistance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Guaranteed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Pension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and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Minimum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Wage</w:t>
      </w:r>
      <w:proofErr w:type="spellEnd"/>
      <w:r>
        <w:rPr>
          <w:sz w:val="24"/>
          <w:szCs w:val="24"/>
        </w:rPr>
        <w:t>), que foram divididas em três abas. A aba “Assistência Social” onde constam informações sobre os principais programas da Política de Assistência Social oferecidos no Brasil. A aba de “Previdência Social” com informações gerais sobre aposentadoria, contribuição previdenciária e recebimento e a aba “Salário Mínimo” com informações gerais sobre salário mínimo.</w:t>
      </w:r>
    </w:p>
    <w:p w:rsidR="00A35E8A" w:rsidRDefault="003E6B3D">
      <w:pPr>
        <w:tabs>
          <w:tab w:val="left" w:pos="426"/>
        </w:tabs>
        <w:spacing w:line="360" w:lineRule="auto"/>
        <w:ind w:firstLine="709"/>
        <w:jc w:val="both"/>
        <w:rPr>
          <w:sz w:val="24"/>
          <w:szCs w:val="24"/>
        </w:rPr>
      </w:pPr>
      <w:bookmarkStart w:id="4" w:name="_heading=h.ukyoxpfci4cw" w:colFirst="0" w:colLast="0"/>
      <w:bookmarkEnd w:id="4"/>
      <w:r>
        <w:rPr>
          <w:sz w:val="24"/>
          <w:szCs w:val="24"/>
        </w:rPr>
        <w:t>Uma segunda planilha, intitulada "Estatísticas do País", foi preenchida com estatísticas e informações sobre o Brasil, como por exemplo: salário mínimo, renda média, população, etc. A terceira e principal planilha é a que consta dados dos “casos e tipos de família”, que foi preenchida com ganhos e despesas hipotéticos de acordo com o modelo. Todo o processo de coleta de dados para o preenchimento das planilhas durou de setembro a dezembro de 2023 e se deu por meio de pesquisa documental em bases de dados das políticas de Assistência Social, Saúde, Previdência Social, trabalho e emprego e em sites oficiais do Governo Federal brasileiro (</w:t>
      </w:r>
      <w:proofErr w:type="spellStart"/>
      <w:r>
        <w:rPr>
          <w:sz w:val="24"/>
          <w:szCs w:val="24"/>
        </w:rPr>
        <w:t>Ronzoni</w:t>
      </w:r>
      <w:proofErr w:type="spellEnd"/>
      <w:r>
        <w:rPr>
          <w:sz w:val="24"/>
          <w:szCs w:val="24"/>
        </w:rPr>
        <w:t xml:space="preserve">; Dal </w:t>
      </w:r>
      <w:proofErr w:type="spellStart"/>
      <w:proofErr w:type="gramStart"/>
      <w:r>
        <w:rPr>
          <w:sz w:val="24"/>
          <w:szCs w:val="24"/>
        </w:rPr>
        <w:t>Prá</w:t>
      </w:r>
      <w:proofErr w:type="spellEnd"/>
      <w:proofErr w:type="gramEnd"/>
      <w:r>
        <w:rPr>
          <w:sz w:val="24"/>
          <w:szCs w:val="24"/>
        </w:rPr>
        <w:t>, 2023).</w:t>
      </w:r>
    </w:p>
    <w:p w:rsidR="00A35E8A" w:rsidRDefault="003E6B3D">
      <w:pPr>
        <w:tabs>
          <w:tab w:val="left" w:pos="426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A partir dessas informações os dados estão sendo disponibilizados pela NTU e serão aqui apresentados. Neste artigo, serão apresentados dados gerais sobre as Planilhas “Proteção de Renda Mínima” e “Estatísticas do país”.</w:t>
      </w:r>
    </w:p>
    <w:p w:rsidR="00A35E8A" w:rsidRDefault="00A35E8A">
      <w:pPr>
        <w:tabs>
          <w:tab w:val="left" w:pos="426"/>
        </w:tabs>
        <w:spacing w:line="360" w:lineRule="auto"/>
        <w:ind w:hanging="2"/>
        <w:jc w:val="both"/>
        <w:rPr>
          <w:sz w:val="24"/>
          <w:szCs w:val="24"/>
        </w:rPr>
      </w:pPr>
      <w:bookmarkStart w:id="5" w:name="_heading=h.hj0tohsvpql1" w:colFirst="0" w:colLast="0"/>
      <w:bookmarkEnd w:id="5"/>
    </w:p>
    <w:p w:rsidR="00A35E8A" w:rsidRDefault="003E6B3D">
      <w:pPr>
        <w:tabs>
          <w:tab w:val="left" w:pos="426"/>
        </w:tabs>
        <w:spacing w:line="360" w:lineRule="auto"/>
        <w:ind w:hanging="2"/>
        <w:jc w:val="both"/>
        <w:rPr>
          <w:sz w:val="24"/>
          <w:szCs w:val="24"/>
        </w:rPr>
      </w:pPr>
      <w:bookmarkStart w:id="6" w:name="_heading=h.jlqwno7dh4nm" w:colFirst="0" w:colLast="0"/>
      <w:bookmarkEnd w:id="6"/>
      <w:r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UM PANORAMA DO BRASIL E DAS PRINCIPAIS POLÍTICAS PÚBLICAS</w:t>
      </w:r>
    </w:p>
    <w:p w:rsidR="00A35E8A" w:rsidRDefault="00A35E8A">
      <w:pPr>
        <w:widowControl w:val="0"/>
        <w:spacing w:line="360" w:lineRule="auto"/>
        <w:ind w:hanging="2"/>
        <w:jc w:val="both"/>
        <w:rPr>
          <w:sz w:val="24"/>
          <w:szCs w:val="24"/>
        </w:rPr>
      </w:pP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dados relativos ao rendimento médio da população ocupada foram obtidos junto ao Instituto Brasileiro de Geografia e Estatística (IBGE, 2021) sendo de R$2.951,00 independentemente do sexo, (R$2.582,00 para mulheres e R$3.215,00 </w:t>
      </w:r>
      <w:r>
        <w:rPr>
          <w:sz w:val="24"/>
          <w:szCs w:val="24"/>
        </w:rPr>
        <w:lastRenderedPageBreak/>
        <w:t>para homens). Foi utilizada a Calculadora do Cidadão do Banco Central, que atualizou o referido valor, considerando o período de 10/2021 a 10/2023. Portanto, tem-se os seguintes valores reajustados para 2023: R$3.334,00 independentemente do sexo, sendo R$2.918,00 para mulheres e R$3.633,00 para homens. Observa-se importante disparidade salarial por sexo, pois os homens ganham R$715,00 a mais do que as mulheres.</w:t>
      </w:r>
    </w:p>
    <w:p w:rsidR="00A35E8A" w:rsidRDefault="003E6B3D">
      <w:pPr>
        <w:widowControl w:val="0"/>
        <w:spacing w:line="240" w:lineRule="auto"/>
        <w:ind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1</w:t>
      </w:r>
      <w:r>
        <w:rPr>
          <w:sz w:val="24"/>
          <w:szCs w:val="24"/>
        </w:rPr>
        <w:t xml:space="preserve"> - Atualização do rendimento médio nacional para 2023.</w:t>
      </w:r>
    </w:p>
    <w:tbl>
      <w:tblPr>
        <w:tblStyle w:val="a7"/>
        <w:tblW w:w="878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1902"/>
        <w:gridCol w:w="3059"/>
      </w:tblGrid>
      <w:tr w:rsidR="00A35E8A">
        <w:trPr>
          <w:trHeight w:val="286"/>
        </w:trPr>
        <w:tc>
          <w:tcPr>
            <w:tcW w:w="3828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Tipo</w:t>
            </w:r>
          </w:p>
        </w:tc>
        <w:tc>
          <w:tcPr>
            <w:tcW w:w="1902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2021 (IBGE) (R$)</w:t>
            </w:r>
          </w:p>
        </w:tc>
        <w:tc>
          <w:tcPr>
            <w:tcW w:w="3059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2023 (IBGE + IPCA) (R$) valor arredondado</w:t>
            </w:r>
          </w:p>
        </w:tc>
      </w:tr>
      <w:tr w:rsidR="00A35E8A">
        <w:trPr>
          <w:trHeight w:val="276"/>
        </w:trPr>
        <w:tc>
          <w:tcPr>
            <w:tcW w:w="3828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Rendimento médio nacional, independentemente do gênero</w:t>
            </w:r>
          </w:p>
          <w:p w:rsidR="00A35E8A" w:rsidRDefault="00A35E8A">
            <w:pPr>
              <w:ind w:hanging="2"/>
              <w:jc w:val="both"/>
            </w:pPr>
          </w:p>
        </w:tc>
        <w:tc>
          <w:tcPr>
            <w:tcW w:w="1902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2.951,00</w:t>
            </w:r>
          </w:p>
        </w:tc>
        <w:tc>
          <w:tcPr>
            <w:tcW w:w="3059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3.334,00</w:t>
            </w:r>
          </w:p>
        </w:tc>
      </w:tr>
      <w:tr w:rsidR="00A35E8A">
        <w:trPr>
          <w:trHeight w:val="286"/>
        </w:trPr>
        <w:tc>
          <w:tcPr>
            <w:tcW w:w="3828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Rendimento  médio nacional para as mulheres</w:t>
            </w:r>
          </w:p>
        </w:tc>
        <w:tc>
          <w:tcPr>
            <w:tcW w:w="1902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2.582,00</w:t>
            </w:r>
          </w:p>
        </w:tc>
        <w:tc>
          <w:tcPr>
            <w:tcW w:w="3059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2.918,00</w:t>
            </w:r>
          </w:p>
        </w:tc>
      </w:tr>
      <w:tr w:rsidR="00A35E8A">
        <w:trPr>
          <w:trHeight w:val="286"/>
        </w:trPr>
        <w:tc>
          <w:tcPr>
            <w:tcW w:w="3828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Rendimento médio nacional para os homens</w:t>
            </w:r>
          </w:p>
        </w:tc>
        <w:tc>
          <w:tcPr>
            <w:tcW w:w="1902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3.215,00</w:t>
            </w:r>
          </w:p>
        </w:tc>
        <w:tc>
          <w:tcPr>
            <w:tcW w:w="3059" w:type="dxa"/>
            <w:vAlign w:val="center"/>
          </w:tcPr>
          <w:p w:rsidR="00A35E8A" w:rsidRDefault="003E6B3D">
            <w:pPr>
              <w:ind w:hanging="2"/>
              <w:jc w:val="both"/>
            </w:pPr>
            <w:r>
              <w:t>3.633,00</w:t>
            </w:r>
          </w:p>
        </w:tc>
      </w:tr>
    </w:tbl>
    <w:p w:rsidR="00A35E8A" w:rsidRDefault="003E6B3D">
      <w:pPr>
        <w:spacing w:line="360" w:lineRule="auto"/>
        <w:ind w:hanging="2"/>
        <w:jc w:val="both"/>
      </w:pPr>
      <w:r>
        <w:t>Fonte: IBGE (2021).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Salário Mínimo</w:t>
      </w:r>
      <w:r>
        <w:rPr>
          <w:sz w:val="24"/>
          <w:szCs w:val="24"/>
          <w:vertAlign w:val="superscript"/>
        </w:rPr>
        <w:t xml:space="preserve">, </w:t>
      </w:r>
      <w:r>
        <w:rPr>
          <w:sz w:val="24"/>
          <w:szCs w:val="24"/>
        </w:rPr>
        <w:t>em setembro de 2023, correspondia a R$1.320,00 mensais para uma jornada mensal de trabalho de 220 horas, dividida igualmente em 44 horas semanais, totalizando 8 horas diárias. No entanto, a partir da Reforma Trabalhista de 2017, passou a ser possível a contratação do regime de trabalho intermitente, em que o empregado é remunerado pelos períodos trabalhados. Neste caso, o valor mínimo da diária é de R$44,00 e o valor mínimo por hora é de R$6,00. Há um piso nacional e um piso regional para o salário mínimo. Ele não varia de acordo com a idade ou sexo do funcionário.</w:t>
      </w:r>
    </w:p>
    <w:p w:rsidR="00A35E8A" w:rsidRDefault="003E6B3D" w:rsidP="00CC4F3A">
      <w:pPr>
        <w:widowControl w:val="0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Dados relativos às contribuições previdenciárias, apontam que a lei que institui os Planos de Benefícios Previdenciários foi criada em 1991. Os benefícios são organizados em três grandes grupos: previdenciários, acidentários e assistenciais. São eles:</w:t>
      </w:r>
      <w:r w:rsidR="00CC4F3A">
        <w:rPr>
          <w:sz w:val="24"/>
          <w:szCs w:val="24"/>
        </w:rPr>
        <w:t xml:space="preserve"> 1. </w:t>
      </w:r>
      <w:r>
        <w:rPr>
          <w:color w:val="000000"/>
          <w:sz w:val="24"/>
          <w:szCs w:val="24"/>
        </w:rPr>
        <w:t>Benefícios previdenciários: aposentadorias por idade, invalidez, tempo de contribuição; pensão por morte; auxílio-doença, auxílio-acidente, auxílio-reclusão, salário-maternidade e outros.</w:t>
      </w:r>
      <w:r w:rsidR="00CC4F3A">
        <w:rPr>
          <w:color w:val="000000"/>
          <w:sz w:val="24"/>
          <w:szCs w:val="24"/>
        </w:rPr>
        <w:t xml:space="preserve"> 2. </w:t>
      </w:r>
      <w:r>
        <w:rPr>
          <w:color w:val="000000"/>
          <w:sz w:val="24"/>
          <w:szCs w:val="24"/>
        </w:rPr>
        <w:t>Benefícios acidentários: aposentadoria por invalidez, pensão por morte, auxílio-doença, auxílio-acidente e Auxílio-suplementar.</w:t>
      </w:r>
      <w:r w:rsidR="00CC4F3A">
        <w:rPr>
          <w:color w:val="000000"/>
          <w:sz w:val="24"/>
          <w:szCs w:val="24"/>
        </w:rPr>
        <w:t xml:space="preserve"> 3. </w:t>
      </w:r>
      <w:r>
        <w:rPr>
          <w:color w:val="000000"/>
          <w:sz w:val="24"/>
          <w:szCs w:val="24"/>
        </w:rPr>
        <w:t xml:space="preserve">Benefícios assistenciais: Benefício de Prestação Continuada para Idosos e Pessoas </w:t>
      </w:r>
      <w:r>
        <w:rPr>
          <w:color w:val="000000"/>
          <w:sz w:val="24"/>
          <w:szCs w:val="24"/>
        </w:rPr>
        <w:lastRenderedPageBreak/>
        <w:t>com Deficiência, Renda Mensal Vitalícia, outros benefícios previdenciários de legislações específicas.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As alíquotas de contribuição são descontadas mensalmente diretamente dos salários dos trabalhadores. Os valores das taxas são mensais e variam de acordo com os salários e os tipos de vínculos empregatícios.</w:t>
      </w:r>
    </w:p>
    <w:p w:rsidR="00A35E8A" w:rsidRDefault="003E6B3D">
      <w:pPr>
        <w:widowControl w:val="0"/>
        <w:spacing w:line="240" w:lineRule="auto"/>
        <w:ind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2 -</w:t>
      </w:r>
      <w:r>
        <w:rPr>
          <w:sz w:val="24"/>
          <w:szCs w:val="24"/>
        </w:rPr>
        <w:t xml:space="preserve"> Alíquotas de contribuição para empregados, empregados domésticos e trabalhadores avulsos.</w:t>
      </w:r>
    </w:p>
    <w:tbl>
      <w:tblPr>
        <w:tblStyle w:val="a8"/>
        <w:tblW w:w="8475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5"/>
        <w:gridCol w:w="4230"/>
      </w:tblGrid>
      <w:tr w:rsidR="00A35E8A">
        <w:trPr>
          <w:trHeight w:val="286"/>
        </w:trPr>
        <w:tc>
          <w:tcPr>
            <w:tcW w:w="4245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Salário Contribuição (R$)</w:t>
            </w:r>
          </w:p>
        </w:tc>
        <w:tc>
          <w:tcPr>
            <w:tcW w:w="4230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Alíquota (%)</w:t>
            </w:r>
          </w:p>
        </w:tc>
      </w:tr>
      <w:tr w:rsidR="00A35E8A">
        <w:trPr>
          <w:trHeight w:val="27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Abaixo de 1.320.00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7,5</w:t>
            </w:r>
          </w:p>
        </w:tc>
      </w:tr>
      <w:tr w:rsidR="00A35E8A">
        <w:trPr>
          <w:trHeight w:val="28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De 1.320,01 a 2.571.29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9</w:t>
            </w:r>
          </w:p>
        </w:tc>
      </w:tr>
      <w:tr w:rsidR="00A35E8A">
        <w:trPr>
          <w:trHeight w:val="28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De 2.571,30 a 3.856,94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12</w:t>
            </w:r>
          </w:p>
        </w:tc>
      </w:tr>
      <w:tr w:rsidR="00A35E8A">
        <w:trPr>
          <w:trHeight w:val="28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De 3.856,95 a 7.507,49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14</w:t>
            </w:r>
          </w:p>
        </w:tc>
      </w:tr>
    </w:tbl>
    <w:p w:rsidR="00A35E8A" w:rsidRDefault="003E6B3D">
      <w:pPr>
        <w:spacing w:line="240" w:lineRule="auto"/>
        <w:ind w:hanging="2"/>
        <w:jc w:val="both"/>
      </w:pPr>
      <w:r>
        <w:t>Fonte: INSS (2023).</w:t>
      </w:r>
    </w:p>
    <w:p w:rsidR="00A35E8A" w:rsidRDefault="00A35E8A">
      <w:pPr>
        <w:widowControl w:val="0"/>
        <w:spacing w:line="240" w:lineRule="auto"/>
        <w:ind w:hanging="2"/>
        <w:jc w:val="both"/>
        <w:rPr>
          <w:sz w:val="24"/>
          <w:szCs w:val="24"/>
        </w:rPr>
      </w:pPr>
    </w:p>
    <w:p w:rsidR="00A35E8A" w:rsidRDefault="003E6B3D">
      <w:pPr>
        <w:widowControl w:val="0"/>
        <w:spacing w:line="240" w:lineRule="auto"/>
        <w:ind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3 -</w:t>
      </w:r>
      <w:r>
        <w:rPr>
          <w:sz w:val="24"/>
          <w:szCs w:val="24"/>
        </w:rPr>
        <w:t xml:space="preserve"> Alíquotas de contribuição para Contribuinte Individual, Facultativo e Microempreendedor Individual:</w:t>
      </w:r>
    </w:p>
    <w:tbl>
      <w:tblPr>
        <w:tblStyle w:val="a9"/>
        <w:tblW w:w="8475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5"/>
        <w:gridCol w:w="4230"/>
      </w:tblGrid>
      <w:tr w:rsidR="00A35E8A">
        <w:trPr>
          <w:trHeight w:val="286"/>
        </w:trPr>
        <w:tc>
          <w:tcPr>
            <w:tcW w:w="4245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Salário Contribuição (R$)</w:t>
            </w:r>
          </w:p>
        </w:tc>
        <w:tc>
          <w:tcPr>
            <w:tcW w:w="4230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Alíquota(%)</w:t>
            </w:r>
          </w:p>
        </w:tc>
      </w:tr>
      <w:tr w:rsidR="00A35E8A">
        <w:trPr>
          <w:trHeight w:val="27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1.320.00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5 a 11</w:t>
            </w:r>
          </w:p>
        </w:tc>
      </w:tr>
      <w:tr w:rsidR="00A35E8A">
        <w:trPr>
          <w:trHeight w:val="28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De 1.320.01 a 7.507,49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20</w:t>
            </w:r>
          </w:p>
        </w:tc>
      </w:tr>
    </w:tbl>
    <w:p w:rsidR="00A35E8A" w:rsidRDefault="003E6B3D">
      <w:pPr>
        <w:spacing w:line="240" w:lineRule="auto"/>
        <w:ind w:hanging="2"/>
        <w:jc w:val="both"/>
      </w:pPr>
      <w:r>
        <w:t>Fonte: INSS (2023).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Seguro-Desemprego é um dos benefícios da Previdência Social e tem a finalidade de garantir auxílio financeiro temporário aos trabalhadores que forem demitidos involuntariamente (sem justa causa). Ele pode ser utilizado por trabalhadores formais que tenham sido demitidos involuntariamente (sem justa causa) e que: a) não possuem renda própria suficiente para sustentar a si mesmos e suas famílias; b) tenham recebido salários de pessoa jurídica ou de pessoa física a ela equiparada, referentes a, no mínimo, 12 meses nos últimos 18 meses imediatamente anteriores à data da demissão, à época do primeiro pedido; ou pelo menos 9 meses nos últimos 12 meses imediatamente anteriores à data do despedimento, aquando do segundo pedido; ou cada um dos 6 meses imediatamente anteriores à data do despedimento, quando forem apresentados os outros pedidos; c) não recebem nenhum benefício previdenciário.</w:t>
      </w:r>
    </w:p>
    <w:p w:rsidR="00A35E8A" w:rsidRDefault="003E6B3D">
      <w:pPr>
        <w:widowControl w:val="0"/>
        <w:spacing w:line="240" w:lineRule="auto"/>
        <w:ind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4 -</w:t>
      </w:r>
      <w:r>
        <w:rPr>
          <w:sz w:val="24"/>
          <w:szCs w:val="24"/>
        </w:rPr>
        <w:t xml:space="preserve"> Faixas salariais médias e o cálculo do seguro-desemprego:</w:t>
      </w:r>
    </w:p>
    <w:tbl>
      <w:tblPr>
        <w:tblStyle w:val="aa"/>
        <w:tblW w:w="8475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5"/>
        <w:gridCol w:w="4230"/>
      </w:tblGrid>
      <w:tr w:rsidR="00A35E8A">
        <w:trPr>
          <w:trHeight w:val="286"/>
        </w:trPr>
        <w:tc>
          <w:tcPr>
            <w:tcW w:w="4245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Faixas salariais médias</w:t>
            </w:r>
          </w:p>
        </w:tc>
        <w:tc>
          <w:tcPr>
            <w:tcW w:w="4230" w:type="dxa"/>
            <w:shd w:val="clear" w:color="auto" w:fill="F2F2F2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Cálculo do Parcelamento</w:t>
            </w:r>
          </w:p>
        </w:tc>
      </w:tr>
      <w:tr w:rsidR="00A35E8A">
        <w:trPr>
          <w:trHeight w:val="27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lastRenderedPageBreak/>
              <w:t>Até R$ 1.968,36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Multiplique o salário médio por 0,8</w:t>
            </w:r>
          </w:p>
        </w:tc>
      </w:tr>
      <w:tr w:rsidR="00A35E8A">
        <w:trPr>
          <w:trHeight w:val="28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De R$1.968,37 para R$3.280,93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Tudo o que ultrapassar R$1.968,36 é multiplicado por 0,5 e somado a R$1.574,69</w:t>
            </w:r>
          </w:p>
        </w:tc>
      </w:tr>
      <w:tr w:rsidR="00A35E8A">
        <w:trPr>
          <w:trHeight w:val="286"/>
        </w:trPr>
        <w:tc>
          <w:tcPr>
            <w:tcW w:w="4245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Acima de R$ 3.280,93</w:t>
            </w:r>
          </w:p>
        </w:tc>
        <w:tc>
          <w:tcPr>
            <w:tcW w:w="4230" w:type="dxa"/>
            <w:vAlign w:val="center"/>
          </w:tcPr>
          <w:p w:rsidR="00A35E8A" w:rsidRDefault="003E6B3D">
            <w:pPr>
              <w:widowControl w:val="0"/>
              <w:ind w:hanging="2"/>
              <w:jc w:val="both"/>
            </w:pPr>
            <w:r>
              <w:t>O valor será fixo de R$ 2.230,97</w:t>
            </w:r>
          </w:p>
        </w:tc>
      </w:tr>
    </w:tbl>
    <w:p w:rsidR="00A35E8A" w:rsidRDefault="003E6B3D">
      <w:pPr>
        <w:widowControl w:val="0"/>
        <w:spacing w:line="360" w:lineRule="auto"/>
        <w:ind w:hanging="2"/>
        <w:jc w:val="both"/>
      </w:pPr>
      <w:r>
        <w:t>Fonte: Salário - Cálculo Seguro desemprego (2023).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número de parcelas do seguro-desemprego a que o trabalhador tem direito varia de acordo com o tempo de trabalho e o número de vezes que o benefício foi solicitado anteriormente.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No que se refere à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Política de Assistência Social (prestações pecuniárias),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aponta-se como principal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transferência de renda o Programa Bolsa-Família, criado pela Lei nº 14.601, de 19 de junho de 2023. Para ter direito aos benefícios do Programa, é necessário ter renda</w:t>
      </w:r>
      <w:r>
        <w:rPr>
          <w:i/>
          <w:sz w:val="24"/>
          <w:szCs w:val="24"/>
        </w:rPr>
        <w:t xml:space="preserve"> per capita</w:t>
      </w:r>
      <w:r>
        <w:rPr>
          <w:sz w:val="24"/>
          <w:szCs w:val="24"/>
        </w:rPr>
        <w:t xml:space="preserve"> igual ou inferior a R$218,00. Os benefícios são calculados de acordo com as seguintes situações: I - Benefício de Renda de Cidadania: no valor de R$142,00 (cento e quarenta e dois reais) por membro, destinado a todas as famílias beneficiárias do Programa Bolsa Família; II - Benefício Complementar: destinado às famílias beneficiárias do Programa Bolsa Família cuja soma dos valores relativos aos benefícios financeiros referidos no item I seja inferior a R$600,00, calculada pela diferença entre esse valor e o referido montante; III - Benefício Primeira Infância: no valor de R$ 150,00 (cento e cinquenta reais) por filho, destinado às famílias beneficiárias que tenham, em sua composição, crianças com idade entre 0 (zero) e 7 (sete) anos incompletos; IV - Benefício Variável Família: no valor de R$ 50,00 (cinquenta reais), destinado às famílias beneficiárias que tenham, em sua composição: a) gestantes; b) nutrizes; c) crianças com idade entre 7 (sete) e 12 (doze) anos; ou d) adolescentes, com idade entre 12 (doze) e 18 (dezoito) anos.</w:t>
      </w:r>
    </w:p>
    <w:p w:rsidR="00A35E8A" w:rsidRDefault="003E6B3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Programa tem cobertura superior a 50% em relação à população elegível, se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somente se for considerada a proporção entre cadastrados e beneficiários. Em fevereiro de 2025 o programa contemplou 20,46 milhões de famílias, o que soma cerca de 54,7 milhões de pessoas, segundo dados do Governo Federal (Brasil, 2025).</w:t>
      </w:r>
    </w:p>
    <w:p w:rsidR="00A35E8A" w:rsidRDefault="003E6B3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segundo programa, Benefício de Prestação Continuada, é um benefício de transferência de renda criado pela Constituição Federal do Brasil de 1988 e regulamentado pela Lei Orgânica da Assistência Social. Destina-se às pessoas idosas e pessoas com deficiência, cuja renda </w:t>
      </w:r>
      <w:r>
        <w:rPr>
          <w:i/>
          <w:sz w:val="24"/>
          <w:szCs w:val="24"/>
        </w:rPr>
        <w:t>per capita</w:t>
      </w:r>
      <w:r>
        <w:rPr>
          <w:sz w:val="24"/>
          <w:szCs w:val="24"/>
        </w:rPr>
        <w:t xml:space="preserve"> seja de até 1/4 do salário mínimo nacional e não possam ser sustentadas financeiramente por outras pessoas. O valor do Benefício de Prestação Continuada era de R$1.320,00 em 2023.</w:t>
      </w:r>
    </w:p>
    <w:p w:rsidR="00A35E8A" w:rsidRDefault="003E6B3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Esse benefício apresenta desafios metodológicos para o cálculo da cobertura, pois estima-se que para as pessoas com deficiência haja entre 72% a 95% de cobertura e 73% para pessoas idosas.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Outro benefício é o Salário Família. Será concedido, somente se o trabalhador estiver empregado formalmente. No Brasil, o Salário-Família foi instituído para trabalhadores formais que recebem até R$1.754,18. O valor do benefício é de R$59,82 para cada criança de até 14 anos. Esse valor refere-se ao ano de 2023, de acordo com a Portaria Interministerial nº 26 do Ministério do Trabalho e Emprego. O valor é pago independentemente das horas trabalhadas, desde que o valor final recebido não ultrapasse o teto estabelecido.</w:t>
      </w:r>
    </w:p>
    <w:p w:rsidR="00A35E8A" w:rsidRDefault="003E6B3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Em relação à Política de Educação, um levantamento do jornal Folha de São Paulo (2022) informa que de acordo com o Censo Escolar (2021) 83% dos alunos brasileiros estão matriculados em escolas públicas, da educação infantil à universidade. O Censo Escolar (IBGE, 2023) apresenta dados de todos os níveis de ensino da rede pública, mas não inclui a rede privada.</w:t>
      </w:r>
    </w:p>
    <w:p w:rsidR="00A35E8A" w:rsidRDefault="003E6B3D">
      <w:pPr>
        <w:spacing w:line="360" w:lineRule="auto"/>
        <w:ind w:firstLine="709"/>
        <w:jc w:val="both"/>
        <w:rPr>
          <w:sz w:val="24"/>
          <w:szCs w:val="24"/>
        </w:rPr>
      </w:pPr>
      <w:bookmarkStart w:id="7" w:name="_heading=h.h9xjlxwfz4d2" w:colFirst="0" w:colLast="0"/>
      <w:bookmarkEnd w:id="7"/>
      <w:r>
        <w:rPr>
          <w:sz w:val="24"/>
          <w:szCs w:val="24"/>
        </w:rPr>
        <w:t xml:space="preserve">No Brasil, 40.121.694 crianças de 0 a 6 anos frequentam a creche na rede pública, das quais 70% no início de 2023 estavam matriculadas em meio período (somente pela manhã ou à tarde) e 30% em período integral (manhã e tarde). Entende-se que, em geral, faltam vagas em tempo integral para quem trabalha. Não há subsídios governamentais para outras formas de cuidados infantis. O cuidado de crianças pequenas que não conseguem vagas em tempo integral é delegado principalmente às mulheres da família (mãe, avó, tia, etc.), desencadeando o fenômeno do </w:t>
      </w:r>
      <w:proofErr w:type="spellStart"/>
      <w:r>
        <w:rPr>
          <w:sz w:val="24"/>
          <w:szCs w:val="24"/>
        </w:rPr>
        <w:t>familismo</w:t>
      </w:r>
      <w:proofErr w:type="spellEnd"/>
      <w:r>
        <w:rPr>
          <w:sz w:val="24"/>
          <w:szCs w:val="24"/>
        </w:rPr>
        <w:t xml:space="preserve">. </w:t>
      </w:r>
      <w:bookmarkStart w:id="8" w:name="_GoBack"/>
      <w:bookmarkEnd w:id="8"/>
    </w:p>
    <w:p w:rsidR="00A35E8A" w:rsidRDefault="003E6B3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Segundo o site Melhor Escola (2023), o custo médio na Educação Infantil no estado de São Paulo é de R$1.065,05 por mês. Um valor muito próximo do salário mínimo, que é de R$1.320,00 para 44 horas semanais. Tornando a educação infantil privada inacessível para a grande maioria das pessoas de baixa renda.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ensino infantil público é de responsabilidade dos municípios. Não há nenhuma lei que estabeleça que deve fornecer material escolar para uso pessoal e uniforme da criança. Porém alguns fornecem e outros não. No Brasil, são 5.570 municípios, o que torna essa realidade bem diferente. 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No que se refere a Política de Habitação, de acordo com o Levantamento do Déficit Habitacional no Brasil entre 2016-2019 (Fundação João Pinheiro, 2021), em 2019 houve um déficit de 5.876.698 moradias. A região Sudeste é a mais populosa e a com maior déficit habitacional. O déficit é composto por: </w:t>
      </w:r>
      <w:r>
        <w:rPr>
          <w:color w:val="000000"/>
          <w:sz w:val="24"/>
          <w:szCs w:val="24"/>
        </w:rPr>
        <w:t>51,7% de sobrecarga do aluguel urbano; 21,5% de unidades conviventes (coabitação), ou seja, famílias que moram no mesmo domicílio devido à ausência de outra residência; 13,4% de domicílios improvisados (barracas, moradias embaixo de viadutos); 11,9% de domicílios rústicos (material inadequado, como palha e barro); 1,7% de domicílios cômodos, ou seja, casas com apenas um cômodo que serve de cozinha, quarto e sala ao mesmo tempo.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Uma das constatações mais relevantes dos resultados apresentados no referido levantamento é que o déficit é "feminino", ou seja, há uma super-representação de mulheres responsáveis pelos domicílios considerados deficitários. Há, inclusive, uma tendência de alta.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programa mais importante nesta área é Minha Casa, Minha Vida, mas teve uma eficácia menor do que o necessário. A especulação financeira do mercado privado encarece o valor da terra urbana. Mesmo que exista legislação como o Estatuto da Cidade que impede a especulação, não teve a aplicabilidade necessária.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alguns casos de situações de desastre em que as famílias venham a perder suas moradias, pode haver o pagamento temporário do aluguel pelos municípios. A existência desse pagamento, duração e valores variam entre os 5.570 municípios </w:t>
      </w:r>
      <w:r>
        <w:rPr>
          <w:sz w:val="24"/>
          <w:szCs w:val="24"/>
        </w:rPr>
        <w:lastRenderedPageBreak/>
        <w:t>brasileiros.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relação aos suplementos habitacionais e aluguel de habitação de longa duração, não existe qualquer previsão legal para o pagamento por parte do governo federal visando o aluguel de habitação de longa duração, a não ser por iniciativa dos municípios, cujos valores variam de acordo com a região do país. 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Em relação à Política de Saúde, o Sistema Único de Saúde (SUS) foi criado pela Lei 8.080, de 19 de setembro de 1990. O SUS abrange desde situações preventivas até situações de alta complexidade. A falta de investimentos no SUS (em profissionais, vagas para atendimento, etc.) e a política neoliberal, conduzem parte da população, àquelas com maior renda a pagar por serviços privados.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No que se refere aos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benefícios nutricionais, quando estudam em estabelecimentos públicos, os alunos da educação infantil recebem uma refeição (almoço ou jantar) e um lanche para alimentar-se na escola. Já os alunos do ensino fundamental e médio recebem uma refeição ou lanche, conforme cardápio do dia. Quando matriculados em período integral recebem alimentação extra para o </w:t>
      </w:r>
      <w:proofErr w:type="spellStart"/>
      <w:r>
        <w:rPr>
          <w:sz w:val="24"/>
          <w:szCs w:val="24"/>
        </w:rPr>
        <w:t>contraturno</w:t>
      </w:r>
      <w:proofErr w:type="spellEnd"/>
      <w:r>
        <w:rPr>
          <w:sz w:val="24"/>
          <w:szCs w:val="24"/>
        </w:rPr>
        <w:t>. As universidades públicas oferecem as principais refeições (almoço e jantar) com baixo custo em restaurantes universitários.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2006, foi criado o Sistema Nacional de Segurança Alimentar e Nutricional, por meio da Lei 11.346. No entanto, do ponto de vista da prestação de serviços, estes ainda são bastante insuficientes. Para a população empobrecida, o Governo Federal </w:t>
      </w:r>
      <w:proofErr w:type="spellStart"/>
      <w:r>
        <w:rPr>
          <w:sz w:val="24"/>
          <w:szCs w:val="24"/>
        </w:rPr>
        <w:t>cofinancia</w:t>
      </w:r>
      <w:proofErr w:type="spellEnd"/>
      <w:r>
        <w:rPr>
          <w:sz w:val="24"/>
          <w:szCs w:val="24"/>
        </w:rPr>
        <w:t xml:space="preserve"> os chamados restaurantes "populares". Elas são direcionadas a municípios com mais de 100 mil habitantes e com alto índice de pobreza. Há também o Programa de Cozinhas Comunitárias e de Restaurantes Populares, que são direcionados para municípios que possuem um elevado número de pessoas em situação de pobreza.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Brasil, dos 5.570 municípios, 3.127 tiveram sua situação de insegurança alimentar e nutricional avaliada pelo Mapeamento da Insegurança Alimentar e Nutricional com foco na desnutrição com base na análise do Sistema Nacional de Vigilância Alimentar e Nutricional (2023). Dos 3.127 municípios avaliados, 8% apresentaram incidência muito alta de insegurança alimentar e nutricional, 43% alta </w:t>
      </w:r>
      <w:r>
        <w:rPr>
          <w:sz w:val="24"/>
          <w:szCs w:val="24"/>
        </w:rPr>
        <w:lastRenderedPageBreak/>
        <w:t>insegurança e 49% média insegurança alimentar.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Em 2022, de acordo com o Mapa da Segurança Alimentar (2022) 166 municípios contaram com cozinhas comunitárias, totalizando 227 cozinhas comunitárias. A pesquisa também identificou 197 municípios com restaurantes populares, totalizando 248 restaurantes populares.</w:t>
      </w:r>
    </w:p>
    <w:p w:rsidR="00A35E8A" w:rsidRDefault="00A35E8A">
      <w:pPr>
        <w:widowControl w:val="0"/>
        <w:spacing w:line="360" w:lineRule="auto"/>
        <w:ind w:hanging="2"/>
        <w:jc w:val="both"/>
        <w:rPr>
          <w:sz w:val="24"/>
          <w:szCs w:val="24"/>
        </w:rPr>
      </w:pPr>
    </w:p>
    <w:p w:rsidR="00A35E8A" w:rsidRDefault="003E6B3D">
      <w:pPr>
        <w:widowControl w:val="0"/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 CONSIDERAÇÕES FINAIS</w:t>
      </w:r>
    </w:p>
    <w:p w:rsidR="00A35E8A" w:rsidRDefault="00A35E8A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 dos dados do Brasil, coletados no contexto do projeto transnacional sobre regimes de bem-estar global, evidencia a complexidade, as potencialidades e as limitações do sistema de proteção social brasileiro em um cenário pós-pandêmico.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Observa-se que o Brasil apresenta um arranjo institucional relativamente robusto, com políticas consolidadas em áreas como saúde (SUS), assistência social (como o Programa Bolsa Família e o Benefício de Prestação Continuada), previdência e educação. O país conta com programas que, ainda que fragmentados, se articulam com a intenção de garantir o mínimo às famílias em situação de vulnerabilidade social.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 outro lado, os dados revelam lacunas significativas na cobertura, redistribuição e (</w:t>
      </w:r>
      <w:proofErr w:type="gramStart"/>
      <w:r>
        <w:rPr>
          <w:sz w:val="24"/>
          <w:szCs w:val="24"/>
        </w:rPr>
        <w:t>in)suficiência</w:t>
      </w:r>
      <w:proofErr w:type="gramEnd"/>
      <w:r>
        <w:rPr>
          <w:sz w:val="24"/>
          <w:szCs w:val="24"/>
        </w:rPr>
        <w:t xml:space="preserve"> dos benefícios. A renda média da população, embora superior ao salário mínimo, ainda apresenta disparidades de gênero e não é suficiente para suprir os altos custos de vida, especialmente considerando o déficit habitacional, a insegurança alimentar e os desafios no acesso à educação infantil em tempo integral. A segmentação das políticas habitacionais e de segurança alimentar, por exemplo, demonstra a insuficiência das respostas públicas diante da demanda real, agravada pela concentração de responsabilidades nos municípios.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destaca-se a centralidade do </w:t>
      </w:r>
      <w:proofErr w:type="spellStart"/>
      <w:r>
        <w:rPr>
          <w:sz w:val="24"/>
          <w:szCs w:val="24"/>
        </w:rPr>
        <w:t>familismo</w:t>
      </w:r>
      <w:proofErr w:type="spellEnd"/>
      <w:r>
        <w:rPr>
          <w:sz w:val="24"/>
          <w:szCs w:val="24"/>
        </w:rPr>
        <w:t xml:space="preserve"> como um mecanismo compensatório frente à fragilidade das políticas públicas, especialmente no cuidado infantil, o que impõe cargas desproporcionais às mulheres e contribui para a reprodução das desigualdades sociais e de gênero.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cobertura do seguro-desemprego e os valores limitados de benefícios como </w:t>
      </w:r>
      <w:r>
        <w:rPr>
          <w:sz w:val="24"/>
          <w:szCs w:val="24"/>
        </w:rPr>
        <w:lastRenderedPageBreak/>
        <w:t>o Salário-Família reforçam a necessidade de revisões estruturais e de maior investimento público para garantir o acesso equitativo e universal aos direitos sociais.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Portanto, ainda que o Brasil possua uma base normativa que se aproxima de um regime de bem-estar com características pluralistas, a realidade demonstra que a implementação das políticas sociais carece de maior abrangência, intersetorialidade, equidade de acesso e eficácia redistributiva.</w:t>
      </w:r>
    </w:p>
    <w:p w:rsidR="00A35E8A" w:rsidRDefault="003E6B3D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 que o país avance na construção de um regime de bem-estar mais universal, é necessário fortalecer os mecanismos de financiamento, ampliar a cobertura, e, sobretudo, reconhecer a centralidade da proteção social como eixo estruturante para o enfrentamento das desigualdades e a promoção da justiça social no contexto pós-pandêmico.</w:t>
      </w:r>
    </w:p>
    <w:p w:rsidR="00A35E8A" w:rsidRDefault="00A35E8A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</w:p>
    <w:p w:rsidR="00A35E8A" w:rsidRDefault="003E6B3D">
      <w:pPr>
        <w:spacing w:line="240" w:lineRule="auto"/>
        <w:ind w:left="2" w:hanging="2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A35E8A" w:rsidRDefault="00A35E8A">
      <w:pPr>
        <w:widowControl w:val="0"/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Fundação João Pinheiro. </w:t>
      </w:r>
      <w:r>
        <w:rPr>
          <w:b/>
          <w:sz w:val="24"/>
          <w:szCs w:val="24"/>
        </w:rPr>
        <w:t>Déficit habitacional no Brasil 2016-2019</w:t>
      </w:r>
      <w:r>
        <w:rPr>
          <w:sz w:val="24"/>
          <w:szCs w:val="24"/>
        </w:rPr>
        <w:t>. Belo Horizonte: FJP, 2021. Disponível em: &lt;https://www.gov.br/infraestrutura/pt-br/assuntos/habitacao&gt;. Acesso em: 2 jul.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BRASIL. Instituto Brasileiro de Geografia e Estatística – IBGE. Síntese de</w:t>
      </w:r>
      <w:r>
        <w:rPr>
          <w:b/>
          <w:sz w:val="24"/>
          <w:szCs w:val="24"/>
        </w:rPr>
        <w:t xml:space="preserve"> Indicadores Sociais</w:t>
      </w:r>
      <w:r>
        <w:rPr>
          <w:sz w:val="24"/>
          <w:szCs w:val="24"/>
        </w:rPr>
        <w:t>: uma análise das condições de vida da população brasileira 2021. Rio de Janeiro: IBGE, 2021.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Instituto Nacional de Estudos e Pesquisas Educacionais Anísio Teixeira – INEP. </w:t>
      </w:r>
      <w:r>
        <w:rPr>
          <w:b/>
          <w:sz w:val="24"/>
          <w:szCs w:val="24"/>
        </w:rPr>
        <w:t>Censo Escolar da Educação Básica 2021</w:t>
      </w:r>
      <w:r>
        <w:rPr>
          <w:sz w:val="24"/>
          <w:szCs w:val="24"/>
        </w:rPr>
        <w:t>. Brasília: INEP, 2023.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Ministério da Educação. </w:t>
      </w:r>
      <w:r>
        <w:rPr>
          <w:b/>
          <w:sz w:val="24"/>
          <w:szCs w:val="24"/>
        </w:rPr>
        <w:t>Resultados do Censo Escolar</w:t>
      </w:r>
      <w:r>
        <w:rPr>
          <w:sz w:val="24"/>
          <w:szCs w:val="24"/>
        </w:rPr>
        <w:t>. Brasília, 2022. Disponível em: &lt;https://www.gov.br/inep/pt-br/areas-de-atuacao/avaliacao-e-exames-educacionais/censo-escolar&gt;.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</w:pPr>
      <w:r>
        <w:rPr>
          <w:sz w:val="24"/>
          <w:szCs w:val="24"/>
        </w:rPr>
        <w:t xml:space="preserve">BRASIL. Ministério da Saúde. </w:t>
      </w:r>
      <w:r>
        <w:rPr>
          <w:b/>
          <w:sz w:val="24"/>
          <w:szCs w:val="24"/>
        </w:rPr>
        <w:t xml:space="preserve">Sistema Nacional de Segurança Alimentar e Nutricional: Mapeamento da Insegurança Alimentar e Nutricional com foco na desnutrição com base na análise do SISVAN. </w:t>
      </w:r>
      <w:r>
        <w:rPr>
          <w:sz w:val="24"/>
          <w:szCs w:val="24"/>
        </w:rPr>
        <w:t>Brasília, 2023. Disponível em: &lt;https://www.gov.br/mds/pt-br/caisan/monitoramento-da-san/MapaSAN_2022__Anlise_Descritiva_verso_final.pdf&gt;. Acesso em: 2 jul.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Ministério do Desenvolvimento e Assistência Social, Família e Combate à Fome. </w:t>
      </w:r>
      <w:r>
        <w:rPr>
          <w:b/>
          <w:sz w:val="24"/>
          <w:szCs w:val="24"/>
        </w:rPr>
        <w:t xml:space="preserve">Em maio, Bolsa Família chega a mais de 20,46 milhões de famílias no </w:t>
      </w:r>
      <w:r>
        <w:rPr>
          <w:b/>
          <w:sz w:val="24"/>
          <w:szCs w:val="24"/>
        </w:rPr>
        <w:lastRenderedPageBreak/>
        <w:t>Brasil</w:t>
      </w:r>
      <w:r>
        <w:rPr>
          <w:sz w:val="24"/>
          <w:szCs w:val="24"/>
        </w:rPr>
        <w:t>. Brasília, 2025. Disponível em: &lt;https://www.gov.br/mds/pt-br/noticias-e-conteudos/desenvolvimento-social/noticias-desenvolvimento-social/em-maio-bolsa-familia-chega-a-mais-de-20-46-milhoes-de-familias-no-brasil&gt;.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Ministério da Previdência Social. </w:t>
      </w:r>
      <w:r>
        <w:rPr>
          <w:b/>
          <w:sz w:val="24"/>
          <w:szCs w:val="24"/>
        </w:rPr>
        <w:t>Boletim Estatístico da Previdência Social</w:t>
      </w:r>
      <w:r>
        <w:rPr>
          <w:sz w:val="24"/>
          <w:szCs w:val="24"/>
        </w:rPr>
        <w:t>. Brasília, mar. 2023. Disponível em: &lt;https://www.gov.br/previdencia/pt-br/assuntos/previdencia-social/arquivos/beps032023_final.pdf&gt;.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BRASIL. Ministério do Trabalho e Emprego</w:t>
      </w:r>
      <w:r>
        <w:rPr>
          <w:b/>
          <w:sz w:val="24"/>
          <w:szCs w:val="24"/>
        </w:rPr>
        <w:t>. Portaria Interministerial nº 26, de 10 de janeiro de 2023. Dispõe sobre os valores do Salário-Família.</w:t>
      </w:r>
      <w:r>
        <w:rPr>
          <w:sz w:val="24"/>
          <w:szCs w:val="24"/>
        </w:rPr>
        <w:t xml:space="preserve"> Disponível em: &lt;https://www.in.gov.br/en/web/dou/-/portaria-interministerial-n-26-de-10-de-janeiro-de-2023-456789012&gt;. Acesso em: 2 jul.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Presidência da República. </w:t>
      </w:r>
      <w:r>
        <w:rPr>
          <w:b/>
          <w:sz w:val="24"/>
          <w:szCs w:val="24"/>
        </w:rPr>
        <w:t>Lei nº 8.080, de 19 de setembro de 1990</w:t>
      </w:r>
      <w:r>
        <w:rPr>
          <w:sz w:val="24"/>
          <w:szCs w:val="24"/>
        </w:rPr>
        <w:t>. Dispõe sobre as condições para a promoção, proteção e recuperação da saúde. Disponível em: &lt;https://www.planalto.gov.br/ccivil_03/leis/l8080.htm&gt;.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Presidência da República. </w:t>
      </w:r>
      <w:r>
        <w:rPr>
          <w:b/>
          <w:sz w:val="24"/>
          <w:szCs w:val="24"/>
        </w:rPr>
        <w:t>Lei nº 13.467, de 13 de julho de 2017</w:t>
      </w:r>
      <w:r>
        <w:rPr>
          <w:sz w:val="24"/>
          <w:szCs w:val="24"/>
        </w:rPr>
        <w:t>. Altera a Consolidação das Leis do Trabalho (CLT). Disponível em: &lt;https://www.jusbrasil.com.br/legislacao/114023483/lei-13467-17&gt;.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Presidência da República. </w:t>
      </w:r>
      <w:r>
        <w:rPr>
          <w:b/>
          <w:sz w:val="24"/>
          <w:szCs w:val="24"/>
        </w:rPr>
        <w:t>Lei nº 14.601, de 19 de junho de 2023. Institui o novo Programa Bolsa Família.</w:t>
      </w:r>
      <w:r>
        <w:rPr>
          <w:sz w:val="24"/>
          <w:szCs w:val="24"/>
        </w:rPr>
        <w:t xml:space="preserve"> Disponível em: &lt;https://www.planalto.gov.br/ccivil_03/_ato2023-2026/2023/lei/l14601.htm&gt;. Acesso em: 2 jul.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Presidência da República. </w:t>
      </w:r>
      <w:r>
        <w:rPr>
          <w:b/>
          <w:sz w:val="24"/>
          <w:szCs w:val="24"/>
        </w:rPr>
        <w:t>Medida Provisória nº 1.172, de 1º de maio de 2023</w:t>
      </w:r>
      <w:r>
        <w:rPr>
          <w:sz w:val="24"/>
          <w:szCs w:val="24"/>
        </w:rPr>
        <w:t>. Dispõe sobre o salário mínimo e a nova faixa do Imposto de Renda. Disponível em: &lt;https://www.planalto.gov.br/ccivil_03/_ato2023-2026/2023/mpv/mpv1172.htm&gt;.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JUSBRASIL. </w:t>
      </w:r>
      <w:r>
        <w:rPr>
          <w:b/>
          <w:sz w:val="24"/>
          <w:szCs w:val="24"/>
        </w:rPr>
        <w:t>A Reforma Trabalhista (Lei nº 13.467/2017).</w:t>
      </w:r>
      <w:r>
        <w:rPr>
          <w:sz w:val="24"/>
          <w:szCs w:val="24"/>
        </w:rPr>
        <w:t xml:space="preserve"> Disponível em: &lt;https://www.jusbrasil.com.br/topicos/38984406/lei-n-13467-de-13-de-julho-de-2017&gt;.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MELHOR ESCOLA. </w:t>
      </w:r>
      <w:r>
        <w:rPr>
          <w:b/>
          <w:sz w:val="24"/>
          <w:szCs w:val="24"/>
        </w:rPr>
        <w:t>Custo da educação infantil em São Paulo</w:t>
      </w:r>
      <w:r>
        <w:rPr>
          <w:sz w:val="24"/>
          <w:szCs w:val="24"/>
        </w:rPr>
        <w:t>. São Paulo, 2023. Disponível em: &lt;https://www.melhorescola.com.br&gt;.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RONZONI, Rúbia dos Santos; DAL </w:t>
      </w:r>
      <w:proofErr w:type="gramStart"/>
      <w:r>
        <w:rPr>
          <w:sz w:val="24"/>
          <w:szCs w:val="24"/>
        </w:rPr>
        <w:t>PRÁ</w:t>
      </w:r>
      <w:proofErr w:type="gramEnd"/>
      <w:r>
        <w:rPr>
          <w:sz w:val="24"/>
          <w:szCs w:val="24"/>
        </w:rPr>
        <w:t xml:space="preserve">, Keli Regina. </w:t>
      </w:r>
      <w:r>
        <w:rPr>
          <w:b/>
          <w:sz w:val="24"/>
          <w:szCs w:val="24"/>
        </w:rPr>
        <w:t>Regimes de Bem-Estar Global</w:t>
      </w:r>
      <w:r>
        <w:rPr>
          <w:sz w:val="24"/>
          <w:szCs w:val="24"/>
        </w:rPr>
        <w:t>: Investigando o Sistema de Proteção Social Brasileiro no Contexto Pós-Pandêmico. Florianópolis: Universidade Federal de Santa Catarina, 2023.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SALARIO.COM.BR. </w:t>
      </w:r>
      <w:r>
        <w:rPr>
          <w:b/>
          <w:sz w:val="24"/>
          <w:szCs w:val="24"/>
        </w:rPr>
        <w:t>Seguro-desemprego 2024</w:t>
      </w:r>
      <w:r>
        <w:rPr>
          <w:sz w:val="24"/>
          <w:szCs w:val="24"/>
        </w:rPr>
        <w:t>: calcule valor e parcelas online. São Paulo, 2023. Disponível em: &lt;https://www.salario.com.br/guia/seguro-desemprego/&gt;. Acesso em: 29 jun. 2025.</w:t>
      </w:r>
    </w:p>
    <w:p w:rsidR="00A35E8A" w:rsidRDefault="00A35E8A">
      <w:pPr>
        <w:spacing w:line="240" w:lineRule="auto"/>
        <w:ind w:firstLine="0"/>
        <w:rPr>
          <w:sz w:val="24"/>
          <w:szCs w:val="24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TAIWAN.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Taiwan 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Post-</w:t>
      </w:r>
      <w:proofErr w:type="spellStart"/>
      <w:r>
        <w:rPr>
          <w:b/>
          <w:sz w:val="24"/>
          <w:szCs w:val="24"/>
        </w:rPr>
        <w:t>Pandemic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Era’s</w:t>
      </w:r>
      <w:proofErr w:type="spellEnd"/>
      <w:r>
        <w:rPr>
          <w:b/>
          <w:sz w:val="24"/>
          <w:szCs w:val="24"/>
        </w:rPr>
        <w:t xml:space="preserve"> Social </w:t>
      </w:r>
      <w:proofErr w:type="spellStart"/>
      <w:r>
        <w:rPr>
          <w:b/>
          <w:sz w:val="24"/>
          <w:szCs w:val="24"/>
        </w:rPr>
        <w:t>Protection</w:t>
      </w:r>
      <w:proofErr w:type="spellEnd"/>
      <w:r>
        <w:rPr>
          <w:b/>
          <w:sz w:val="24"/>
          <w:szCs w:val="24"/>
        </w:rPr>
        <w:t xml:space="preserve"> Systems for </w:t>
      </w:r>
      <w:proofErr w:type="spellStart"/>
      <w:r>
        <w:rPr>
          <w:b/>
          <w:sz w:val="24"/>
          <w:szCs w:val="24"/>
        </w:rPr>
        <w:t>Poverty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Reduction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Investigating</w:t>
      </w:r>
      <w:proofErr w:type="spellEnd"/>
      <w:r>
        <w:rPr>
          <w:sz w:val="24"/>
          <w:szCs w:val="24"/>
        </w:rPr>
        <w:t xml:space="preserve"> Global, </w:t>
      </w:r>
      <w:proofErr w:type="spellStart"/>
      <w:r>
        <w:rPr>
          <w:sz w:val="24"/>
          <w:szCs w:val="24"/>
        </w:rPr>
        <w:t>East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Taiwanese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Welfare</w:t>
      </w:r>
      <w:proofErr w:type="spellEnd"/>
      <w:r>
        <w:rPr>
          <w:sz w:val="24"/>
          <w:szCs w:val="24"/>
        </w:rPr>
        <w:t xml:space="preserve"> Regimes. Taipei: NTU, 2022.</w:t>
      </w:r>
    </w:p>
    <w:p w:rsidR="00A35E8A" w:rsidRDefault="00A35E8A">
      <w:pPr>
        <w:widowControl w:val="0"/>
        <w:spacing w:line="240" w:lineRule="auto"/>
        <w:ind w:firstLine="0"/>
        <w:rPr>
          <w:color w:val="1155CC"/>
          <w:sz w:val="20"/>
          <w:szCs w:val="20"/>
          <w:u w:val="single"/>
        </w:rPr>
      </w:pPr>
    </w:p>
    <w:p w:rsidR="00A35E8A" w:rsidRDefault="003E6B3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WANG, Julia </w:t>
      </w:r>
      <w:proofErr w:type="spellStart"/>
      <w:r>
        <w:rPr>
          <w:sz w:val="24"/>
          <w:szCs w:val="24"/>
        </w:rPr>
        <w:t>Shu-Huah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Post-</w:t>
      </w:r>
      <w:proofErr w:type="spellStart"/>
      <w:r>
        <w:rPr>
          <w:b/>
          <w:sz w:val="24"/>
          <w:szCs w:val="24"/>
        </w:rPr>
        <w:t>Pandemic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Era’s</w:t>
      </w:r>
      <w:proofErr w:type="spellEnd"/>
      <w:r>
        <w:rPr>
          <w:b/>
          <w:sz w:val="24"/>
          <w:szCs w:val="24"/>
        </w:rPr>
        <w:t xml:space="preserve"> Social </w:t>
      </w:r>
      <w:proofErr w:type="spellStart"/>
      <w:r>
        <w:rPr>
          <w:b/>
          <w:sz w:val="24"/>
          <w:szCs w:val="24"/>
        </w:rPr>
        <w:t>Protection</w:t>
      </w:r>
      <w:proofErr w:type="spellEnd"/>
      <w:r>
        <w:rPr>
          <w:b/>
          <w:sz w:val="24"/>
          <w:szCs w:val="24"/>
        </w:rPr>
        <w:t xml:space="preserve"> Systems for </w:t>
      </w:r>
      <w:proofErr w:type="spellStart"/>
      <w:r>
        <w:rPr>
          <w:b/>
          <w:sz w:val="24"/>
          <w:szCs w:val="24"/>
        </w:rPr>
        <w:t>Poverty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Reduction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Investigating</w:t>
      </w:r>
      <w:proofErr w:type="spellEnd"/>
      <w:r>
        <w:rPr>
          <w:b/>
          <w:sz w:val="24"/>
          <w:szCs w:val="24"/>
        </w:rPr>
        <w:t xml:space="preserve"> Global, </w:t>
      </w:r>
      <w:proofErr w:type="spellStart"/>
      <w:r>
        <w:rPr>
          <w:b/>
          <w:sz w:val="24"/>
          <w:szCs w:val="24"/>
        </w:rPr>
        <w:t>East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Asia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and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Taiwanese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Welfare</w:t>
      </w:r>
      <w:proofErr w:type="spellEnd"/>
      <w:r>
        <w:rPr>
          <w:b/>
          <w:sz w:val="24"/>
          <w:szCs w:val="24"/>
        </w:rPr>
        <w:t xml:space="preserve"> Regimes</w:t>
      </w:r>
      <w:r>
        <w:rPr>
          <w:sz w:val="24"/>
          <w:szCs w:val="24"/>
        </w:rPr>
        <w:t xml:space="preserve">. Taipei: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Taiwan 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>, 2022.</w:t>
      </w:r>
    </w:p>
    <w:p w:rsidR="00A35E8A" w:rsidRDefault="00A35E8A">
      <w:pPr>
        <w:widowControl w:val="0"/>
        <w:spacing w:line="240" w:lineRule="auto"/>
        <w:ind w:firstLine="0"/>
        <w:rPr>
          <w:color w:val="1155CC"/>
          <w:sz w:val="20"/>
          <w:szCs w:val="20"/>
          <w:u w:val="single"/>
        </w:rPr>
      </w:pPr>
    </w:p>
    <w:p w:rsidR="00A35E8A" w:rsidRDefault="00A35E8A">
      <w:pPr>
        <w:widowControl w:val="0"/>
        <w:spacing w:line="240" w:lineRule="auto"/>
        <w:ind w:firstLine="0"/>
        <w:rPr>
          <w:sz w:val="24"/>
          <w:szCs w:val="24"/>
        </w:rPr>
      </w:pPr>
    </w:p>
    <w:sectPr w:rsidR="00A35E8A">
      <w:headerReference w:type="default" r:id="rId8"/>
      <w:pgSz w:w="11909" w:h="16834"/>
      <w:pgMar w:top="1701" w:right="1134" w:bottom="1134" w:left="1701" w:header="340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579" w:rsidRDefault="006E5579">
      <w:pPr>
        <w:spacing w:line="240" w:lineRule="auto"/>
      </w:pPr>
      <w:r>
        <w:separator/>
      </w:r>
    </w:p>
  </w:endnote>
  <w:endnote w:type="continuationSeparator" w:id="0">
    <w:p w:rsidR="006E5579" w:rsidRDefault="006E55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579" w:rsidRDefault="006E5579">
      <w:pPr>
        <w:spacing w:line="240" w:lineRule="auto"/>
      </w:pPr>
      <w:r>
        <w:separator/>
      </w:r>
    </w:p>
  </w:footnote>
  <w:footnote w:type="continuationSeparator" w:id="0">
    <w:p w:rsidR="006E5579" w:rsidRDefault="006E5579">
      <w:pPr>
        <w:spacing w:line="240" w:lineRule="auto"/>
      </w:pPr>
      <w:r>
        <w:continuationSeparator/>
      </w:r>
    </w:p>
  </w:footnote>
  <w:footnote w:id="1">
    <w:p w:rsidR="00A35E8A" w:rsidRDefault="003E6B3D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Assistente Social, </w:t>
      </w:r>
      <w:proofErr w:type="spellStart"/>
      <w:r>
        <w:rPr>
          <w:sz w:val="20"/>
          <w:szCs w:val="20"/>
        </w:rPr>
        <w:t>National</w:t>
      </w:r>
      <w:proofErr w:type="spellEnd"/>
      <w:r>
        <w:rPr>
          <w:sz w:val="20"/>
          <w:szCs w:val="20"/>
        </w:rPr>
        <w:t xml:space="preserve"> Taiwan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, </w:t>
      </w:r>
      <w:hyperlink r:id="rId1">
        <w:r>
          <w:rPr>
            <w:color w:val="1155CC"/>
            <w:sz w:val="20"/>
            <w:szCs w:val="20"/>
            <w:u w:val="single"/>
          </w:rPr>
          <w:t>julia.sh.wang@gmail.com</w:t>
        </w:r>
      </w:hyperlink>
      <w:r>
        <w:rPr>
          <w:sz w:val="20"/>
          <w:szCs w:val="20"/>
        </w:rPr>
        <w:t xml:space="preserve"> </w:t>
      </w:r>
    </w:p>
  </w:footnote>
  <w:footnote w:id="2">
    <w:p w:rsidR="00A35E8A" w:rsidRDefault="003E6B3D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Assistente Social, Universidade Federal de Santa Catarina, </w:t>
      </w:r>
      <w:hyperlink r:id="rId2">
        <w:r>
          <w:rPr>
            <w:color w:val="1155CC"/>
            <w:sz w:val="20"/>
            <w:szCs w:val="20"/>
            <w:u w:val="single"/>
          </w:rPr>
          <w:t>rubia.santos@ufsc.br</w:t>
        </w:r>
      </w:hyperlink>
      <w:r>
        <w:rPr>
          <w:sz w:val="20"/>
          <w:szCs w:val="20"/>
        </w:rPr>
        <w:t xml:space="preserve"> </w:t>
      </w:r>
    </w:p>
  </w:footnote>
  <w:footnote w:id="3">
    <w:p w:rsidR="00A35E8A" w:rsidRDefault="003E6B3D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Assistente Social, Universidade Federal de Santa Catarina, </w:t>
      </w:r>
      <w:hyperlink r:id="rId3">
        <w:r>
          <w:rPr>
            <w:color w:val="1155CC"/>
            <w:sz w:val="20"/>
            <w:szCs w:val="20"/>
            <w:u w:val="single"/>
          </w:rPr>
          <w:t>keli.regina@ufsc.br</w:t>
        </w:r>
      </w:hyperlink>
      <w:r>
        <w:rPr>
          <w:sz w:val="20"/>
          <w:szCs w:val="20"/>
        </w:rPr>
        <w:t xml:space="preserve"> </w:t>
      </w:r>
    </w:p>
  </w:footnote>
  <w:footnote w:id="4">
    <w:p w:rsidR="00A35E8A" w:rsidRDefault="003E6B3D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Graduanda em Serviço Social, Universidade Federal de Santa Catarina, </w:t>
      </w:r>
      <w:hyperlink r:id="rId4">
        <w:r>
          <w:rPr>
            <w:color w:val="1155CC"/>
            <w:sz w:val="20"/>
            <w:szCs w:val="20"/>
            <w:u w:val="single"/>
          </w:rPr>
          <w:t>lara.zatarian@grad.ufsc.br</w:t>
        </w:r>
      </w:hyperlink>
    </w:p>
  </w:footnote>
  <w:footnote w:id="5">
    <w:p w:rsidR="00A35E8A" w:rsidRDefault="003E6B3D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Graduanda em Serviço Social, Universidade Federal de Santa Catarina, </w:t>
      </w:r>
      <w:hyperlink r:id="rId5">
        <w:r>
          <w:rPr>
            <w:color w:val="1155CC"/>
            <w:sz w:val="20"/>
            <w:szCs w:val="20"/>
            <w:u w:val="single"/>
          </w:rPr>
          <w:t>deboravalim17@gmail.com</w:t>
        </w:r>
      </w:hyperlink>
      <w:r>
        <w:rPr>
          <w:sz w:val="20"/>
          <w:szCs w:val="20"/>
        </w:rPr>
        <w:t xml:space="preserve"> </w:t>
      </w:r>
    </w:p>
    <w:p w:rsidR="00A35E8A" w:rsidRDefault="00A35E8A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E8A" w:rsidRDefault="003E6B3D">
    <w:pPr>
      <w:ind w:hanging="2"/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5081C"/>
    <w:multiLevelType w:val="multilevel"/>
    <w:tmpl w:val="7CB0E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E8A"/>
    <w:rsid w:val="003E6B3D"/>
    <w:rsid w:val="006E5579"/>
    <w:rsid w:val="007F6758"/>
    <w:rsid w:val="00A35E8A"/>
    <w:rsid w:val="00CC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88550"/>
  <w15:docId w15:val="{A5D22548-453D-4079-B85D-5DC80672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9F6F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6F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6F74"/>
    <w:rPr>
      <w:position w:val="-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6F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6F74"/>
    <w:rPr>
      <w:b/>
      <w:bCs/>
      <w:position w:val="-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6F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6F74"/>
    <w:rPr>
      <w:rFonts w:ascii="Segoe UI" w:hAnsi="Segoe UI" w:cs="Segoe UI"/>
      <w:position w:val="-1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F26D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03CE5"/>
    <w:rPr>
      <w:color w:val="0000FF" w:themeColor="hyperlink"/>
      <w:u w:val="single"/>
    </w:r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keli.regina@ufsc.br" TargetMode="External"/><Relationship Id="rId2" Type="http://schemas.openxmlformats.org/officeDocument/2006/relationships/hyperlink" Target="mailto:rubia.santos@ufsc.br" TargetMode="External"/><Relationship Id="rId1" Type="http://schemas.openxmlformats.org/officeDocument/2006/relationships/hyperlink" Target="mailto:julia.sh.wang@gmail.com" TargetMode="External"/><Relationship Id="rId5" Type="http://schemas.openxmlformats.org/officeDocument/2006/relationships/hyperlink" Target="mailto:deboravalim17@gmail.com" TargetMode="External"/><Relationship Id="rId4" Type="http://schemas.openxmlformats.org/officeDocument/2006/relationships/hyperlink" Target="mailto:lara.zatarian@grad.uf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uKFK0VoemrLTM+Gs9L7EGpAGQw==">CgMxLjAyDWguOXB3NHlkYWZ5dnYyDmgueWhvZmo4M3o1em4zMg5oLnRyanZ1MHh3aHZ1ejIOaC56MDl2MWlxa3IxbzgyDmgudWt5b3hwZmNpNGN3Mg5oLmhqMHRvaHN2cHFsMTIOaC5qbHF3bm83ZGg0bm0yDmguaDl4amx4d2Z6NGQyOAByITFUaG5kR0lTNVdqUXBEazNMT2RiX3R1eXFYQTJfUm1hSg==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4003</Words>
  <Characters>21618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Lenovo</cp:lastModifiedBy>
  <cp:revision>3</cp:revision>
  <dcterms:created xsi:type="dcterms:W3CDTF">2025-07-04T00:32:00Z</dcterms:created>
  <dcterms:modified xsi:type="dcterms:W3CDTF">2025-07-04T00:39:00Z</dcterms:modified>
</cp:coreProperties>
</file>