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TRABALHO INFANTIL NO BRASIL: nuances de um passado recente </w:t>
      </w:r>
    </w:p>
    <w:p w:rsidR="00000000" w:rsidDel="00000000" w:rsidP="00000000" w:rsidRDefault="00000000" w:rsidRPr="00000000" w14:paraId="00000002">
      <w:pPr>
        <w:jc w:val="center"/>
        <w:rPr>
          <w:b w:val="1"/>
          <w:sz w:val="24"/>
          <w:szCs w:val="24"/>
        </w:rPr>
      </w:pPr>
      <w:r w:rsidDel="00000000" w:rsidR="00000000" w:rsidRPr="00000000">
        <w:rPr>
          <w:rtl w:val="0"/>
        </w:rPr>
      </w:r>
    </w:p>
    <w:p w:rsidR="00000000" w:rsidDel="00000000" w:rsidP="00000000" w:rsidRDefault="00000000" w:rsidRPr="00000000" w14:paraId="00000003">
      <w:pPr>
        <w:jc w:val="right"/>
        <w:rPr>
          <w:sz w:val="24"/>
          <w:szCs w:val="24"/>
        </w:rPr>
      </w:pPr>
      <w:r w:rsidDel="00000000" w:rsidR="00000000" w:rsidRPr="00000000">
        <w:rPr>
          <w:sz w:val="24"/>
          <w:szCs w:val="24"/>
          <w:rtl w:val="0"/>
        </w:rPr>
        <w:t xml:space="preserve">Manuela Barros do Nascimento Rocha</w:t>
      </w:r>
      <w:r w:rsidDel="00000000" w:rsidR="00000000" w:rsidRPr="00000000">
        <w:rPr>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4">
      <w:pPr>
        <w:jc w:val="right"/>
        <w:rPr>
          <w:sz w:val="24"/>
          <w:szCs w:val="24"/>
        </w:rPr>
      </w:pPr>
      <w:r w:rsidDel="00000000" w:rsidR="00000000" w:rsidRPr="00000000">
        <w:rPr>
          <w:sz w:val="24"/>
          <w:szCs w:val="24"/>
          <w:rtl w:val="0"/>
        </w:rPr>
        <w:t xml:space="preserve">Andrea Pacheco de Mesquita</w:t>
      </w:r>
      <w:r w:rsidDel="00000000" w:rsidR="00000000" w:rsidRPr="00000000">
        <w:rPr>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05">
      <w:pPr>
        <w:jc w:val="right"/>
        <w:rPr>
          <w:sz w:val="24"/>
          <w:szCs w:val="24"/>
        </w:rPr>
      </w:pPr>
      <w:r w:rsidDel="00000000" w:rsidR="00000000" w:rsidRPr="00000000">
        <w:rPr>
          <w:sz w:val="24"/>
          <w:szCs w:val="24"/>
          <w:rtl w:val="0"/>
        </w:rPr>
        <w:t xml:space="preserve">Andressa Clívia Santos Soares</w:t>
      </w:r>
      <w:r w:rsidDel="00000000" w:rsidR="00000000" w:rsidRPr="00000000">
        <w:rPr>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006">
      <w:pPr>
        <w:jc w:val="right"/>
        <w:rPr>
          <w:sz w:val="24"/>
          <w:szCs w:val="24"/>
        </w:rPr>
      </w:pPr>
      <w:r w:rsidDel="00000000" w:rsidR="00000000" w:rsidRPr="00000000">
        <w:rPr>
          <w:sz w:val="24"/>
          <w:szCs w:val="24"/>
          <w:rtl w:val="0"/>
        </w:rPr>
        <w:t xml:space="preserve">Gildete Ferreira da Silva</w:t>
      </w:r>
      <w:r w:rsidDel="00000000" w:rsidR="00000000" w:rsidRPr="00000000">
        <w:rPr>
          <w:sz w:val="24"/>
          <w:szCs w:val="24"/>
          <w:vertAlign w:val="superscript"/>
        </w:rPr>
        <w:footnoteReference w:customMarkFollows="0" w:id="3"/>
      </w:r>
      <w:r w:rsidDel="00000000" w:rsidR="00000000" w:rsidRPr="00000000">
        <w:rPr>
          <w:rtl w:val="0"/>
        </w:rPr>
      </w:r>
    </w:p>
    <w:p w:rsidR="00000000" w:rsidDel="00000000" w:rsidP="00000000" w:rsidRDefault="00000000" w:rsidRPr="00000000" w14:paraId="00000007">
      <w:pPr>
        <w:jc w:val="right"/>
        <w:rPr>
          <w:sz w:val="24"/>
          <w:szCs w:val="24"/>
        </w:rPr>
      </w:pPr>
      <w:r w:rsidDel="00000000" w:rsidR="00000000" w:rsidRPr="00000000">
        <w:rPr>
          <w:sz w:val="24"/>
          <w:szCs w:val="24"/>
          <w:rtl w:val="0"/>
        </w:rPr>
        <w:t xml:space="preserve">Patrícia Silva Magalhães</w:t>
      </w:r>
      <w:r w:rsidDel="00000000" w:rsidR="00000000" w:rsidRPr="00000000">
        <w:rPr>
          <w:sz w:val="24"/>
          <w:szCs w:val="24"/>
          <w:vertAlign w:val="superscript"/>
        </w:rPr>
        <w:footnoteReference w:customMarkFollows="0" w:id="4"/>
      </w:r>
      <w:r w:rsidDel="00000000" w:rsidR="00000000" w:rsidRPr="00000000">
        <w:rPr>
          <w:rtl w:val="0"/>
        </w:rPr>
      </w:r>
    </w:p>
    <w:p w:rsidR="00000000" w:rsidDel="00000000" w:rsidP="00000000" w:rsidRDefault="00000000" w:rsidRPr="00000000" w14:paraId="00000008">
      <w:pPr>
        <w:spacing w:after="240" w:before="240" w:lineRule="auto"/>
        <w:ind w:left="2840" w:firstLine="0"/>
        <w:jc w:val="both"/>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09">
      <w:pPr>
        <w:keepLines w:val="1"/>
        <w:spacing w:after="0" w:before="0" w:line="240" w:lineRule="auto"/>
        <w:ind w:left="2840" w:firstLine="0"/>
        <w:jc w:val="both"/>
        <w:rPr>
          <w:b w:val="1"/>
          <w:sz w:val="20"/>
          <w:szCs w:val="20"/>
        </w:rPr>
      </w:pPr>
      <w:r w:rsidDel="00000000" w:rsidR="00000000" w:rsidRPr="00000000">
        <w:rPr>
          <w:b w:val="1"/>
          <w:sz w:val="20"/>
          <w:szCs w:val="20"/>
          <w:rtl w:val="0"/>
        </w:rPr>
        <w:t xml:space="preserve">Resumo</w:t>
      </w:r>
    </w:p>
    <w:p w:rsidR="00000000" w:rsidDel="00000000" w:rsidP="00000000" w:rsidRDefault="00000000" w:rsidRPr="00000000" w14:paraId="0000000A">
      <w:pPr>
        <w:spacing w:after="0" w:before="0" w:line="240" w:lineRule="auto"/>
        <w:ind w:left="2840" w:firstLine="0"/>
        <w:jc w:val="both"/>
        <w:rPr>
          <w:b w:val="1"/>
          <w:sz w:val="20"/>
          <w:szCs w:val="20"/>
        </w:rPr>
      </w:pPr>
      <w:r w:rsidDel="00000000" w:rsidR="00000000" w:rsidRPr="00000000">
        <w:rPr>
          <w:sz w:val="20"/>
          <w:szCs w:val="20"/>
          <w:rtl w:val="0"/>
        </w:rPr>
        <w:t xml:space="preserve">Este artigo analisa as </w:t>
      </w:r>
      <w:r w:rsidDel="00000000" w:rsidR="00000000" w:rsidRPr="00000000">
        <w:rPr>
          <w:sz w:val="20"/>
          <w:szCs w:val="20"/>
          <w:rtl w:val="0"/>
        </w:rPr>
        <w:t xml:space="preserve">interseções entre raça, gênero e trabalho infantil no Brasil</w:t>
      </w:r>
      <w:r w:rsidDel="00000000" w:rsidR="00000000" w:rsidRPr="00000000">
        <w:rPr>
          <w:sz w:val="20"/>
          <w:szCs w:val="20"/>
          <w:rtl w:val="0"/>
        </w:rPr>
        <w:t xml:space="preserve">, desde o período colonial até os dias atuais. A partir de uma abordagem histórico-crítica, discute-se como as estruturas escravistas e capitalistas moldaram a exploração da mão de obra infantil,</w:t>
      </w:r>
      <w:r w:rsidDel="00000000" w:rsidR="00000000" w:rsidRPr="00000000">
        <w:rPr>
          <w:sz w:val="20"/>
          <w:szCs w:val="20"/>
          <w:rtl w:val="0"/>
        </w:rPr>
        <w:t xml:space="preserve"> com ênfase nas desigualdades de gênero e raça.</w:t>
      </w:r>
      <w:r w:rsidDel="00000000" w:rsidR="00000000" w:rsidRPr="00000000">
        <w:rPr>
          <w:sz w:val="20"/>
          <w:szCs w:val="20"/>
          <w:rtl w:val="0"/>
        </w:rPr>
        <w:t xml:space="preserve"> O estudo demonstra que meninas negras foram historicamente submetidas ao trabalho doméstico e à hipersexualização, enquanto meninos negros foram direcionados para atividades agrícolas e urbanas precarizadas. A análise percorre desde a escravidão até as políticas públicas contemporâneas, evidenciando a persistência do racismo estrutural e da violação de direitos fundamentais da infância.</w:t>
      </w:r>
      <w:r w:rsidDel="00000000" w:rsidR="00000000" w:rsidRPr="00000000">
        <w:rPr>
          <w:rtl w:val="0"/>
        </w:rPr>
      </w:r>
    </w:p>
    <w:p w:rsidR="00000000" w:rsidDel="00000000" w:rsidP="00000000" w:rsidRDefault="00000000" w:rsidRPr="00000000" w14:paraId="0000000B">
      <w:pPr>
        <w:spacing w:after="0" w:before="0" w:line="240" w:lineRule="auto"/>
        <w:ind w:left="2840" w:firstLine="0"/>
        <w:jc w:val="both"/>
        <w:rPr>
          <w:sz w:val="20"/>
          <w:szCs w:val="20"/>
        </w:rPr>
      </w:pPr>
      <w:r w:rsidDel="00000000" w:rsidR="00000000" w:rsidRPr="00000000">
        <w:rPr>
          <w:b w:val="1"/>
          <w:sz w:val="20"/>
          <w:szCs w:val="20"/>
          <w:rtl w:val="0"/>
        </w:rPr>
        <w:t xml:space="preserve">Palavras-chave</w:t>
      </w:r>
      <w:r w:rsidDel="00000000" w:rsidR="00000000" w:rsidRPr="00000000">
        <w:rPr>
          <w:sz w:val="20"/>
          <w:szCs w:val="20"/>
          <w:rtl w:val="0"/>
        </w:rPr>
        <w:t xml:space="preserve">: Gênero; Infância; Trabalho infantil; Racismo.</w:t>
      </w:r>
    </w:p>
    <w:p w:rsidR="00000000" w:rsidDel="00000000" w:rsidP="00000000" w:rsidRDefault="00000000" w:rsidRPr="00000000" w14:paraId="0000000C">
      <w:pPr>
        <w:spacing w:after="0" w:before="0" w:line="240" w:lineRule="auto"/>
        <w:ind w:left="2840" w:firstLine="0"/>
        <w:jc w:val="both"/>
        <w:rPr>
          <w:sz w:val="20"/>
          <w:szCs w:val="20"/>
        </w:rPr>
      </w:pPr>
      <w:r w:rsidDel="00000000" w:rsidR="00000000" w:rsidRPr="00000000">
        <w:rPr>
          <w:rtl w:val="0"/>
        </w:rPr>
      </w:r>
    </w:p>
    <w:p w:rsidR="00000000" w:rsidDel="00000000" w:rsidP="00000000" w:rsidRDefault="00000000" w:rsidRPr="00000000" w14:paraId="0000000D">
      <w:pPr>
        <w:spacing w:after="0" w:before="0" w:lineRule="auto"/>
        <w:ind w:left="2840" w:firstLine="0"/>
        <w:jc w:val="both"/>
        <w:rPr>
          <w:b w:val="1"/>
          <w:sz w:val="20"/>
          <w:szCs w:val="20"/>
        </w:rPr>
      </w:pPr>
      <w:r w:rsidDel="00000000" w:rsidR="00000000" w:rsidRPr="00000000">
        <w:rPr>
          <w:b w:val="1"/>
          <w:sz w:val="20"/>
          <w:szCs w:val="20"/>
          <w:rtl w:val="0"/>
        </w:rPr>
        <w:t xml:space="preserve">Abstract</w:t>
      </w:r>
    </w:p>
    <w:p w:rsidR="00000000" w:rsidDel="00000000" w:rsidP="00000000" w:rsidRDefault="00000000" w:rsidRPr="00000000" w14:paraId="0000000E">
      <w:pPr>
        <w:spacing w:line="240" w:lineRule="auto"/>
        <w:ind w:left="2840" w:firstLine="0"/>
        <w:jc w:val="both"/>
        <w:rPr>
          <w:b w:val="1"/>
          <w:sz w:val="20"/>
          <w:szCs w:val="20"/>
        </w:rPr>
      </w:pPr>
      <w:r w:rsidDel="00000000" w:rsidR="00000000" w:rsidRPr="00000000">
        <w:rPr>
          <w:sz w:val="20"/>
          <w:szCs w:val="20"/>
          <w:rtl w:val="0"/>
        </w:rPr>
        <w:t xml:space="preserve">This article examines the intersections of race, gender, and child labor in Brazil, from the colonial period to the present day. Using a historical-critical approach, it discusses how slavery and capitalist structures shaped the exploitation of child labor, with emphasis on gender and racial inequalities. The study demonstrates that Black girls were historically subjected to domestic work and hypersexualization, while Black boys were pushed into precarious agricultural and urban labor. The analysis spans from slavery to contemporary public policies, revealing the persistence of structural racism and the violation of children's fundamental rights.</w:t>
      </w:r>
      <w:r w:rsidDel="00000000" w:rsidR="00000000" w:rsidRPr="00000000">
        <w:rPr>
          <w:rtl w:val="0"/>
        </w:rPr>
      </w:r>
    </w:p>
    <w:p w:rsidR="00000000" w:rsidDel="00000000" w:rsidP="00000000" w:rsidRDefault="00000000" w:rsidRPr="00000000" w14:paraId="0000000F">
      <w:pPr>
        <w:spacing w:line="240" w:lineRule="auto"/>
        <w:ind w:left="2840" w:firstLine="0"/>
        <w:jc w:val="both"/>
        <w:rPr>
          <w:sz w:val="20"/>
          <w:szCs w:val="20"/>
        </w:rPr>
      </w:pPr>
      <w:r w:rsidDel="00000000" w:rsidR="00000000" w:rsidRPr="00000000">
        <w:rPr>
          <w:b w:val="1"/>
          <w:sz w:val="20"/>
          <w:szCs w:val="20"/>
          <w:rtl w:val="0"/>
        </w:rPr>
        <w:t xml:space="preserve">Keywords:</w:t>
      </w:r>
      <w:r w:rsidDel="00000000" w:rsidR="00000000" w:rsidRPr="00000000">
        <w:rPr>
          <w:sz w:val="24"/>
          <w:szCs w:val="24"/>
          <w:rtl w:val="0"/>
        </w:rPr>
        <w:t xml:space="preserve"> </w:t>
      </w:r>
      <w:r w:rsidDel="00000000" w:rsidR="00000000" w:rsidRPr="00000000">
        <w:rPr>
          <w:sz w:val="20"/>
          <w:szCs w:val="20"/>
          <w:rtl w:val="0"/>
        </w:rPr>
        <w:t xml:space="preserve">Gender; Childhood; Child labor; Racism.</w:t>
      </w:r>
      <w:r w:rsidDel="00000000" w:rsidR="00000000" w:rsidRPr="00000000">
        <w:rPr>
          <w:rtl w:val="0"/>
        </w:rPr>
      </w:r>
    </w:p>
    <w:p w:rsidR="00000000" w:rsidDel="00000000" w:rsidP="00000000" w:rsidRDefault="00000000" w:rsidRPr="00000000" w14:paraId="00000010">
      <w:pPr>
        <w:spacing w:after="240" w:before="240" w:lineRule="auto"/>
        <w:ind w:left="2840" w:firstLine="0"/>
        <w:jc w:val="both"/>
        <w:rPr>
          <w:sz w:val="24"/>
          <w:szCs w:val="24"/>
        </w:rPr>
      </w:pPr>
      <w:r w:rsidDel="00000000" w:rsidR="00000000" w:rsidRPr="00000000">
        <w:rPr>
          <w:rtl w:val="0"/>
        </w:rPr>
      </w:r>
    </w:p>
    <w:p w:rsidR="00000000" w:rsidDel="00000000" w:rsidP="00000000" w:rsidRDefault="00000000" w:rsidRPr="00000000" w14:paraId="00000011">
      <w:pPr>
        <w:pStyle w:val="Heading2"/>
        <w:numPr>
          <w:ilvl w:val="0"/>
          <w:numId w:val="1"/>
        </w:numPr>
        <w:spacing w:after="240" w:before="240" w:line="360" w:lineRule="auto"/>
        <w:ind w:left="720" w:hanging="360"/>
        <w:rPr>
          <w:b w:val="1"/>
          <w:sz w:val="24"/>
          <w:szCs w:val="24"/>
          <w:u w:val="none"/>
        </w:rPr>
      </w:pPr>
      <w:bookmarkStart w:colFirst="0" w:colLast="0" w:name="_p9taw1p4509f" w:id="0"/>
      <w:bookmarkEnd w:id="0"/>
      <w:r w:rsidDel="00000000" w:rsidR="00000000" w:rsidRPr="00000000">
        <w:rPr>
          <w:b w:val="1"/>
          <w:sz w:val="24"/>
          <w:szCs w:val="24"/>
          <w:rtl w:val="0"/>
        </w:rPr>
        <w:t xml:space="preserve">INTRODUÇÃO</w:t>
      </w:r>
      <w:r w:rsidDel="00000000" w:rsidR="00000000" w:rsidRPr="00000000">
        <w:rPr>
          <w:rtl w:val="0"/>
        </w:rPr>
      </w:r>
    </w:p>
    <w:p w:rsidR="00000000" w:rsidDel="00000000" w:rsidP="00000000" w:rsidRDefault="00000000" w:rsidRPr="00000000" w14:paraId="00000012">
      <w:pPr>
        <w:spacing w:after="0" w:before="0" w:line="360" w:lineRule="auto"/>
        <w:ind w:firstLine="850.3937007874017"/>
        <w:jc w:val="both"/>
        <w:rPr>
          <w:sz w:val="24"/>
          <w:szCs w:val="24"/>
        </w:rPr>
      </w:pPr>
      <w:r w:rsidDel="00000000" w:rsidR="00000000" w:rsidRPr="00000000">
        <w:rPr>
          <w:sz w:val="24"/>
          <w:szCs w:val="24"/>
          <w:rtl w:val="0"/>
        </w:rPr>
        <w:t xml:space="preserve">O trabalho infantil no Brasil possui raízes profundas no período colonial, consolidando-se como um mecanismo de exploração que atravessou séculos, adaptando-se às mudanças econômicas e sociais. Como destaca Rizzini (2007), ao longo da história do Brasil, as crianças pobres sempre foram submetidas ao trabalho, seja nas mãos dos donos de crianças escravizadas durante o período colonial e imperial, seja sob o controle dos capitalistas no início da industrialização, ou ainda nas propriedades rurais, nas unidades domésticas de produção artesanal ou agrícola, nas residências de famílias e até mesmo nas ruas. </w:t>
      </w:r>
    </w:p>
    <w:p w:rsidR="00000000" w:rsidDel="00000000" w:rsidP="00000000" w:rsidRDefault="00000000" w:rsidRPr="00000000" w14:paraId="00000013">
      <w:pPr>
        <w:spacing w:after="0" w:before="0" w:line="360" w:lineRule="auto"/>
        <w:ind w:firstLine="850.3937007874017"/>
        <w:jc w:val="both"/>
        <w:rPr>
          <w:sz w:val="24"/>
          <w:szCs w:val="24"/>
        </w:rPr>
      </w:pPr>
      <w:r w:rsidDel="00000000" w:rsidR="00000000" w:rsidRPr="00000000">
        <w:rPr>
          <w:sz w:val="24"/>
          <w:szCs w:val="24"/>
          <w:rtl w:val="0"/>
        </w:rPr>
        <w:t xml:space="preserve">Desde a escravidão, meninas negras eram designadas para serviços domésticos, cuidado das crianças brancas, cozinhar, passar e e limpar a casa. Após a abolição, o trabalho doméstico infantil continuou sendo justificado como "formação moral" para crian</w:t>
      </w:r>
      <w:r w:rsidDel="00000000" w:rsidR="00000000" w:rsidRPr="00000000">
        <w:rPr>
          <w:sz w:val="24"/>
          <w:szCs w:val="24"/>
          <w:rtl w:val="0"/>
        </w:rPr>
        <w:t xml:space="preserve">ças </w:t>
      </w:r>
      <w:r w:rsidDel="00000000" w:rsidR="00000000" w:rsidRPr="00000000">
        <w:rPr>
          <w:sz w:val="24"/>
          <w:szCs w:val="24"/>
          <w:rtl w:val="0"/>
        </w:rPr>
        <w:t xml:space="preserve"> negras. Essa dinâmica não apenas as </w:t>
      </w:r>
      <w:r w:rsidDel="00000000" w:rsidR="00000000" w:rsidRPr="00000000">
        <w:rPr>
          <w:sz w:val="24"/>
          <w:szCs w:val="24"/>
          <w:rtl w:val="0"/>
        </w:rPr>
        <w:t xml:space="preserve">privava</w:t>
      </w:r>
      <w:r w:rsidDel="00000000" w:rsidR="00000000" w:rsidRPr="00000000">
        <w:rPr>
          <w:sz w:val="24"/>
          <w:szCs w:val="24"/>
          <w:rtl w:val="0"/>
        </w:rPr>
        <w:t xml:space="preserve"> de sua própria infância, mas também as expunha a abusos físicos, psicol</w:t>
      </w:r>
      <w:r w:rsidDel="00000000" w:rsidR="00000000" w:rsidRPr="00000000">
        <w:rPr>
          <w:sz w:val="24"/>
          <w:szCs w:val="24"/>
          <w:rtl w:val="0"/>
        </w:rPr>
        <w:t xml:space="preserve">ógicos</w:t>
      </w:r>
      <w:r w:rsidDel="00000000" w:rsidR="00000000" w:rsidRPr="00000000">
        <w:rPr>
          <w:sz w:val="24"/>
          <w:szCs w:val="24"/>
          <w:rtl w:val="0"/>
        </w:rPr>
        <w:t xml:space="preserve"> e sexuais.</w:t>
      </w:r>
    </w:p>
    <w:p w:rsidR="00000000" w:rsidDel="00000000" w:rsidP="00000000" w:rsidRDefault="00000000" w:rsidRPr="00000000" w14:paraId="00000014">
      <w:pPr>
        <w:spacing w:after="0" w:before="0" w:line="360" w:lineRule="auto"/>
        <w:ind w:firstLine="850.3937007874017"/>
        <w:jc w:val="both"/>
        <w:rPr>
          <w:sz w:val="24"/>
          <w:szCs w:val="24"/>
        </w:rPr>
      </w:pPr>
      <w:r w:rsidDel="00000000" w:rsidR="00000000" w:rsidRPr="00000000">
        <w:rPr>
          <w:sz w:val="24"/>
          <w:szCs w:val="24"/>
          <w:rtl w:val="0"/>
        </w:rPr>
        <w:t xml:space="preserve">Conforme Hirata (2014, p. 92), "[...] o serviço doméstico foi naturalizado como uma extensão do papel feminino negro, mantendo-se como uma das piores formas de trabalho infantil devido à sua invisibilidade e desvalorização". Enquanto as meninas eram confinadas aos lares, os meninos negros eram destinados a trabalhos externos, como lavoura, pastoreio e, posteriormente, serviços urbanos informais. De acordo com Fraga Filho (1996, p. 112), "[...] os meninos negros eram submetidos a ofícios brutais, como carregadores, engraxates e ajudantes de construção, muitas vezes sob violência física".</w:t>
      </w:r>
    </w:p>
    <w:p w:rsidR="00000000" w:rsidDel="00000000" w:rsidP="00000000" w:rsidRDefault="00000000" w:rsidRPr="00000000" w14:paraId="00000015">
      <w:pPr>
        <w:spacing w:after="0" w:before="0" w:line="360" w:lineRule="auto"/>
        <w:ind w:firstLine="850.3937007874017"/>
        <w:jc w:val="both"/>
        <w:rPr>
          <w:sz w:val="20"/>
          <w:szCs w:val="20"/>
        </w:rPr>
      </w:pPr>
      <w:r w:rsidDel="00000000" w:rsidR="00000000" w:rsidRPr="00000000">
        <w:rPr>
          <w:sz w:val="24"/>
          <w:szCs w:val="24"/>
          <w:rtl w:val="0"/>
        </w:rPr>
        <w:t xml:space="preserve">Identificada, etiquetada e estigmatizada desde o período colonial com o enunciado “menor”, por seu pertencimento social, a criança negra torna-se legalmente representada por este termo que aparecia em consolidações penais e leis de menores. Ademais, as crianças que se encontravam em situação de rua e vulnerabilidade social eram chamados de "menores abandonados" e a criminalidade desses menores sempre foi associada ao termo de "vadiagem". </w:t>
      </w:r>
      <w:r w:rsidDel="00000000" w:rsidR="00000000" w:rsidRPr="00000000">
        <w:rPr>
          <w:rtl w:val="0"/>
        </w:rPr>
      </w:r>
    </w:p>
    <w:p w:rsidR="00000000" w:rsidDel="00000000" w:rsidP="00000000" w:rsidRDefault="00000000" w:rsidRPr="00000000" w14:paraId="00000016">
      <w:pPr>
        <w:shd w:fill="ffffff" w:val="clear"/>
        <w:spacing w:line="360" w:lineRule="auto"/>
        <w:ind w:firstLine="850"/>
        <w:jc w:val="both"/>
        <w:rPr>
          <w:sz w:val="24"/>
          <w:szCs w:val="24"/>
        </w:rPr>
      </w:pPr>
      <w:r w:rsidDel="00000000" w:rsidR="00000000" w:rsidRPr="00000000">
        <w:rPr>
          <w:sz w:val="24"/>
          <w:szCs w:val="24"/>
          <w:rtl w:val="0"/>
        </w:rPr>
        <w:t xml:space="preserve">A partir dos fatos mencionados, a compreensão do racismo na vida das crianças brasileiras se dá pela confirmação através dos indicadores sociais. A “etiquetagem” e estigma das crianças negras como “menores” ou “vadios”, n</w:t>
      </w:r>
      <w:r w:rsidDel="00000000" w:rsidR="00000000" w:rsidRPr="00000000">
        <w:rPr>
          <w:sz w:val="24"/>
          <w:szCs w:val="24"/>
          <w:rtl w:val="0"/>
        </w:rPr>
        <w:t xml:space="preserve">ão se aplicava</w:t>
      </w:r>
      <w:r w:rsidDel="00000000" w:rsidR="00000000" w:rsidRPr="00000000">
        <w:rPr>
          <w:sz w:val="24"/>
          <w:szCs w:val="24"/>
          <w:rtl w:val="0"/>
        </w:rPr>
        <w:t xml:space="preserve"> quando se referiam a crianças brancas e ricas. Enquanto as crian</w:t>
      </w:r>
      <w:r w:rsidDel="00000000" w:rsidR="00000000" w:rsidRPr="00000000">
        <w:rPr>
          <w:sz w:val="24"/>
          <w:szCs w:val="24"/>
          <w:rtl w:val="0"/>
        </w:rPr>
        <w:t xml:space="preserve">ças negras</w:t>
      </w:r>
      <w:r w:rsidDel="00000000" w:rsidR="00000000" w:rsidRPr="00000000">
        <w:rPr>
          <w:sz w:val="24"/>
          <w:szCs w:val="24"/>
          <w:rtl w:val="0"/>
        </w:rPr>
        <w:t xml:space="preserve"> eram criminalizadas e  vistas como problema de segurança pública, as crianças</w:t>
      </w:r>
      <w:r w:rsidDel="00000000" w:rsidR="00000000" w:rsidRPr="00000000">
        <w:rPr>
          <w:sz w:val="24"/>
          <w:szCs w:val="24"/>
          <w:rtl w:val="0"/>
        </w:rPr>
        <w:t xml:space="preserve"> brancas eram tidas</w:t>
      </w:r>
      <w:r w:rsidDel="00000000" w:rsidR="00000000" w:rsidRPr="00000000">
        <w:rPr>
          <w:sz w:val="24"/>
          <w:szCs w:val="24"/>
          <w:rtl w:val="0"/>
        </w:rPr>
        <w:t xml:space="preserve"> como “frágeis” que </w:t>
      </w:r>
      <w:r w:rsidDel="00000000" w:rsidR="00000000" w:rsidRPr="00000000">
        <w:rPr>
          <w:sz w:val="24"/>
          <w:szCs w:val="24"/>
          <w:rtl w:val="0"/>
        </w:rPr>
        <w:t xml:space="preserve">precisavam</w:t>
      </w:r>
      <w:r w:rsidDel="00000000" w:rsidR="00000000" w:rsidRPr="00000000">
        <w:rPr>
          <w:sz w:val="24"/>
          <w:szCs w:val="24"/>
          <w:rtl w:val="0"/>
        </w:rPr>
        <w:t xml:space="preserve"> ser </w:t>
      </w:r>
      <w:r w:rsidDel="00000000" w:rsidR="00000000" w:rsidRPr="00000000">
        <w:rPr>
          <w:sz w:val="24"/>
          <w:szCs w:val="24"/>
          <w:rtl w:val="0"/>
        </w:rPr>
        <w:t xml:space="preserve">protegidas</w:t>
      </w:r>
      <w:r w:rsidDel="00000000" w:rsidR="00000000" w:rsidRPr="00000000">
        <w:rPr>
          <w:sz w:val="24"/>
          <w:szCs w:val="24"/>
          <w:rtl w:val="0"/>
        </w:rPr>
        <w:t xml:space="preserve">. Desta forma, para pensar sobre a infância negra, "[...] pressupõe reconfigurar a noção de direito à infância como um direito humano fundamental e inerente a todas as crianças" (Eurico, 2020, p. 73). A divisão sexual e racial do trabalho infantil no Brasil reflete um sistema de explora</w:t>
      </w:r>
      <w:r w:rsidDel="00000000" w:rsidR="00000000" w:rsidRPr="00000000">
        <w:rPr>
          <w:sz w:val="24"/>
          <w:szCs w:val="24"/>
          <w:rtl w:val="0"/>
        </w:rPr>
        <w:t xml:space="preserve">ção, </w:t>
      </w:r>
      <w:r w:rsidDel="00000000" w:rsidR="00000000" w:rsidRPr="00000000">
        <w:rPr>
          <w:sz w:val="24"/>
          <w:szCs w:val="24"/>
          <w:rtl w:val="0"/>
        </w:rPr>
        <w:t xml:space="preserve">opressão e domina</w:t>
      </w:r>
      <w:r w:rsidDel="00000000" w:rsidR="00000000" w:rsidRPr="00000000">
        <w:rPr>
          <w:sz w:val="24"/>
          <w:szCs w:val="24"/>
          <w:rtl w:val="0"/>
        </w:rPr>
        <w:t xml:space="preserve">ção</w:t>
      </w:r>
      <w:r w:rsidDel="00000000" w:rsidR="00000000" w:rsidRPr="00000000">
        <w:rPr>
          <w:sz w:val="24"/>
          <w:szCs w:val="24"/>
          <w:rtl w:val="0"/>
        </w:rPr>
        <w:t xml:space="preserve"> que remonta ao per</w:t>
      </w:r>
      <w:r w:rsidDel="00000000" w:rsidR="00000000" w:rsidRPr="00000000">
        <w:rPr>
          <w:sz w:val="24"/>
          <w:szCs w:val="24"/>
          <w:rtl w:val="0"/>
        </w:rPr>
        <w:t xml:space="preserve">íodo da </w:t>
      </w:r>
      <w:r w:rsidDel="00000000" w:rsidR="00000000" w:rsidRPr="00000000">
        <w:rPr>
          <w:sz w:val="24"/>
          <w:szCs w:val="24"/>
          <w:rtl w:val="0"/>
        </w:rPr>
        <w:t xml:space="preserve">escravidão. Este artigo tem como objetivo analisar como gênero e raça influenciam as experiências de crianças trabalhadoras, destacando a continuidade histórica de sua exploração.</w:t>
      </w:r>
    </w:p>
    <w:p w:rsidR="00000000" w:rsidDel="00000000" w:rsidP="00000000" w:rsidRDefault="00000000" w:rsidRPr="00000000" w14:paraId="00000017">
      <w:pPr>
        <w:pStyle w:val="Heading2"/>
        <w:numPr>
          <w:ilvl w:val="0"/>
          <w:numId w:val="1"/>
        </w:numPr>
        <w:spacing w:after="240" w:before="240" w:line="360" w:lineRule="auto"/>
        <w:ind w:left="720" w:hanging="360"/>
        <w:jc w:val="both"/>
        <w:rPr>
          <w:b w:val="1"/>
          <w:sz w:val="24"/>
          <w:szCs w:val="24"/>
          <w:u w:val="none"/>
        </w:rPr>
      </w:pPr>
      <w:bookmarkStart w:colFirst="0" w:colLast="0" w:name="_wvk8j4joeuam" w:id="1"/>
      <w:bookmarkEnd w:id="1"/>
      <w:r w:rsidDel="00000000" w:rsidR="00000000" w:rsidRPr="00000000">
        <w:rPr>
          <w:b w:val="1"/>
          <w:sz w:val="24"/>
          <w:szCs w:val="24"/>
          <w:rtl w:val="0"/>
        </w:rPr>
        <w:t xml:space="preserve">Trabalho Infantil, Escravidão e Pós-Abolição</w:t>
      </w:r>
      <w:r w:rsidDel="00000000" w:rsidR="00000000" w:rsidRPr="00000000">
        <w:rPr>
          <w:rtl w:val="0"/>
        </w:rPr>
      </w:r>
    </w:p>
    <w:p w:rsidR="00000000" w:rsidDel="00000000" w:rsidP="00000000" w:rsidRDefault="00000000" w:rsidRPr="00000000" w14:paraId="00000018">
      <w:pPr>
        <w:spacing w:line="360" w:lineRule="auto"/>
        <w:ind w:firstLine="850.3937007874017"/>
        <w:jc w:val="both"/>
        <w:rPr>
          <w:sz w:val="24"/>
          <w:szCs w:val="24"/>
        </w:rPr>
      </w:pPr>
      <w:r w:rsidDel="00000000" w:rsidR="00000000" w:rsidRPr="00000000">
        <w:rPr>
          <w:sz w:val="24"/>
          <w:szCs w:val="24"/>
          <w:rtl w:val="0"/>
        </w:rPr>
        <w:t xml:space="preserve">A exploração do trabalho infantil no Brasil remonta ao período colonial, quando crianças negras escravizadas eram submetidas a tarefas desde tenra idade. O aprendizado dos ofícios e tarefas se refletia no preço do escravo-criança. Por volta dos quatro anos não era muito lucrativo vender crianças, mas, quando aprendiam servir, lavar, passar, engomar, remendar roupas, reparar sapatos, trabalhar em madeira, pastorear e mesmo em tarefas próprias do eito, o preço crescia (Florentino; Góes, 2013 p. 218).</w:t>
      </w:r>
    </w:p>
    <w:p w:rsidR="00000000" w:rsidDel="00000000" w:rsidP="00000000" w:rsidRDefault="00000000" w:rsidRPr="00000000" w14:paraId="00000019">
      <w:pPr>
        <w:spacing w:line="360" w:lineRule="auto"/>
        <w:ind w:firstLine="850.3937007874017"/>
        <w:jc w:val="both"/>
        <w:rPr>
          <w:sz w:val="24"/>
          <w:szCs w:val="24"/>
        </w:rPr>
      </w:pPr>
      <w:r w:rsidDel="00000000" w:rsidR="00000000" w:rsidRPr="00000000">
        <w:rPr>
          <w:sz w:val="24"/>
          <w:szCs w:val="24"/>
          <w:rtl w:val="0"/>
        </w:rPr>
        <w:t xml:space="preserve">A criança escravizada fazia as atividades no lugar do adulto, quando trabalhava como vendedor ou no pastoreio, em outros momentos seu trabalho era complementar ao do adulto, quando ajudavam a colher café, descaroçar algodão, catar lenha. Outros exemplos eram as meninas que ficavam cuidando das crianças menores dos senhores e outros afazeres da casa ou os meninos que iam buscar água no poço. Houve, ainda, um tipo de trabalho que, muitas vezes, só a criança escravizada poderia realizar, quando servia de brinquedo e divertimento para os proprietários e/ou </w:t>
      </w:r>
      <w:r w:rsidDel="00000000" w:rsidR="00000000" w:rsidRPr="00000000">
        <w:rPr>
          <w:sz w:val="24"/>
          <w:szCs w:val="24"/>
          <w:rtl w:val="0"/>
        </w:rPr>
        <w:t xml:space="preserve">filhos</w:t>
      </w:r>
      <w:r w:rsidDel="00000000" w:rsidR="00000000" w:rsidRPr="00000000">
        <w:rPr>
          <w:sz w:val="24"/>
          <w:szCs w:val="24"/>
          <w:rtl w:val="0"/>
        </w:rPr>
        <w:t xml:space="preserve">/as dos propriet</w:t>
      </w:r>
      <w:r w:rsidDel="00000000" w:rsidR="00000000" w:rsidRPr="00000000">
        <w:rPr>
          <w:sz w:val="24"/>
          <w:szCs w:val="24"/>
          <w:rtl w:val="0"/>
        </w:rPr>
        <w:t xml:space="preserve">ários</w:t>
      </w:r>
      <w:r w:rsidDel="00000000" w:rsidR="00000000" w:rsidRPr="00000000">
        <w:rPr>
          <w:sz w:val="24"/>
          <w:szCs w:val="24"/>
          <w:rtl w:val="0"/>
        </w:rPr>
        <w:t xml:space="preserve">.</w:t>
      </w:r>
    </w:p>
    <w:p w:rsidR="00000000" w:rsidDel="00000000" w:rsidP="00000000" w:rsidRDefault="00000000" w:rsidRPr="00000000" w14:paraId="0000001A">
      <w:pPr>
        <w:spacing w:line="360" w:lineRule="auto"/>
        <w:ind w:firstLine="850.3937007874017"/>
        <w:jc w:val="both"/>
        <w:rPr>
          <w:sz w:val="24"/>
          <w:szCs w:val="24"/>
        </w:rPr>
      </w:pPr>
      <w:r w:rsidDel="00000000" w:rsidR="00000000" w:rsidRPr="00000000">
        <w:rPr>
          <w:sz w:val="24"/>
          <w:szCs w:val="24"/>
          <w:rtl w:val="0"/>
        </w:rPr>
        <w:t xml:space="preserve">As meninas negras eram direcionadas aos serviços domésticos e aos cuidados das crianças brancas, sendo hipersexualizadas e submetidas a violências físicas, sexuais e </w:t>
      </w:r>
      <w:r w:rsidDel="00000000" w:rsidR="00000000" w:rsidRPr="00000000">
        <w:rPr>
          <w:sz w:val="24"/>
          <w:szCs w:val="24"/>
          <w:rtl w:val="0"/>
        </w:rPr>
        <w:t xml:space="preserve">simbólicas</w:t>
      </w:r>
      <w:r w:rsidDel="00000000" w:rsidR="00000000" w:rsidRPr="00000000">
        <w:rPr>
          <w:sz w:val="24"/>
          <w:szCs w:val="24"/>
          <w:rtl w:val="0"/>
        </w:rPr>
        <w:t xml:space="preserve">. Já os meninos negros eram utilizados em atividades agrícolas, pastoreio e serviços urbanos. Mattoso (1988, p. 78) ressalta que "[...] a criança escrava, que tenha atingido certa idade, entra compulsoriamente no mundo do trabalho", diferentemente das crianças brancas, cuja infância era prolongada e protegida.</w:t>
      </w:r>
    </w:p>
    <w:p w:rsidR="00000000" w:rsidDel="00000000" w:rsidP="00000000" w:rsidRDefault="00000000" w:rsidRPr="00000000" w14:paraId="0000001B">
      <w:pPr>
        <w:spacing w:line="360" w:lineRule="auto"/>
        <w:ind w:firstLine="850.3937007874017"/>
        <w:jc w:val="both"/>
        <w:rPr>
          <w:sz w:val="24"/>
          <w:szCs w:val="24"/>
        </w:rPr>
      </w:pPr>
      <w:r w:rsidDel="00000000" w:rsidR="00000000" w:rsidRPr="00000000">
        <w:rPr>
          <w:sz w:val="24"/>
          <w:szCs w:val="24"/>
          <w:rtl w:val="0"/>
        </w:rPr>
        <w:t xml:space="preserve">Uma outra função que somente a criança escravizada desempenhava era o de gerar e preservar o leite de sua mãe, daí também a explicação de terem crianças de colo nos navios negreiros, o bebê ou como era chamado "cria de peito" qualificava a escrava como ama-de-leite. Giacomini (1988), evidencia que “[...] para que a escrava se transformasse em mãe-preta da criança branca, foi-lhe bloqueada a possibilidade de ser mãe de seu filho preto”. Portanto, é possível identificar que o papel de mãe na vida de uma escravizada só era visto no sentido de prestar serviços a crianças brancas. O que revela uma viola</w:t>
      </w:r>
      <w:r w:rsidDel="00000000" w:rsidR="00000000" w:rsidRPr="00000000">
        <w:rPr>
          <w:sz w:val="24"/>
          <w:szCs w:val="24"/>
          <w:rtl w:val="0"/>
        </w:rPr>
        <w:t xml:space="preserve">ção desta criança negra quanto ao direito à amamentação e ao convívio com sua mãe. Como também expõe a violação do direito à maternidade das mulheres negras, que eram obrigadas a se separar de seus filhos/as para cuidar e amamentar os/as filhos de seus "donos”.</w:t>
      </w:r>
      <w:r w:rsidDel="00000000" w:rsidR="00000000" w:rsidRPr="00000000">
        <w:rPr>
          <w:rtl w:val="0"/>
        </w:rPr>
      </w:r>
    </w:p>
    <w:p w:rsidR="00000000" w:rsidDel="00000000" w:rsidP="00000000" w:rsidRDefault="00000000" w:rsidRPr="00000000" w14:paraId="0000001C">
      <w:pPr>
        <w:spacing w:line="360" w:lineRule="auto"/>
        <w:ind w:firstLine="850.3937007874017"/>
        <w:jc w:val="both"/>
        <w:rPr>
          <w:sz w:val="24"/>
          <w:szCs w:val="24"/>
        </w:rPr>
      </w:pPr>
      <w:r w:rsidDel="00000000" w:rsidR="00000000" w:rsidRPr="00000000">
        <w:rPr>
          <w:sz w:val="24"/>
          <w:szCs w:val="24"/>
          <w:rtl w:val="0"/>
        </w:rPr>
        <w:t xml:space="preserve">Mattoso (1988, p. 43) ao observar que “[...] o escravo permanece criança até os oito anos”, descreve também que é nesse período que ele se dá conta de sua condição de inferioridade, inclusive em relação às crianças brancas, além de ser retirado o seu direito de ser criança. A autora segue ao dizer que “[...] ainda novo, o filho da escrava é olhado como escravo em redução, somente diferente do escravo adulto que mais tarde será, pelo tamanho e pela força” (1988, p. 52). A autora utiliza três concepções de </w:t>
      </w:r>
      <w:r w:rsidDel="00000000" w:rsidR="00000000" w:rsidRPr="00000000">
        <w:rPr>
          <w:sz w:val="24"/>
          <w:szCs w:val="24"/>
          <w:rtl w:val="0"/>
        </w:rPr>
        <w:t xml:space="preserve">maioridade</w:t>
      </w:r>
      <w:r w:rsidDel="00000000" w:rsidR="00000000" w:rsidRPr="00000000">
        <w:rPr>
          <w:sz w:val="24"/>
          <w:szCs w:val="24"/>
          <w:rtl w:val="0"/>
        </w:rPr>
        <w:t xml:space="preserve"> das crianças escravizadas, dois dos quais são causais (civil e religiosa) e uma condicional (econômica). </w:t>
      </w:r>
    </w:p>
    <w:p w:rsidR="00000000" w:rsidDel="00000000" w:rsidP="00000000" w:rsidRDefault="00000000" w:rsidRPr="00000000" w14:paraId="0000001D">
      <w:pPr>
        <w:spacing w:line="360" w:lineRule="auto"/>
        <w:ind w:firstLine="850.3937007874017"/>
        <w:jc w:val="both"/>
        <w:rPr>
          <w:sz w:val="24"/>
          <w:szCs w:val="24"/>
        </w:rPr>
      </w:pPr>
      <w:r w:rsidDel="00000000" w:rsidR="00000000" w:rsidRPr="00000000">
        <w:rPr>
          <w:sz w:val="24"/>
          <w:szCs w:val="24"/>
          <w:rtl w:val="0"/>
        </w:rPr>
        <w:t xml:space="preserve">No caso da maioridade civil, atenta-se às legislações existentes naquele período. A Lei no 2.040, de 28 de setembro de 1871 (Lei do Ventre Livre) obrigava a responsabiliza</w:t>
      </w:r>
      <w:r w:rsidDel="00000000" w:rsidR="00000000" w:rsidRPr="00000000">
        <w:rPr>
          <w:sz w:val="24"/>
          <w:szCs w:val="24"/>
          <w:rtl w:val="0"/>
        </w:rPr>
        <w:t xml:space="preserve">ção d</w:t>
      </w:r>
      <w:r w:rsidDel="00000000" w:rsidR="00000000" w:rsidRPr="00000000">
        <w:rPr>
          <w:sz w:val="24"/>
          <w:szCs w:val="24"/>
          <w:rtl w:val="0"/>
        </w:rPr>
        <w:t xml:space="preserve">os senhores pelos/as filhos/as das escravas até os oito anos de idade, momento em que teriam que decidir se os </w:t>
      </w:r>
      <w:r w:rsidDel="00000000" w:rsidR="00000000" w:rsidRPr="00000000">
        <w:rPr>
          <w:sz w:val="24"/>
          <w:szCs w:val="24"/>
          <w:rtl w:val="0"/>
        </w:rPr>
        <w:t xml:space="preserve">libertariam</w:t>
      </w:r>
      <w:r w:rsidDel="00000000" w:rsidR="00000000" w:rsidRPr="00000000">
        <w:rPr>
          <w:sz w:val="24"/>
          <w:szCs w:val="24"/>
          <w:rtl w:val="0"/>
        </w:rPr>
        <w:t xml:space="preserve">, em troca de indenização estatal, ou continuariam a usar seus serviços até os 21 anos. Caso o senhor optasse pela indenização, o menor seria mandado para uma instituição indicada pelo governo e essas entidades poderiam usufruir da mesma forma do trabalho, até a maioridade ser completada, então, de qualquer forma, continuava sendo escravizado até atingir a idade adulta. No caso da maioridade religiosa, até os sete anos a criança escravizada era considerada “inocente”, depois dessa idade, a criança negra já teria consciência e responsabilidade, “[...] para a Igreja, aos sete anos a criança adquire foro de adulto: de ingênuo torna-se alma de confissão” (Mattoso, 1988, p. 42). A terceira </w:t>
      </w:r>
      <w:r w:rsidDel="00000000" w:rsidR="00000000" w:rsidRPr="00000000">
        <w:rPr>
          <w:sz w:val="24"/>
          <w:szCs w:val="24"/>
          <w:rtl w:val="0"/>
        </w:rPr>
        <w:t xml:space="preserve">maioridade</w:t>
      </w:r>
      <w:r w:rsidDel="00000000" w:rsidR="00000000" w:rsidRPr="00000000">
        <w:rPr>
          <w:sz w:val="24"/>
          <w:szCs w:val="24"/>
          <w:rtl w:val="0"/>
        </w:rPr>
        <w:t xml:space="preserve">, a econômica, era a mais importante que as outras duas não somente por causa da condição escrava, mas também tratando da criança escravizada, a infância era retirada e não existia bem antes dos seus 12 anos.</w:t>
      </w:r>
    </w:p>
    <w:p w:rsidR="00000000" w:rsidDel="00000000" w:rsidP="00000000" w:rsidRDefault="00000000" w:rsidRPr="00000000" w14:paraId="0000001E">
      <w:pPr>
        <w:spacing w:line="360" w:lineRule="auto"/>
        <w:ind w:firstLine="850.3937007874017"/>
        <w:jc w:val="both"/>
        <w:rPr>
          <w:sz w:val="24"/>
          <w:szCs w:val="24"/>
        </w:rPr>
      </w:pPr>
      <w:r w:rsidDel="00000000" w:rsidR="00000000" w:rsidRPr="00000000">
        <w:rPr>
          <w:sz w:val="24"/>
          <w:szCs w:val="24"/>
          <w:rtl w:val="0"/>
        </w:rPr>
        <w:t xml:space="preserve">A partir de 1888, a vida das crianças negras e de suas famílias tem a exclusão e a violência redesenhadas sobre o manto de uma liberdade falseada e substituída por novos mecanismos racistas e de genocídio. A nova situação dos negros de escravizados para libertos não foi aceita imediatamente pela sociedade brasileira. O fato de serem libertados por força da lei, não garantia aos negros os mesmos direitos de fato e todas as oportunidades dadas aos brancos em nosso país, sobretudo, às camadas mais ricas da população. Por isso, além da libertação oficial, instituída na lei, os negros brasileiros, após a abolição, tiveram que implementar um longo e árduo processo de construção de igualdade e de acesso aos diversos setores sociais (Munanga, 2006, p.107). </w:t>
      </w:r>
    </w:p>
    <w:p w:rsidR="00000000" w:rsidDel="00000000" w:rsidP="00000000" w:rsidRDefault="00000000" w:rsidRPr="00000000" w14:paraId="0000001F">
      <w:pPr>
        <w:pStyle w:val="Heading2"/>
        <w:numPr>
          <w:ilvl w:val="0"/>
          <w:numId w:val="1"/>
        </w:numPr>
        <w:spacing w:after="240" w:before="240" w:line="360" w:lineRule="auto"/>
        <w:ind w:left="720" w:hanging="360"/>
        <w:jc w:val="both"/>
        <w:rPr>
          <w:b w:val="1"/>
          <w:sz w:val="24"/>
          <w:szCs w:val="24"/>
          <w:u w:val="none"/>
        </w:rPr>
      </w:pPr>
      <w:bookmarkStart w:colFirst="0" w:colLast="0" w:name="_v8sno61jpl7n" w:id="2"/>
      <w:bookmarkEnd w:id="2"/>
      <w:r w:rsidDel="00000000" w:rsidR="00000000" w:rsidRPr="00000000">
        <w:rPr>
          <w:b w:val="1"/>
          <w:sz w:val="24"/>
          <w:szCs w:val="24"/>
          <w:rtl w:val="0"/>
        </w:rPr>
        <w:t xml:space="preserve">Século XX: a Industrialização e o Código de Menores</w:t>
      </w:r>
      <w:r w:rsidDel="00000000" w:rsidR="00000000" w:rsidRPr="00000000">
        <w:rPr>
          <w:rtl w:val="0"/>
        </w:rPr>
      </w:r>
    </w:p>
    <w:p w:rsidR="00000000" w:rsidDel="00000000" w:rsidP="00000000" w:rsidRDefault="00000000" w:rsidRPr="00000000" w14:paraId="00000020">
      <w:pPr>
        <w:shd w:fill="ffffff" w:val="clear"/>
        <w:spacing w:line="360" w:lineRule="auto"/>
        <w:ind w:firstLine="850"/>
        <w:jc w:val="both"/>
        <w:rPr>
          <w:sz w:val="24"/>
          <w:szCs w:val="24"/>
        </w:rPr>
      </w:pPr>
      <w:r w:rsidDel="00000000" w:rsidR="00000000" w:rsidRPr="00000000">
        <w:rPr>
          <w:sz w:val="24"/>
          <w:szCs w:val="24"/>
          <w:rtl w:val="0"/>
        </w:rPr>
        <w:t xml:space="preserve">No início do século XX, a industrialização brasileira intensificou a exploração do trabalho infantil. Meninos eram empregados em fábricas com jornadas exaustivas, enquanto meninas negras permaneceram no serviço doméstico, invisibilizadas pelas estatísticas (Del Priore, 2013). </w:t>
      </w:r>
      <w:r w:rsidDel="00000000" w:rsidR="00000000" w:rsidRPr="00000000">
        <w:rPr>
          <w:sz w:val="24"/>
          <w:szCs w:val="24"/>
          <w:rtl w:val="0"/>
        </w:rPr>
        <w:t xml:space="preserve">A pensar nos direitos e proteção a estas crianças, a partir da primeira metade do século XX as crianças passam a ser vistas como "objetos" do Estado, o fato da </w:t>
      </w:r>
      <w:r w:rsidDel="00000000" w:rsidR="00000000" w:rsidRPr="00000000">
        <w:rPr>
          <w:sz w:val="24"/>
          <w:szCs w:val="24"/>
          <w:rtl w:val="0"/>
        </w:rPr>
        <w:t xml:space="preserve">menoridade</w:t>
      </w:r>
      <w:r w:rsidDel="00000000" w:rsidR="00000000" w:rsidRPr="00000000">
        <w:rPr>
          <w:sz w:val="24"/>
          <w:szCs w:val="24"/>
          <w:rtl w:val="0"/>
        </w:rPr>
        <w:t xml:space="preserve"> atribuída diz respeito a fase de desenvolvimento desses indivíduos, e também via-se olhar para os menores em situação irregular, que seriam aqueles que se encontravam em situação de privação, violência, ou que apresentassem condutas consideradas desviantes, e se tornassem infratores penais.</w:t>
      </w:r>
    </w:p>
    <w:p w:rsidR="00000000" w:rsidDel="00000000" w:rsidP="00000000" w:rsidRDefault="00000000" w:rsidRPr="00000000" w14:paraId="00000021">
      <w:pPr>
        <w:shd w:fill="ffffff" w:val="clear"/>
        <w:spacing w:line="360" w:lineRule="auto"/>
        <w:ind w:firstLine="850"/>
        <w:jc w:val="both"/>
        <w:rPr>
          <w:sz w:val="24"/>
          <w:szCs w:val="24"/>
        </w:rPr>
      </w:pPr>
      <w:r w:rsidDel="00000000" w:rsidR="00000000" w:rsidRPr="00000000">
        <w:rPr>
          <w:sz w:val="24"/>
          <w:szCs w:val="24"/>
          <w:rtl w:val="0"/>
        </w:rPr>
        <w:t xml:space="preserve">O presidente Washington Luiz assinou o Decreto n° 17.943-A de 12 de outubro de 1927, a Lei de Assistência e Proteção aos Menores, conhecida como Código de Menores, embora não tivesse como objetivo, a proteção integral da criança e do adolescente. Visto que a expressão "menores em situação irregular" era uma forma  estigmatizada de representar as crianças e adolescentes negras como problemáticos e perigosos, evidenciando face racista em meio a tentativa de proteção pela parte do Estado. A legislação reforçou estereótipos raciais e de gênero, tratando meninos negros como "delinquentes" e meninas negras como "moralmente perigosas".</w:t>
      </w:r>
    </w:p>
    <w:p w:rsidR="00000000" w:rsidDel="00000000" w:rsidP="00000000" w:rsidRDefault="00000000" w:rsidRPr="00000000" w14:paraId="00000022">
      <w:pPr>
        <w:shd w:fill="ffffff" w:val="clear"/>
        <w:spacing w:line="360" w:lineRule="auto"/>
        <w:ind w:firstLine="850"/>
        <w:jc w:val="both"/>
        <w:rPr>
          <w:sz w:val="24"/>
          <w:szCs w:val="24"/>
        </w:rPr>
      </w:pPr>
      <w:r w:rsidDel="00000000" w:rsidR="00000000" w:rsidRPr="00000000">
        <w:rPr>
          <w:sz w:val="24"/>
          <w:szCs w:val="24"/>
          <w:rtl w:val="0"/>
        </w:rPr>
        <w:t xml:space="preserve">A ideia básica das instituições que cuidavam das crianças era voltada apenas para o controle social numa perspectiva moralizadora. Assim, as instituições faziam trabalho punitivo e coercitivo, e não buscavam a integração da criança na sociedade. Del Priore (2013, p.97) afirma que a transição da escravidão para o trabalho livre não significou a abolição da exploração de crianças que se reatualiza nos princípios norteadores do liberalismo e da chamada modernidade industrial. </w:t>
      </w:r>
    </w:p>
    <w:p w:rsidR="00000000" w:rsidDel="00000000" w:rsidP="00000000" w:rsidRDefault="00000000" w:rsidRPr="00000000" w14:paraId="00000023">
      <w:pPr>
        <w:shd w:fill="ffffff" w:val="clear"/>
        <w:spacing w:after="200" w:line="360" w:lineRule="auto"/>
        <w:ind w:firstLine="850"/>
        <w:jc w:val="both"/>
        <w:rPr>
          <w:sz w:val="24"/>
          <w:szCs w:val="24"/>
        </w:rPr>
      </w:pPr>
      <w:r w:rsidDel="00000000" w:rsidR="00000000" w:rsidRPr="00000000">
        <w:rPr>
          <w:sz w:val="24"/>
          <w:szCs w:val="24"/>
          <w:rtl w:val="0"/>
        </w:rPr>
        <w:t xml:space="preserve">A indústria tinha como alvo o trabalho das crianças e dos jovens, que depois de um período de aprendizado, obtinham uma ocupação definitiva, empregando estratégias como o pagamento de salários baixos – para forçar as famílias a utilizarem o máximo de seus membros no trabalho – e a prática de induzir o consentimento na falsificação da idade das crianças, burlando a legislação da época que permitia o trabalho somente a partir dos 12 anos, a fábrica facilitava e incentivava a utilização do trabalho infantil. As condições de trabalho não são t</w:t>
      </w:r>
      <w:r w:rsidDel="00000000" w:rsidR="00000000" w:rsidRPr="00000000">
        <w:rPr>
          <w:sz w:val="24"/>
          <w:szCs w:val="24"/>
          <w:rtl w:val="0"/>
        </w:rPr>
        <w:t xml:space="preserve">ão </w:t>
      </w:r>
      <w:r w:rsidDel="00000000" w:rsidR="00000000" w:rsidRPr="00000000">
        <w:rPr>
          <w:sz w:val="24"/>
          <w:szCs w:val="24"/>
          <w:rtl w:val="0"/>
        </w:rPr>
        <w:t xml:space="preserve">diferentes do período colonial: alimentação inadequada, ambiente insalubre, relações de trabalho autoritárias, longas jornadas de trabalho (dois turnos de 12 horas) e elevados índices de doenças como a tuberculose. Se tratava então de uma nova reconfiguração que conservava os valores do passado, extinguindo possibilidades de um futuro em nome de uma “falsa modernidade”. Assim, o discurso do novo, do moderno mascarava as “velhas formas” de domina</w:t>
      </w:r>
      <w:r w:rsidDel="00000000" w:rsidR="00000000" w:rsidRPr="00000000">
        <w:rPr>
          <w:sz w:val="24"/>
          <w:szCs w:val="24"/>
          <w:rtl w:val="0"/>
        </w:rPr>
        <w:t xml:space="preserve">ção, exploração e opressão e se deslocavam para as “novas” estruturas coloniais de poder no processo de industrialização.</w:t>
      </w:r>
      <w:r w:rsidDel="00000000" w:rsidR="00000000" w:rsidRPr="00000000">
        <w:rPr>
          <w:sz w:val="24"/>
          <w:szCs w:val="24"/>
          <w:rtl w:val="0"/>
        </w:rPr>
        <w:t xml:space="preserve"> </w:t>
      </w:r>
      <w:r w:rsidDel="00000000" w:rsidR="00000000" w:rsidRPr="00000000">
        <w:rPr>
          <w:sz w:val="24"/>
          <w:szCs w:val="24"/>
          <w:rtl w:val="0"/>
        </w:rPr>
        <w:t xml:space="preserve">Configurando</w:t>
      </w:r>
      <w:r w:rsidDel="00000000" w:rsidR="00000000" w:rsidRPr="00000000">
        <w:rPr>
          <w:sz w:val="24"/>
          <w:szCs w:val="24"/>
          <w:rtl w:val="0"/>
        </w:rPr>
        <w:t xml:space="preserve">-se como um “museu de grandes novidades”, em que muda-se o cen</w:t>
      </w:r>
      <w:r w:rsidDel="00000000" w:rsidR="00000000" w:rsidRPr="00000000">
        <w:rPr>
          <w:sz w:val="24"/>
          <w:szCs w:val="24"/>
          <w:rtl w:val="0"/>
        </w:rPr>
        <w:t xml:space="preserve">ário, mas continua a mesma lógica que estrutura as relações sociais, políticas, econômicas e culturais: o projeto de dominação capitalista monopolista sob as bases colonizadoras. Como podemos ainda hoje em nossa sociedade e que será discutido no item que se segue. </w:t>
      </w:r>
      <w:r w:rsidDel="00000000" w:rsidR="00000000" w:rsidRPr="00000000">
        <w:rPr>
          <w:rtl w:val="0"/>
        </w:rPr>
      </w:r>
    </w:p>
    <w:p w:rsidR="00000000" w:rsidDel="00000000" w:rsidP="00000000" w:rsidRDefault="00000000" w:rsidRPr="00000000" w14:paraId="00000024">
      <w:pPr>
        <w:pStyle w:val="Heading2"/>
        <w:numPr>
          <w:ilvl w:val="0"/>
          <w:numId w:val="1"/>
        </w:numPr>
        <w:spacing w:after="240" w:before="240" w:line="360" w:lineRule="auto"/>
        <w:ind w:left="720" w:hanging="360"/>
        <w:jc w:val="both"/>
        <w:rPr>
          <w:b w:val="1"/>
          <w:sz w:val="24"/>
          <w:szCs w:val="24"/>
          <w:u w:val="none"/>
        </w:rPr>
      </w:pPr>
      <w:bookmarkStart w:colFirst="0" w:colLast="0" w:name="_8wq2zs8umz6u" w:id="3"/>
      <w:bookmarkEnd w:id="3"/>
      <w:r w:rsidDel="00000000" w:rsidR="00000000" w:rsidRPr="00000000">
        <w:rPr>
          <w:b w:val="1"/>
          <w:sz w:val="24"/>
          <w:szCs w:val="24"/>
          <w:rtl w:val="0"/>
        </w:rPr>
        <w:t xml:space="preserve">Trabalho Infantil Contemporâneo e Desigualdades Estruturais</w:t>
      </w:r>
      <w:r w:rsidDel="00000000" w:rsidR="00000000" w:rsidRPr="00000000">
        <w:rPr>
          <w:rtl w:val="0"/>
        </w:rPr>
      </w:r>
    </w:p>
    <w:p w:rsidR="00000000" w:rsidDel="00000000" w:rsidP="00000000" w:rsidRDefault="00000000" w:rsidRPr="00000000" w14:paraId="00000025">
      <w:pPr>
        <w:spacing w:after="0" w:before="0" w:line="360" w:lineRule="auto"/>
        <w:ind w:firstLine="850.3937007874017"/>
        <w:jc w:val="both"/>
        <w:rPr>
          <w:sz w:val="24"/>
          <w:szCs w:val="24"/>
        </w:rPr>
      </w:pPr>
      <w:r w:rsidDel="00000000" w:rsidR="00000000" w:rsidRPr="00000000">
        <w:rPr>
          <w:sz w:val="24"/>
          <w:szCs w:val="24"/>
          <w:rtl w:val="0"/>
        </w:rPr>
        <w:t xml:space="preserve">Atualmente, o trabalho infantil persiste como um problema estrutural. Dados da OIT (2021) indicam que 1,8 milhão de crianças e adolescentes entre 5 e 17 anos estão em situação de trabalho no Brasil, com predominância de meninas negras no serviço doméstico e meninos negros em atividades informais urbanas. Os dados atuais do IBGE (2022) e OIT (2023) revelam um cenário alarmante: cerca de 1,8 milhão de crianças e adolescentes entre 5 e 17 anos encontram-se em situação de trabalho precoce no país, sendo 94% delas negras e 71% meninas submetidas ao trabalho doméstico. Esses números não representam meras estatísticas, mas sim a materialização de um projeto de dominação que conjuga racismo, patriarcado e exploração de classe, como bem destacou Angela Davis (2016) ao afirmar que "[...] a intersecção entre raça, gênero e classe cria sistemas sobrepostos de dominação que se reforçam mutuamente".</w:t>
      </w:r>
    </w:p>
    <w:p w:rsidR="00000000" w:rsidDel="00000000" w:rsidP="00000000" w:rsidRDefault="00000000" w:rsidRPr="00000000" w14:paraId="00000026">
      <w:pPr>
        <w:spacing w:after="0" w:before="0" w:line="360" w:lineRule="auto"/>
        <w:ind w:firstLine="850.3937007874017"/>
        <w:jc w:val="both"/>
        <w:rPr>
          <w:sz w:val="24"/>
          <w:szCs w:val="24"/>
        </w:rPr>
      </w:pPr>
      <w:r w:rsidDel="00000000" w:rsidR="00000000" w:rsidRPr="00000000">
        <w:rPr>
          <w:sz w:val="24"/>
          <w:szCs w:val="24"/>
          <w:rtl w:val="0"/>
        </w:rPr>
        <w:t xml:space="preserve">A análise dos dados demonstra claramente como a divisão sexual e racial do trabalho infantil reproduz padrões históricos de exploração. Conforme aponta Hirata (2014, p. 92), "[...] o serviço doméstico foi naturalizado como uma extensão do papel feminino negro, mantendo-se como uma das piores formas de trabalho infantil devido à sua invisibilidade e desvalorização". </w:t>
      </w:r>
    </w:p>
    <w:p w:rsidR="00000000" w:rsidDel="00000000" w:rsidP="00000000" w:rsidRDefault="00000000" w:rsidRPr="00000000" w14:paraId="00000027">
      <w:pPr>
        <w:spacing w:after="0" w:before="0" w:line="360" w:lineRule="auto"/>
        <w:ind w:firstLine="850.3937007874017"/>
        <w:jc w:val="both"/>
        <w:rPr>
          <w:sz w:val="24"/>
          <w:szCs w:val="24"/>
        </w:rPr>
      </w:pPr>
      <w:r w:rsidDel="00000000" w:rsidR="00000000" w:rsidRPr="00000000">
        <w:rPr>
          <w:sz w:val="24"/>
          <w:szCs w:val="24"/>
          <w:rtl w:val="0"/>
        </w:rPr>
        <w:t xml:space="preserve">As meninas negras, que representam 87% das crianças no trabalho doméstico (OIT, 2023), enfrentam uma dupla vulnerabilidade: além da exploração laboral, estão sujeitas à hipersexualização de seus corpos, herança direta do período escravocrata quando, como destacou Giacomini (1988, p. 45), "[...] para que a escrava se transformasse em mãe-preta da criança branca, foi-lhe bloqueada a possibilidade de ser mãe de seu filho preto". Essa realidade se perpetua hoje nas residências de classe média, onde meninas negras são frequentemente responsabilizadas por cuidados e afazeres domésticos em jornadas que chegam a 28 horas semanais (FNPETI, 2021), comprometendo seu desenvolvimento educacional e psicológico. Por outro lado, os meninos negros, que constituem 65% das crianças em trabalhos perigosos (IBGE, 2022), são direcionados para atividades que reproduzem a lógica da exploração colonial.</w:t>
      </w:r>
    </w:p>
    <w:p w:rsidR="00000000" w:rsidDel="00000000" w:rsidP="00000000" w:rsidRDefault="00000000" w:rsidRPr="00000000" w14:paraId="00000028">
      <w:pPr>
        <w:spacing w:before="200" w:line="240" w:lineRule="auto"/>
        <w:jc w:val="center"/>
        <w:rPr>
          <w:sz w:val="24"/>
          <w:szCs w:val="24"/>
        </w:rPr>
      </w:pPr>
      <w:r w:rsidDel="00000000" w:rsidR="00000000" w:rsidRPr="00000000">
        <w:rPr>
          <w:b w:val="1"/>
          <w:sz w:val="20"/>
          <w:szCs w:val="20"/>
          <w:rtl w:val="0"/>
        </w:rPr>
        <w:t xml:space="preserve">Tabela 1:</w:t>
      </w:r>
      <w:r w:rsidDel="00000000" w:rsidR="00000000" w:rsidRPr="00000000">
        <w:rPr>
          <w:sz w:val="20"/>
          <w:szCs w:val="20"/>
          <w:rtl w:val="0"/>
        </w:rPr>
        <w:t xml:space="preserve"> Setores de Maior Exploração</w:t>
      </w:r>
      <w:r w:rsidDel="00000000" w:rsidR="00000000" w:rsidRPr="00000000">
        <w:rPr>
          <w:rtl w:val="0"/>
        </w:rPr>
      </w:r>
    </w:p>
    <w:p w:rsidR="00000000" w:rsidDel="00000000" w:rsidP="00000000" w:rsidRDefault="00000000" w:rsidRPr="00000000" w14:paraId="00000029">
      <w:pPr>
        <w:jc w:val="center"/>
        <w:rPr/>
      </w:pPr>
      <w:r w:rsidDel="00000000" w:rsidR="00000000" w:rsidRPr="00000000">
        <w:rPr>
          <w:rtl w:val="0"/>
        </w:rPr>
      </w:r>
    </w:p>
    <w:tbl>
      <w:tblPr>
        <w:tblStyle w:val="Table1"/>
        <w:tblW w:w="89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60"/>
        <w:gridCol w:w="3675"/>
        <w:gridCol w:w="2790"/>
        <w:tblGridChange w:id="0">
          <w:tblGrid>
            <w:gridCol w:w="2460"/>
            <w:gridCol w:w="3675"/>
            <w:gridCol w:w="2790"/>
          </w:tblGrid>
        </w:tblGridChange>
      </w:tblGrid>
      <w:tr>
        <w:trPr>
          <w:cantSplit w:val="0"/>
          <w:trHeight w:val="690" w:hRule="atLeast"/>
          <w:tblHeader w:val="0"/>
        </w:trPr>
        <w:tc>
          <w:tcPr>
            <w:tcBorders>
              <w:top w:color="000000" w:space="0" w:sz="0" w:val="nil"/>
              <w:left w:color="000000" w:space="0" w:sz="0" w:val="nil"/>
              <w:bottom w:color="bbbbbb" w:space="0" w:sz="5" w:val="single"/>
              <w:right w:color="000000" w:space="0" w:sz="0" w:val="nil"/>
            </w:tcBorders>
            <w:tcMar>
              <w:top w:w="160.0" w:type="dxa"/>
              <w:left w:w="0.0" w:type="dxa"/>
              <w:bottom w:w="160.0" w:type="dxa"/>
              <w:right w:w="160.0" w:type="dxa"/>
            </w:tcMar>
            <w:vAlign w:val="top"/>
          </w:tcPr>
          <w:p w:rsidR="00000000" w:rsidDel="00000000" w:rsidP="00000000" w:rsidRDefault="00000000" w:rsidRPr="00000000" w14:paraId="0000002A">
            <w:pPr>
              <w:spacing w:line="412.8" w:lineRule="auto"/>
              <w:ind w:left="0" w:right="-392.7165354330707" w:firstLine="0"/>
              <w:jc w:val="center"/>
              <w:rPr>
                <w:sz w:val="24"/>
                <w:szCs w:val="24"/>
              </w:rPr>
            </w:pPr>
            <w:r w:rsidDel="00000000" w:rsidR="00000000" w:rsidRPr="00000000">
              <w:rPr>
                <w:b w:val="1"/>
                <w:sz w:val="24"/>
                <w:szCs w:val="24"/>
                <w:rtl w:val="0"/>
              </w:rPr>
              <w:t xml:space="preserve">Atividade</w:t>
            </w:r>
            <w:r w:rsidDel="00000000" w:rsidR="00000000" w:rsidRPr="00000000">
              <w:rPr>
                <w:rtl w:val="0"/>
              </w:rPr>
            </w:r>
          </w:p>
        </w:tc>
        <w:tc>
          <w:tcPr>
            <w:tcBorders>
              <w:top w:color="000000" w:space="0" w:sz="0" w:val="nil"/>
              <w:left w:color="000000" w:space="0" w:sz="0" w:val="nil"/>
              <w:bottom w:color="bbbbbb" w:space="0" w:sz="5" w:val="single"/>
              <w:right w:color="000000" w:space="0" w:sz="0" w:val="nil"/>
            </w:tcBorders>
            <w:tcMar>
              <w:top w:w="160.0" w:type="dxa"/>
              <w:left w:w="160.0" w:type="dxa"/>
              <w:bottom w:w="160.0" w:type="dxa"/>
              <w:right w:w="160.0" w:type="dxa"/>
            </w:tcMar>
            <w:vAlign w:val="top"/>
          </w:tcPr>
          <w:p w:rsidR="00000000" w:rsidDel="00000000" w:rsidP="00000000" w:rsidRDefault="00000000" w:rsidRPr="00000000" w14:paraId="0000002B">
            <w:pPr>
              <w:spacing w:line="412.8" w:lineRule="auto"/>
              <w:ind w:left="0" w:right="-392.7165354330707" w:firstLine="0"/>
              <w:jc w:val="center"/>
              <w:rPr>
                <w:sz w:val="24"/>
                <w:szCs w:val="24"/>
              </w:rPr>
            </w:pPr>
            <w:r w:rsidDel="00000000" w:rsidR="00000000" w:rsidRPr="00000000">
              <w:rPr>
                <w:b w:val="1"/>
                <w:sz w:val="24"/>
                <w:szCs w:val="24"/>
                <w:rtl w:val="0"/>
              </w:rPr>
              <w:t xml:space="preserve">Gênero predominante</w:t>
            </w:r>
            <w:r w:rsidDel="00000000" w:rsidR="00000000" w:rsidRPr="00000000">
              <w:rPr>
                <w:rtl w:val="0"/>
              </w:rPr>
            </w:r>
          </w:p>
        </w:tc>
        <w:tc>
          <w:tcPr>
            <w:tcBorders>
              <w:top w:color="000000" w:space="0" w:sz="0" w:val="nil"/>
              <w:left w:color="000000" w:space="0" w:sz="0" w:val="nil"/>
              <w:bottom w:color="bbbbbb" w:space="0" w:sz="5" w:val="single"/>
              <w:right w:color="000000" w:space="0" w:sz="0" w:val="nil"/>
            </w:tcBorders>
            <w:tcMar>
              <w:top w:w="160.0" w:type="dxa"/>
              <w:left w:w="160.0" w:type="dxa"/>
              <w:bottom w:w="160.0" w:type="dxa"/>
              <w:right w:w="160.0" w:type="dxa"/>
            </w:tcMar>
            <w:vAlign w:val="top"/>
          </w:tcPr>
          <w:p w:rsidR="00000000" w:rsidDel="00000000" w:rsidP="00000000" w:rsidRDefault="00000000" w:rsidRPr="00000000" w14:paraId="0000002C">
            <w:pPr>
              <w:spacing w:line="412.8" w:lineRule="auto"/>
              <w:ind w:left="0" w:right="-392.7165354330707" w:firstLine="0"/>
              <w:jc w:val="center"/>
              <w:rPr>
                <w:sz w:val="24"/>
                <w:szCs w:val="24"/>
              </w:rPr>
            </w:pPr>
            <w:r w:rsidDel="00000000" w:rsidR="00000000" w:rsidRPr="00000000">
              <w:rPr>
                <w:b w:val="1"/>
                <w:sz w:val="24"/>
                <w:szCs w:val="24"/>
                <w:rtl w:val="0"/>
              </w:rPr>
              <w:t xml:space="preserve">Raça predominante</w:t>
            </w:r>
            <w:r w:rsidDel="00000000" w:rsidR="00000000" w:rsidRPr="00000000">
              <w:rPr>
                <w:rtl w:val="0"/>
              </w:rPr>
            </w:r>
          </w:p>
        </w:tc>
      </w:tr>
      <w:tr>
        <w:trPr>
          <w:cantSplit w:val="0"/>
          <w:trHeight w:val="705" w:hRule="atLeast"/>
          <w:tblHeader w:val="0"/>
        </w:trPr>
        <w:tc>
          <w:tcPr>
            <w:tcBorders>
              <w:top w:color="000000" w:space="0" w:sz="0" w:val="nil"/>
              <w:left w:color="000000" w:space="0" w:sz="0" w:val="nil"/>
              <w:bottom w:color="e5e5e5" w:space="0" w:sz="5" w:val="single"/>
              <w:right w:color="000000" w:space="0" w:sz="0" w:val="nil"/>
            </w:tcBorders>
            <w:tcMar>
              <w:top w:w="160.0" w:type="dxa"/>
              <w:left w:w="0.0" w:type="dxa"/>
              <w:bottom w:w="160.0" w:type="dxa"/>
              <w:right w:w="160.0" w:type="dxa"/>
            </w:tcMar>
            <w:vAlign w:val="top"/>
          </w:tcPr>
          <w:p w:rsidR="00000000" w:rsidDel="00000000" w:rsidP="00000000" w:rsidRDefault="00000000" w:rsidRPr="00000000" w14:paraId="0000002D">
            <w:pPr>
              <w:spacing w:line="412.8" w:lineRule="auto"/>
              <w:ind w:left="0" w:right="-392.7165354330707" w:firstLine="0"/>
              <w:jc w:val="center"/>
              <w:rPr>
                <w:sz w:val="24"/>
                <w:szCs w:val="24"/>
              </w:rPr>
            </w:pPr>
            <w:r w:rsidDel="00000000" w:rsidR="00000000" w:rsidRPr="00000000">
              <w:rPr>
                <w:sz w:val="24"/>
                <w:szCs w:val="24"/>
                <w:rtl w:val="0"/>
              </w:rPr>
              <w:t xml:space="preserve">Serviço doméstico</w:t>
            </w:r>
          </w:p>
        </w:tc>
        <w:tc>
          <w:tcPr>
            <w:tcBorders>
              <w:top w:color="000000" w:space="0" w:sz="0" w:val="nil"/>
              <w:left w:color="000000" w:space="0" w:sz="0" w:val="nil"/>
              <w:bottom w:color="e5e5e5" w:space="0" w:sz="5" w:val="single"/>
              <w:right w:color="000000" w:space="0" w:sz="0" w:val="nil"/>
            </w:tcBorders>
            <w:tcMar>
              <w:top w:w="160.0" w:type="dxa"/>
              <w:left w:w="160.0" w:type="dxa"/>
              <w:bottom w:w="160.0" w:type="dxa"/>
              <w:right w:w="160.0" w:type="dxa"/>
            </w:tcMar>
            <w:vAlign w:val="top"/>
          </w:tcPr>
          <w:p w:rsidR="00000000" w:rsidDel="00000000" w:rsidP="00000000" w:rsidRDefault="00000000" w:rsidRPr="00000000" w14:paraId="0000002E">
            <w:pPr>
              <w:spacing w:line="412.8" w:lineRule="auto"/>
              <w:ind w:left="0" w:right="-392.7165354330707" w:firstLine="0"/>
              <w:jc w:val="center"/>
              <w:rPr>
                <w:sz w:val="24"/>
                <w:szCs w:val="24"/>
              </w:rPr>
            </w:pPr>
            <w:r w:rsidDel="00000000" w:rsidR="00000000" w:rsidRPr="00000000">
              <w:rPr>
                <w:sz w:val="24"/>
                <w:szCs w:val="24"/>
                <w:rtl w:val="0"/>
              </w:rPr>
              <w:t xml:space="preserve">Meninas (94%)</w:t>
            </w:r>
          </w:p>
        </w:tc>
        <w:tc>
          <w:tcPr>
            <w:tcBorders>
              <w:top w:color="000000" w:space="0" w:sz="0" w:val="nil"/>
              <w:left w:color="000000" w:space="0" w:sz="0" w:val="nil"/>
              <w:bottom w:color="e5e5e5" w:space="0" w:sz="5" w:val="single"/>
              <w:right w:color="000000" w:space="0" w:sz="0" w:val="nil"/>
            </w:tcBorders>
            <w:tcMar>
              <w:top w:w="160.0" w:type="dxa"/>
              <w:left w:w="160.0" w:type="dxa"/>
              <w:bottom w:w="160.0" w:type="dxa"/>
              <w:right w:w="160.0" w:type="dxa"/>
            </w:tcMar>
            <w:vAlign w:val="top"/>
          </w:tcPr>
          <w:p w:rsidR="00000000" w:rsidDel="00000000" w:rsidP="00000000" w:rsidRDefault="00000000" w:rsidRPr="00000000" w14:paraId="0000002F">
            <w:pPr>
              <w:spacing w:line="412.8" w:lineRule="auto"/>
              <w:ind w:left="0" w:right="-392.7165354330707" w:firstLine="0"/>
              <w:jc w:val="center"/>
              <w:rPr>
                <w:sz w:val="24"/>
                <w:szCs w:val="24"/>
              </w:rPr>
            </w:pPr>
            <w:r w:rsidDel="00000000" w:rsidR="00000000" w:rsidRPr="00000000">
              <w:rPr>
                <w:sz w:val="24"/>
                <w:szCs w:val="24"/>
                <w:rtl w:val="0"/>
              </w:rPr>
              <w:t xml:space="preserve">Negras (87%)</w:t>
            </w:r>
          </w:p>
        </w:tc>
      </w:tr>
      <w:tr>
        <w:trPr>
          <w:cantSplit w:val="0"/>
          <w:trHeight w:val="705" w:hRule="atLeast"/>
          <w:tblHeader w:val="0"/>
        </w:trPr>
        <w:tc>
          <w:tcPr>
            <w:tcBorders>
              <w:top w:color="000000" w:space="0" w:sz="0" w:val="nil"/>
              <w:left w:color="000000" w:space="0" w:sz="0" w:val="nil"/>
              <w:bottom w:color="e5e5e5" w:space="0" w:sz="5" w:val="single"/>
              <w:right w:color="000000" w:space="0" w:sz="0" w:val="nil"/>
            </w:tcBorders>
            <w:tcMar>
              <w:top w:w="160.0" w:type="dxa"/>
              <w:left w:w="0.0" w:type="dxa"/>
              <w:bottom w:w="160.0" w:type="dxa"/>
              <w:right w:w="160.0" w:type="dxa"/>
            </w:tcMar>
            <w:vAlign w:val="top"/>
          </w:tcPr>
          <w:p w:rsidR="00000000" w:rsidDel="00000000" w:rsidP="00000000" w:rsidRDefault="00000000" w:rsidRPr="00000000" w14:paraId="00000030">
            <w:pPr>
              <w:spacing w:line="412.8" w:lineRule="auto"/>
              <w:ind w:left="0" w:right="-392.7165354330707" w:firstLine="0"/>
              <w:jc w:val="center"/>
              <w:rPr>
                <w:sz w:val="24"/>
                <w:szCs w:val="24"/>
              </w:rPr>
            </w:pPr>
            <w:r w:rsidDel="00000000" w:rsidR="00000000" w:rsidRPr="00000000">
              <w:rPr>
                <w:sz w:val="24"/>
                <w:szCs w:val="24"/>
                <w:rtl w:val="0"/>
              </w:rPr>
              <w:t xml:space="preserve">Agricultura familiar</w:t>
            </w:r>
          </w:p>
        </w:tc>
        <w:tc>
          <w:tcPr>
            <w:tcBorders>
              <w:top w:color="000000" w:space="0" w:sz="0" w:val="nil"/>
              <w:left w:color="000000" w:space="0" w:sz="0" w:val="nil"/>
              <w:bottom w:color="e5e5e5" w:space="0" w:sz="5" w:val="single"/>
              <w:right w:color="000000" w:space="0" w:sz="0" w:val="nil"/>
            </w:tcBorders>
            <w:tcMar>
              <w:top w:w="160.0" w:type="dxa"/>
              <w:left w:w="160.0" w:type="dxa"/>
              <w:bottom w:w="160.0" w:type="dxa"/>
              <w:right w:w="160.0" w:type="dxa"/>
            </w:tcMar>
            <w:vAlign w:val="top"/>
          </w:tcPr>
          <w:p w:rsidR="00000000" w:rsidDel="00000000" w:rsidP="00000000" w:rsidRDefault="00000000" w:rsidRPr="00000000" w14:paraId="00000031">
            <w:pPr>
              <w:spacing w:line="412.8" w:lineRule="auto"/>
              <w:ind w:left="0" w:right="-392.7165354330707" w:firstLine="0"/>
              <w:jc w:val="center"/>
              <w:rPr>
                <w:sz w:val="24"/>
                <w:szCs w:val="24"/>
              </w:rPr>
            </w:pPr>
            <w:r w:rsidDel="00000000" w:rsidR="00000000" w:rsidRPr="00000000">
              <w:rPr>
                <w:sz w:val="24"/>
                <w:szCs w:val="24"/>
                <w:rtl w:val="0"/>
              </w:rPr>
              <w:t xml:space="preserve">Meninos (60%)</w:t>
            </w:r>
          </w:p>
        </w:tc>
        <w:tc>
          <w:tcPr>
            <w:tcBorders>
              <w:top w:color="000000" w:space="0" w:sz="0" w:val="nil"/>
              <w:left w:color="000000" w:space="0" w:sz="0" w:val="nil"/>
              <w:bottom w:color="e5e5e5" w:space="0" w:sz="5" w:val="single"/>
              <w:right w:color="000000" w:space="0" w:sz="0" w:val="nil"/>
            </w:tcBorders>
            <w:tcMar>
              <w:top w:w="160.0" w:type="dxa"/>
              <w:left w:w="160.0" w:type="dxa"/>
              <w:bottom w:w="160.0" w:type="dxa"/>
              <w:right w:w="160.0" w:type="dxa"/>
            </w:tcMar>
            <w:vAlign w:val="top"/>
          </w:tcPr>
          <w:p w:rsidR="00000000" w:rsidDel="00000000" w:rsidP="00000000" w:rsidRDefault="00000000" w:rsidRPr="00000000" w14:paraId="00000032">
            <w:pPr>
              <w:spacing w:line="412.8" w:lineRule="auto"/>
              <w:ind w:left="0" w:right="-392.7165354330707" w:firstLine="0"/>
              <w:jc w:val="center"/>
              <w:rPr>
                <w:sz w:val="24"/>
                <w:szCs w:val="24"/>
              </w:rPr>
            </w:pPr>
            <w:r w:rsidDel="00000000" w:rsidR="00000000" w:rsidRPr="00000000">
              <w:rPr>
                <w:sz w:val="24"/>
                <w:szCs w:val="24"/>
                <w:rtl w:val="0"/>
              </w:rPr>
              <w:t xml:space="preserve">Negros (70%)</w:t>
            </w:r>
          </w:p>
        </w:tc>
      </w:tr>
      <w:tr>
        <w:trPr>
          <w:cantSplit w:val="0"/>
          <w:trHeight w:val="705" w:hRule="atLeast"/>
          <w:tblHeader w:val="0"/>
        </w:trPr>
        <w:tc>
          <w:tcPr>
            <w:tcBorders>
              <w:top w:color="000000" w:space="0" w:sz="0" w:val="nil"/>
              <w:left w:color="000000" w:space="0" w:sz="0" w:val="nil"/>
              <w:bottom w:color="e5e5e5" w:space="0" w:sz="5" w:val="single"/>
              <w:right w:color="000000" w:space="0" w:sz="0" w:val="nil"/>
            </w:tcBorders>
            <w:tcMar>
              <w:top w:w="160.0" w:type="dxa"/>
              <w:left w:w="0.0" w:type="dxa"/>
              <w:bottom w:w="160.0" w:type="dxa"/>
              <w:right w:w="160.0" w:type="dxa"/>
            </w:tcMar>
            <w:vAlign w:val="top"/>
          </w:tcPr>
          <w:p w:rsidR="00000000" w:rsidDel="00000000" w:rsidP="00000000" w:rsidRDefault="00000000" w:rsidRPr="00000000" w14:paraId="00000033">
            <w:pPr>
              <w:spacing w:line="412.8" w:lineRule="auto"/>
              <w:ind w:left="0" w:right="-392.7165354330707" w:firstLine="0"/>
              <w:jc w:val="center"/>
              <w:rPr>
                <w:sz w:val="24"/>
                <w:szCs w:val="24"/>
              </w:rPr>
            </w:pPr>
            <w:r w:rsidDel="00000000" w:rsidR="00000000" w:rsidRPr="00000000">
              <w:rPr>
                <w:sz w:val="24"/>
                <w:szCs w:val="24"/>
                <w:rtl w:val="0"/>
              </w:rPr>
              <w:t xml:space="preserve">Comércio informal</w:t>
            </w:r>
          </w:p>
        </w:tc>
        <w:tc>
          <w:tcPr>
            <w:tcBorders>
              <w:top w:color="000000" w:space="0" w:sz="0" w:val="nil"/>
              <w:left w:color="000000" w:space="0" w:sz="0" w:val="nil"/>
              <w:bottom w:color="e5e5e5" w:space="0" w:sz="5" w:val="single"/>
              <w:right w:color="000000" w:space="0" w:sz="0" w:val="nil"/>
            </w:tcBorders>
            <w:tcMar>
              <w:top w:w="160.0" w:type="dxa"/>
              <w:left w:w="160.0" w:type="dxa"/>
              <w:bottom w:w="160.0" w:type="dxa"/>
              <w:right w:w="160.0" w:type="dxa"/>
            </w:tcMar>
            <w:vAlign w:val="top"/>
          </w:tcPr>
          <w:p w:rsidR="00000000" w:rsidDel="00000000" w:rsidP="00000000" w:rsidRDefault="00000000" w:rsidRPr="00000000" w14:paraId="00000034">
            <w:pPr>
              <w:spacing w:line="412.8" w:lineRule="auto"/>
              <w:ind w:left="0" w:right="-392.7165354330707" w:firstLine="0"/>
              <w:jc w:val="center"/>
              <w:rPr>
                <w:sz w:val="24"/>
                <w:szCs w:val="24"/>
              </w:rPr>
            </w:pPr>
            <w:r w:rsidDel="00000000" w:rsidR="00000000" w:rsidRPr="00000000">
              <w:rPr>
                <w:sz w:val="24"/>
                <w:szCs w:val="24"/>
                <w:rtl w:val="0"/>
              </w:rPr>
              <w:t xml:space="preserve">Ambos (52% meninos)</w:t>
            </w:r>
          </w:p>
        </w:tc>
        <w:tc>
          <w:tcPr>
            <w:tcBorders>
              <w:top w:color="000000" w:space="0" w:sz="0" w:val="nil"/>
              <w:left w:color="000000" w:space="0" w:sz="0" w:val="nil"/>
              <w:bottom w:color="e5e5e5" w:space="0" w:sz="5" w:val="single"/>
              <w:right w:color="000000" w:space="0" w:sz="0" w:val="nil"/>
            </w:tcBorders>
            <w:tcMar>
              <w:top w:w="160.0" w:type="dxa"/>
              <w:left w:w="160.0" w:type="dxa"/>
              <w:bottom w:w="160.0" w:type="dxa"/>
              <w:right w:w="160.0" w:type="dxa"/>
            </w:tcMar>
            <w:vAlign w:val="top"/>
          </w:tcPr>
          <w:p w:rsidR="00000000" w:rsidDel="00000000" w:rsidP="00000000" w:rsidRDefault="00000000" w:rsidRPr="00000000" w14:paraId="00000035">
            <w:pPr>
              <w:spacing w:line="412.8" w:lineRule="auto"/>
              <w:ind w:left="0" w:right="-392.7165354330707" w:firstLine="0"/>
              <w:jc w:val="center"/>
              <w:rPr>
                <w:sz w:val="24"/>
                <w:szCs w:val="24"/>
              </w:rPr>
            </w:pPr>
            <w:r w:rsidDel="00000000" w:rsidR="00000000" w:rsidRPr="00000000">
              <w:rPr>
                <w:sz w:val="24"/>
                <w:szCs w:val="24"/>
                <w:rtl w:val="0"/>
              </w:rPr>
              <w:t xml:space="preserve">Negros (65%)</w:t>
            </w:r>
          </w:p>
        </w:tc>
      </w:tr>
      <w:tr>
        <w:trPr>
          <w:cantSplit w:val="0"/>
          <w:trHeight w:val="705" w:hRule="atLeast"/>
          <w:tblHeader w:val="0"/>
        </w:trPr>
        <w:tc>
          <w:tcPr>
            <w:tcBorders>
              <w:top w:color="000000" w:space="0" w:sz="0" w:val="nil"/>
              <w:left w:color="000000" w:space="0" w:sz="0" w:val="nil"/>
              <w:bottom w:color="e5e5e5" w:space="0" w:sz="5" w:val="single"/>
              <w:right w:color="000000" w:space="0" w:sz="0" w:val="nil"/>
            </w:tcBorders>
            <w:tcMar>
              <w:top w:w="160.0" w:type="dxa"/>
              <w:left w:w="0.0" w:type="dxa"/>
              <w:bottom w:w="160.0" w:type="dxa"/>
              <w:right w:w="160.0" w:type="dxa"/>
            </w:tcMar>
            <w:vAlign w:val="top"/>
          </w:tcPr>
          <w:p w:rsidR="00000000" w:rsidDel="00000000" w:rsidP="00000000" w:rsidRDefault="00000000" w:rsidRPr="00000000" w14:paraId="00000036">
            <w:pPr>
              <w:spacing w:line="412.8" w:lineRule="auto"/>
              <w:ind w:left="0" w:right="-392.7165354330707" w:firstLine="0"/>
              <w:jc w:val="center"/>
              <w:rPr>
                <w:sz w:val="24"/>
                <w:szCs w:val="24"/>
              </w:rPr>
            </w:pPr>
            <w:r w:rsidDel="00000000" w:rsidR="00000000" w:rsidRPr="00000000">
              <w:rPr>
                <w:sz w:val="24"/>
                <w:szCs w:val="24"/>
                <w:rtl w:val="0"/>
              </w:rPr>
              <w:t xml:space="preserve">Lixões/reciclagem</w:t>
            </w:r>
          </w:p>
        </w:tc>
        <w:tc>
          <w:tcPr>
            <w:tcBorders>
              <w:top w:color="000000" w:space="0" w:sz="0" w:val="nil"/>
              <w:left w:color="000000" w:space="0" w:sz="0" w:val="nil"/>
              <w:bottom w:color="e5e5e5" w:space="0" w:sz="5" w:val="single"/>
              <w:right w:color="000000" w:space="0" w:sz="0" w:val="nil"/>
            </w:tcBorders>
            <w:tcMar>
              <w:top w:w="160.0" w:type="dxa"/>
              <w:left w:w="160.0" w:type="dxa"/>
              <w:bottom w:w="160.0" w:type="dxa"/>
              <w:right w:w="160.0" w:type="dxa"/>
            </w:tcMar>
            <w:vAlign w:val="top"/>
          </w:tcPr>
          <w:p w:rsidR="00000000" w:rsidDel="00000000" w:rsidP="00000000" w:rsidRDefault="00000000" w:rsidRPr="00000000" w14:paraId="00000037">
            <w:pPr>
              <w:spacing w:line="412.8" w:lineRule="auto"/>
              <w:ind w:left="0" w:right="-392.7165354330707" w:firstLine="0"/>
              <w:jc w:val="center"/>
              <w:rPr>
                <w:sz w:val="24"/>
                <w:szCs w:val="24"/>
              </w:rPr>
            </w:pPr>
            <w:r w:rsidDel="00000000" w:rsidR="00000000" w:rsidRPr="00000000">
              <w:rPr>
                <w:sz w:val="24"/>
                <w:szCs w:val="24"/>
                <w:rtl w:val="0"/>
              </w:rPr>
              <w:t xml:space="preserve">Meninos (75%)</w:t>
            </w:r>
          </w:p>
        </w:tc>
        <w:tc>
          <w:tcPr>
            <w:tcBorders>
              <w:top w:color="000000" w:space="0" w:sz="0" w:val="nil"/>
              <w:left w:color="000000" w:space="0" w:sz="0" w:val="nil"/>
              <w:bottom w:color="e5e5e5" w:space="0" w:sz="5" w:val="single"/>
              <w:right w:color="000000" w:space="0" w:sz="0" w:val="nil"/>
            </w:tcBorders>
            <w:tcMar>
              <w:top w:w="160.0" w:type="dxa"/>
              <w:left w:w="160.0" w:type="dxa"/>
              <w:bottom w:w="160.0" w:type="dxa"/>
              <w:right w:w="160.0" w:type="dxa"/>
            </w:tcMar>
            <w:vAlign w:val="top"/>
          </w:tcPr>
          <w:p w:rsidR="00000000" w:rsidDel="00000000" w:rsidP="00000000" w:rsidRDefault="00000000" w:rsidRPr="00000000" w14:paraId="00000038">
            <w:pPr>
              <w:spacing w:line="412.8" w:lineRule="auto"/>
              <w:ind w:left="0" w:right="-392.7165354330707" w:firstLine="0"/>
              <w:jc w:val="center"/>
              <w:rPr>
                <w:sz w:val="24"/>
                <w:szCs w:val="24"/>
              </w:rPr>
            </w:pPr>
            <w:r w:rsidDel="00000000" w:rsidR="00000000" w:rsidRPr="00000000">
              <w:rPr>
                <w:sz w:val="24"/>
                <w:szCs w:val="24"/>
                <w:rtl w:val="0"/>
              </w:rPr>
              <w:t xml:space="preserve">Negros (80%)</w:t>
            </w:r>
          </w:p>
        </w:tc>
      </w:tr>
    </w:tbl>
    <w:p w:rsidR="00000000" w:rsidDel="00000000" w:rsidP="00000000" w:rsidRDefault="00000000" w:rsidRPr="00000000" w14:paraId="00000039">
      <w:pPr>
        <w:pStyle w:val="Heading2"/>
        <w:spacing w:after="200" w:before="0" w:line="360" w:lineRule="auto"/>
        <w:jc w:val="center"/>
        <w:rPr/>
      </w:pPr>
      <w:bookmarkStart w:colFirst="0" w:colLast="0" w:name="_vzumhh8xlhwl" w:id="4"/>
      <w:bookmarkEnd w:id="4"/>
      <w:r w:rsidDel="00000000" w:rsidR="00000000" w:rsidRPr="00000000">
        <w:rPr>
          <w:b w:val="1"/>
          <w:sz w:val="20"/>
          <w:szCs w:val="20"/>
          <w:rtl w:val="0"/>
        </w:rPr>
        <w:t xml:space="preserve">Fonte:</w:t>
      </w:r>
      <w:r w:rsidDel="00000000" w:rsidR="00000000" w:rsidRPr="00000000">
        <w:rPr>
          <w:sz w:val="20"/>
          <w:szCs w:val="20"/>
          <w:rtl w:val="0"/>
        </w:rPr>
        <w:t xml:space="preserve"> IBGE (2022), OIT (2023).</w:t>
      </w:r>
      <w:r w:rsidDel="00000000" w:rsidR="00000000" w:rsidRPr="00000000">
        <w:rPr>
          <w:rtl w:val="0"/>
        </w:rPr>
      </w:r>
    </w:p>
    <w:p w:rsidR="00000000" w:rsidDel="00000000" w:rsidP="00000000" w:rsidRDefault="00000000" w:rsidRPr="00000000" w14:paraId="0000003A">
      <w:pPr>
        <w:pStyle w:val="Heading2"/>
        <w:spacing w:after="0" w:before="0" w:line="360" w:lineRule="auto"/>
        <w:ind w:firstLine="850.3937007874017"/>
        <w:jc w:val="both"/>
        <w:rPr>
          <w:sz w:val="24"/>
          <w:szCs w:val="24"/>
        </w:rPr>
      </w:pPr>
      <w:bookmarkStart w:colFirst="0" w:colLast="0" w:name="_bj157wt7ju09" w:id="5"/>
      <w:bookmarkEnd w:id="5"/>
      <w:r w:rsidDel="00000000" w:rsidR="00000000" w:rsidRPr="00000000">
        <w:rPr>
          <w:sz w:val="24"/>
          <w:szCs w:val="24"/>
          <w:rtl w:val="0"/>
        </w:rPr>
        <w:t xml:space="preserve">Os dados confirmam que o trabalho infantil no Brasil é racializado, regionalizado e generificado. A naturalização do trabalho doméstico infantil reflete heranças escravistas, em que meninas negras são vistas como "cuidadores naturais" (Collins, 2019). A reforma trabalhista (2017) e o desmonte de políticas sociais </w:t>
      </w:r>
      <w:r w:rsidDel="00000000" w:rsidR="00000000" w:rsidRPr="00000000">
        <w:rPr>
          <w:sz w:val="24"/>
          <w:szCs w:val="24"/>
          <w:rtl w:val="0"/>
        </w:rPr>
        <w:t xml:space="preserve">agravaram</w:t>
      </w:r>
      <w:r w:rsidDel="00000000" w:rsidR="00000000" w:rsidRPr="00000000">
        <w:rPr>
          <w:sz w:val="24"/>
          <w:szCs w:val="24"/>
          <w:rtl w:val="0"/>
        </w:rPr>
        <w:t xml:space="preserve"> a vulnerabilidade dessas crianças. Esta naturalização como "formação para a vida" ou "ajuda à família" </w:t>
      </w:r>
      <w:r w:rsidDel="00000000" w:rsidR="00000000" w:rsidRPr="00000000">
        <w:rPr>
          <w:sz w:val="24"/>
          <w:szCs w:val="24"/>
          <w:rtl w:val="0"/>
        </w:rPr>
        <w:t xml:space="preserve">mascara</w:t>
      </w:r>
      <w:r w:rsidDel="00000000" w:rsidR="00000000" w:rsidRPr="00000000">
        <w:rPr>
          <w:sz w:val="24"/>
          <w:szCs w:val="24"/>
          <w:rtl w:val="0"/>
        </w:rPr>
        <w:t xml:space="preserve"> sua verdadeira natureza de violação de direitos fundamentais, conforme alerta Rizzini (2013) ao denunciar que "[...] as instituições que deveriam proteger as crianças frequentemente reproduzem a lógica da senzala, utilizando mão de obra infantil negra em jornadas exaustivas".</w:t>
      </w:r>
    </w:p>
    <w:p w:rsidR="00000000" w:rsidDel="00000000" w:rsidP="00000000" w:rsidRDefault="00000000" w:rsidRPr="00000000" w14:paraId="0000003B">
      <w:pPr>
        <w:spacing w:line="360" w:lineRule="auto"/>
        <w:jc w:val="both"/>
        <w:rPr>
          <w:sz w:val="24"/>
          <w:szCs w:val="24"/>
        </w:rPr>
      </w:pPr>
      <w:r w:rsidDel="00000000" w:rsidR="00000000" w:rsidRPr="00000000">
        <w:rPr>
          <w:rtl w:val="0"/>
        </w:rPr>
        <w:tab/>
      </w:r>
      <w:r w:rsidDel="00000000" w:rsidR="00000000" w:rsidRPr="00000000">
        <w:rPr>
          <w:sz w:val="24"/>
          <w:szCs w:val="24"/>
          <w:rtl w:val="0"/>
        </w:rPr>
        <w:t xml:space="preserve">Embora os mecanismos legais não sejam suficientes para romper com a lógica de exploração e dominação presente na sociedade, eles ainda se configuram como avanços significativos na busca de uma nova ordem societária em que o “ser criança” seja suficiente para a sociedade e para eles mesmos. Essa busca deve ser uma luta conjunta e contínua, afinal, a infância é um direito e o seu resguardo é um dever urgente em nossa sociedade.  </w:t>
      </w:r>
    </w:p>
    <w:p w:rsidR="00000000" w:rsidDel="00000000" w:rsidP="00000000" w:rsidRDefault="00000000" w:rsidRPr="00000000" w14:paraId="0000003C">
      <w:pPr>
        <w:pStyle w:val="Heading2"/>
        <w:numPr>
          <w:ilvl w:val="0"/>
          <w:numId w:val="1"/>
        </w:numPr>
        <w:spacing w:after="240" w:before="240" w:line="360" w:lineRule="auto"/>
        <w:ind w:left="720" w:hanging="360"/>
        <w:jc w:val="both"/>
        <w:rPr>
          <w:b w:val="1"/>
          <w:sz w:val="24"/>
          <w:szCs w:val="24"/>
          <w:u w:val="none"/>
        </w:rPr>
      </w:pPr>
      <w:bookmarkStart w:colFirst="0" w:colLast="0" w:name="_dn0bohswebhn" w:id="6"/>
      <w:bookmarkEnd w:id="6"/>
      <w:r w:rsidDel="00000000" w:rsidR="00000000" w:rsidRPr="00000000">
        <w:rPr>
          <w:b w:val="1"/>
          <w:sz w:val="24"/>
          <w:szCs w:val="24"/>
          <w:rtl w:val="0"/>
        </w:rPr>
        <w:t xml:space="preserve">CONCLUSÃO</w:t>
      </w:r>
      <w:r w:rsidDel="00000000" w:rsidR="00000000" w:rsidRPr="00000000">
        <w:rPr>
          <w:rtl w:val="0"/>
        </w:rPr>
      </w:r>
    </w:p>
    <w:p w:rsidR="00000000" w:rsidDel="00000000" w:rsidP="00000000" w:rsidRDefault="00000000" w:rsidRPr="00000000" w14:paraId="0000003D">
      <w:pPr>
        <w:spacing w:after="0" w:before="0" w:line="360" w:lineRule="auto"/>
        <w:ind w:firstLine="700"/>
        <w:jc w:val="both"/>
        <w:rPr>
          <w:sz w:val="24"/>
          <w:szCs w:val="24"/>
        </w:rPr>
      </w:pPr>
      <w:r w:rsidDel="00000000" w:rsidR="00000000" w:rsidRPr="00000000">
        <w:rPr>
          <w:sz w:val="24"/>
          <w:szCs w:val="24"/>
          <w:rtl w:val="0"/>
        </w:rPr>
        <w:t xml:space="preserve">O trabalho infantil no Brasil é produto do racismo estrutural e da divisão sexual do trabalho, com raízes na escravidão e continuidade nas políticas de controle social. Meninas negras seguem sendo as mais afetadas. A seletividade no tocante ao resguardo da infância é um desafio contínuo, uma vez que o modelo vigente atribui a determinados corpos o dever de brincar (inf</w:t>
      </w:r>
      <w:r w:rsidDel="00000000" w:rsidR="00000000" w:rsidRPr="00000000">
        <w:rPr>
          <w:sz w:val="24"/>
          <w:szCs w:val="24"/>
          <w:rtl w:val="0"/>
        </w:rPr>
        <w:t xml:space="preserve">ância branca)</w:t>
      </w:r>
      <w:r w:rsidDel="00000000" w:rsidR="00000000" w:rsidRPr="00000000">
        <w:rPr>
          <w:sz w:val="24"/>
          <w:szCs w:val="24"/>
          <w:rtl w:val="0"/>
        </w:rPr>
        <w:t xml:space="preserve"> e trabalhar (inf</w:t>
      </w:r>
      <w:r w:rsidDel="00000000" w:rsidR="00000000" w:rsidRPr="00000000">
        <w:rPr>
          <w:sz w:val="24"/>
          <w:szCs w:val="24"/>
          <w:rtl w:val="0"/>
        </w:rPr>
        <w:t xml:space="preserve">ância negra)</w:t>
      </w:r>
      <w:r w:rsidDel="00000000" w:rsidR="00000000" w:rsidRPr="00000000">
        <w:rPr>
          <w:sz w:val="24"/>
          <w:szCs w:val="24"/>
          <w:rtl w:val="0"/>
        </w:rPr>
        <w:t xml:space="preserve">. O racismo e o sexismo tem condicionado sistematicamente corpos negros infantis em cascas vazias que não tem direto a nada, nem mesmo o de existir. </w:t>
      </w:r>
    </w:p>
    <w:p w:rsidR="00000000" w:rsidDel="00000000" w:rsidP="00000000" w:rsidRDefault="00000000" w:rsidRPr="00000000" w14:paraId="0000003E">
      <w:pPr>
        <w:spacing w:after="0" w:before="0" w:line="360" w:lineRule="auto"/>
        <w:ind w:firstLine="700"/>
        <w:jc w:val="both"/>
        <w:rPr>
          <w:b w:val="1"/>
          <w:sz w:val="24"/>
          <w:szCs w:val="24"/>
        </w:rPr>
      </w:pPr>
      <w:r w:rsidDel="00000000" w:rsidR="00000000" w:rsidRPr="00000000">
        <w:rPr>
          <w:sz w:val="24"/>
          <w:szCs w:val="24"/>
          <w:rtl w:val="0"/>
        </w:rPr>
        <w:t xml:space="preserve">Não basta criminalizar a prática - é preciso atacar suas raízes estruturais, implementando políticas públicas que visem eliminar as opressões no to</w:t>
      </w:r>
      <w:r w:rsidDel="00000000" w:rsidR="00000000" w:rsidRPr="00000000">
        <w:rPr>
          <w:sz w:val="24"/>
          <w:szCs w:val="24"/>
          <w:rtl w:val="0"/>
        </w:rPr>
        <w:t xml:space="preserve">cante</w:t>
      </w:r>
      <w:r w:rsidDel="00000000" w:rsidR="00000000" w:rsidRPr="00000000">
        <w:rPr>
          <w:sz w:val="24"/>
          <w:szCs w:val="24"/>
          <w:rtl w:val="0"/>
        </w:rPr>
        <w:t xml:space="preserve"> às intersecções de gênero, raça, classe, sexualidade, território e qualquer outro utilizado para subalternização. Como propõe Collins (2019), "[...] a compreensão das opressões entrelaçadas é fundamental para a construção de alternativas emancipatórias". O direito à infância, como bem definiu Eurico (2020, p. 73), deve ser compreendido como "[...] um direito humano fundamental e inerente a todas as crianças", sem distinção de raça, gênero ou classe social - condição essencial para a construção de uma sociedade verdadeiramente democrática, igualit</w:t>
      </w:r>
      <w:r w:rsidDel="00000000" w:rsidR="00000000" w:rsidRPr="00000000">
        <w:rPr>
          <w:sz w:val="24"/>
          <w:szCs w:val="24"/>
          <w:rtl w:val="0"/>
        </w:rPr>
        <w:t xml:space="preserve">ária</w:t>
      </w:r>
      <w:r w:rsidDel="00000000" w:rsidR="00000000" w:rsidRPr="00000000">
        <w:rPr>
          <w:sz w:val="24"/>
          <w:szCs w:val="24"/>
          <w:rtl w:val="0"/>
        </w:rPr>
        <w:t xml:space="preserve"> e justa.</w:t>
      </w:r>
      <w:r w:rsidDel="00000000" w:rsidR="00000000" w:rsidRPr="00000000">
        <w:rPr>
          <w:b w:val="1"/>
          <w:sz w:val="24"/>
          <w:szCs w:val="24"/>
          <w:rtl w:val="0"/>
        </w:rPr>
        <w:t xml:space="preserve"> </w:t>
      </w:r>
    </w:p>
    <w:p w:rsidR="00000000" w:rsidDel="00000000" w:rsidP="00000000" w:rsidRDefault="00000000" w:rsidRPr="00000000" w14:paraId="0000003F">
      <w:pPr>
        <w:pStyle w:val="Heading2"/>
        <w:numPr>
          <w:ilvl w:val="0"/>
          <w:numId w:val="1"/>
        </w:numPr>
        <w:spacing w:after="240" w:before="240" w:line="360" w:lineRule="auto"/>
        <w:ind w:left="720" w:hanging="360"/>
        <w:rPr>
          <w:b w:val="1"/>
          <w:sz w:val="24"/>
          <w:szCs w:val="24"/>
          <w:u w:val="none"/>
        </w:rPr>
      </w:pPr>
      <w:bookmarkStart w:colFirst="0" w:colLast="0" w:name="_wiucp9qbqpb8" w:id="7"/>
      <w:bookmarkEnd w:id="7"/>
      <w:r w:rsidDel="00000000" w:rsidR="00000000" w:rsidRPr="00000000">
        <w:rPr>
          <w:b w:val="1"/>
          <w:sz w:val="24"/>
          <w:szCs w:val="24"/>
          <w:rtl w:val="0"/>
        </w:rPr>
        <w:t xml:space="preserve">REFERÊNCIAS </w:t>
      </w:r>
    </w:p>
    <w:p w:rsidR="00000000" w:rsidDel="00000000" w:rsidP="00000000" w:rsidRDefault="00000000" w:rsidRPr="00000000" w14:paraId="00000040">
      <w:pPr>
        <w:spacing w:after="0" w:before="0" w:line="240" w:lineRule="auto"/>
        <w:rPr>
          <w:sz w:val="24"/>
          <w:szCs w:val="24"/>
        </w:rPr>
      </w:pPr>
      <w:r w:rsidDel="00000000" w:rsidR="00000000" w:rsidRPr="00000000">
        <w:rPr>
          <w:sz w:val="24"/>
          <w:szCs w:val="24"/>
          <w:rtl w:val="0"/>
        </w:rPr>
        <w:t xml:space="preserve">BRASIL. </w:t>
      </w:r>
      <w:r w:rsidDel="00000000" w:rsidR="00000000" w:rsidRPr="00000000">
        <w:rPr>
          <w:b w:val="1"/>
          <w:sz w:val="24"/>
          <w:szCs w:val="24"/>
          <w:rtl w:val="0"/>
        </w:rPr>
        <w:t xml:space="preserve">Constituição da República Federativa do Brasil.</w:t>
      </w:r>
      <w:r w:rsidDel="00000000" w:rsidR="00000000" w:rsidRPr="00000000">
        <w:rPr>
          <w:sz w:val="24"/>
          <w:szCs w:val="24"/>
          <w:rtl w:val="0"/>
        </w:rPr>
        <w:t xml:space="preserve"> São Paulo: Edição Revista dos Tribunais, 1988.</w:t>
      </w:r>
    </w:p>
    <w:p w:rsidR="00000000" w:rsidDel="00000000" w:rsidP="00000000" w:rsidRDefault="00000000" w:rsidRPr="00000000" w14:paraId="00000041">
      <w:pPr>
        <w:spacing w:after="0" w:before="0" w:line="240" w:lineRule="auto"/>
        <w:rPr>
          <w:sz w:val="24"/>
          <w:szCs w:val="24"/>
        </w:rPr>
      </w:pPr>
      <w:r w:rsidDel="00000000" w:rsidR="00000000" w:rsidRPr="00000000">
        <w:rPr>
          <w:rtl w:val="0"/>
        </w:rPr>
      </w:r>
    </w:p>
    <w:p w:rsidR="00000000" w:rsidDel="00000000" w:rsidP="00000000" w:rsidRDefault="00000000" w:rsidRPr="00000000" w14:paraId="00000042">
      <w:pPr>
        <w:spacing w:after="0" w:before="0" w:line="240" w:lineRule="auto"/>
        <w:rPr>
          <w:sz w:val="24"/>
          <w:szCs w:val="24"/>
        </w:rPr>
      </w:pPr>
      <w:r w:rsidDel="00000000" w:rsidR="00000000" w:rsidRPr="00000000">
        <w:rPr>
          <w:sz w:val="24"/>
          <w:szCs w:val="24"/>
          <w:rtl w:val="0"/>
        </w:rPr>
        <w:t xml:space="preserve">____________. </w:t>
      </w:r>
      <w:r w:rsidDel="00000000" w:rsidR="00000000" w:rsidRPr="00000000">
        <w:rPr>
          <w:b w:val="1"/>
          <w:sz w:val="24"/>
          <w:szCs w:val="24"/>
          <w:rtl w:val="0"/>
        </w:rPr>
        <w:t xml:space="preserve">Decreto no 847, de 11 de outubro de 1890. </w:t>
      </w:r>
      <w:r w:rsidDel="00000000" w:rsidR="00000000" w:rsidRPr="00000000">
        <w:rPr>
          <w:sz w:val="24"/>
          <w:szCs w:val="24"/>
          <w:rtl w:val="0"/>
        </w:rPr>
        <w:t xml:space="preserve">Promulga o Código Penal. Disponível em: https://www2.camara.leg.br/legin/fed/decret/1824-1899/decreto-847-11-outubro-1890-503086-publicacaooriginal-1-pe.html. Acesso em: 04 de Jun de 2025.</w:t>
      </w:r>
    </w:p>
    <w:p w:rsidR="00000000" w:rsidDel="00000000" w:rsidP="00000000" w:rsidRDefault="00000000" w:rsidRPr="00000000" w14:paraId="00000043">
      <w:pPr>
        <w:spacing w:after="0" w:before="0" w:line="240" w:lineRule="auto"/>
        <w:rPr>
          <w:sz w:val="24"/>
          <w:szCs w:val="24"/>
        </w:rPr>
      </w:pPr>
      <w:r w:rsidDel="00000000" w:rsidR="00000000" w:rsidRPr="00000000">
        <w:rPr>
          <w:rtl w:val="0"/>
        </w:rPr>
      </w:r>
    </w:p>
    <w:p w:rsidR="00000000" w:rsidDel="00000000" w:rsidP="00000000" w:rsidRDefault="00000000" w:rsidRPr="00000000" w14:paraId="00000044">
      <w:pPr>
        <w:spacing w:after="0" w:before="0" w:line="240" w:lineRule="auto"/>
        <w:rPr>
          <w:sz w:val="24"/>
          <w:szCs w:val="24"/>
        </w:rPr>
      </w:pPr>
      <w:r w:rsidDel="00000000" w:rsidR="00000000" w:rsidRPr="00000000">
        <w:rPr>
          <w:sz w:val="24"/>
          <w:szCs w:val="24"/>
          <w:rtl w:val="0"/>
        </w:rPr>
        <w:t xml:space="preserve">____________. </w:t>
      </w:r>
      <w:r w:rsidDel="00000000" w:rsidR="00000000" w:rsidRPr="00000000">
        <w:rPr>
          <w:b w:val="1"/>
          <w:sz w:val="24"/>
          <w:szCs w:val="24"/>
          <w:rtl w:val="0"/>
        </w:rPr>
        <w:t xml:space="preserve">Decreto no 1.331-A, de 17 de fevereiro de 1854.</w:t>
      </w:r>
      <w:r w:rsidDel="00000000" w:rsidR="00000000" w:rsidRPr="00000000">
        <w:rPr>
          <w:sz w:val="24"/>
          <w:szCs w:val="24"/>
          <w:rtl w:val="0"/>
        </w:rPr>
        <w:t xml:space="preserve"> Approva o regulamento para a reforma do ensino primario e secundario do municipio da côrte. Coleção de Leis do Império do Brasil, v. 1, p. 45, 1854.</w:t>
      </w:r>
    </w:p>
    <w:p w:rsidR="00000000" w:rsidDel="00000000" w:rsidP="00000000" w:rsidRDefault="00000000" w:rsidRPr="00000000" w14:paraId="00000045">
      <w:pPr>
        <w:spacing w:after="0" w:before="0" w:line="240" w:lineRule="auto"/>
        <w:rPr>
          <w:sz w:val="24"/>
          <w:szCs w:val="24"/>
        </w:rPr>
      </w:pPr>
      <w:r w:rsidDel="00000000" w:rsidR="00000000" w:rsidRPr="00000000">
        <w:rPr>
          <w:rtl w:val="0"/>
        </w:rPr>
      </w:r>
    </w:p>
    <w:p w:rsidR="00000000" w:rsidDel="00000000" w:rsidP="00000000" w:rsidRDefault="00000000" w:rsidRPr="00000000" w14:paraId="00000046">
      <w:pPr>
        <w:spacing w:after="0" w:before="0" w:line="240" w:lineRule="auto"/>
        <w:rPr>
          <w:sz w:val="24"/>
          <w:szCs w:val="24"/>
        </w:rPr>
      </w:pPr>
      <w:r w:rsidDel="00000000" w:rsidR="00000000" w:rsidRPr="00000000">
        <w:rPr>
          <w:sz w:val="24"/>
          <w:szCs w:val="24"/>
          <w:rtl w:val="0"/>
        </w:rPr>
        <w:t xml:space="preserve">____________. </w:t>
      </w:r>
      <w:r w:rsidDel="00000000" w:rsidR="00000000" w:rsidRPr="00000000">
        <w:rPr>
          <w:b w:val="1"/>
          <w:sz w:val="24"/>
          <w:szCs w:val="24"/>
          <w:rtl w:val="0"/>
        </w:rPr>
        <w:t xml:space="preserve">Lei 8.069 (Estatuto da Criança e do Adolescente)</w:t>
      </w:r>
      <w:r w:rsidDel="00000000" w:rsidR="00000000" w:rsidRPr="00000000">
        <w:rPr>
          <w:sz w:val="24"/>
          <w:szCs w:val="24"/>
          <w:rtl w:val="0"/>
        </w:rPr>
        <w:t xml:space="preserve">, de 13 de julho de 1990. D.O.U. de 16 de julho de 1990.</w:t>
      </w:r>
    </w:p>
    <w:p w:rsidR="00000000" w:rsidDel="00000000" w:rsidP="00000000" w:rsidRDefault="00000000" w:rsidRPr="00000000" w14:paraId="00000047">
      <w:pPr>
        <w:spacing w:after="0" w:before="0" w:line="240" w:lineRule="auto"/>
        <w:rPr>
          <w:sz w:val="24"/>
          <w:szCs w:val="24"/>
        </w:rPr>
      </w:pPr>
      <w:r w:rsidDel="00000000" w:rsidR="00000000" w:rsidRPr="00000000">
        <w:rPr>
          <w:rtl w:val="0"/>
        </w:rPr>
      </w:r>
    </w:p>
    <w:p w:rsidR="00000000" w:rsidDel="00000000" w:rsidP="00000000" w:rsidRDefault="00000000" w:rsidRPr="00000000" w14:paraId="00000048">
      <w:pPr>
        <w:spacing w:after="0" w:before="0" w:line="240" w:lineRule="auto"/>
        <w:rPr>
          <w:sz w:val="24"/>
          <w:szCs w:val="24"/>
        </w:rPr>
      </w:pPr>
      <w:r w:rsidDel="00000000" w:rsidR="00000000" w:rsidRPr="00000000">
        <w:rPr>
          <w:sz w:val="24"/>
          <w:szCs w:val="24"/>
          <w:rtl w:val="0"/>
        </w:rPr>
        <w:t xml:space="preserve">____________. </w:t>
      </w:r>
      <w:r w:rsidDel="00000000" w:rsidR="00000000" w:rsidRPr="00000000">
        <w:rPr>
          <w:b w:val="1"/>
          <w:sz w:val="24"/>
          <w:szCs w:val="24"/>
          <w:rtl w:val="0"/>
        </w:rPr>
        <w:t xml:space="preserve">LEI Nº 2040 (LEI DO VENTRE LIVRE)</w:t>
      </w:r>
      <w:r w:rsidDel="00000000" w:rsidR="00000000" w:rsidRPr="00000000">
        <w:rPr>
          <w:sz w:val="24"/>
          <w:szCs w:val="24"/>
          <w:rtl w:val="0"/>
        </w:rPr>
        <w:t xml:space="preserve">, de 28 de Setembro de 1871.</w:t>
      </w:r>
    </w:p>
    <w:p w:rsidR="00000000" w:rsidDel="00000000" w:rsidP="00000000" w:rsidRDefault="00000000" w:rsidRPr="00000000" w14:paraId="00000049">
      <w:pPr>
        <w:spacing w:after="0" w:before="0" w:line="240" w:lineRule="auto"/>
        <w:rPr>
          <w:sz w:val="24"/>
          <w:szCs w:val="24"/>
        </w:rPr>
      </w:pPr>
      <w:r w:rsidDel="00000000" w:rsidR="00000000" w:rsidRPr="00000000">
        <w:rPr>
          <w:rtl w:val="0"/>
        </w:rPr>
      </w:r>
    </w:p>
    <w:p w:rsidR="00000000" w:rsidDel="00000000" w:rsidP="00000000" w:rsidRDefault="00000000" w:rsidRPr="00000000" w14:paraId="0000004A">
      <w:pPr>
        <w:spacing w:after="0" w:before="0" w:line="240" w:lineRule="auto"/>
        <w:rPr>
          <w:sz w:val="24"/>
          <w:szCs w:val="24"/>
        </w:rPr>
      </w:pPr>
      <w:r w:rsidDel="00000000" w:rsidR="00000000" w:rsidRPr="00000000">
        <w:rPr>
          <w:sz w:val="24"/>
          <w:szCs w:val="24"/>
          <w:rtl w:val="0"/>
        </w:rPr>
        <w:t xml:space="preserve">COLLINS, P. H. </w:t>
      </w:r>
      <w:r w:rsidDel="00000000" w:rsidR="00000000" w:rsidRPr="00000000">
        <w:rPr>
          <w:b w:val="1"/>
          <w:sz w:val="24"/>
          <w:szCs w:val="24"/>
          <w:rtl w:val="0"/>
        </w:rPr>
        <w:t xml:space="preserve">Pensamento feminista negro.</w:t>
      </w:r>
      <w:r w:rsidDel="00000000" w:rsidR="00000000" w:rsidRPr="00000000">
        <w:rPr>
          <w:sz w:val="24"/>
          <w:szCs w:val="24"/>
          <w:rtl w:val="0"/>
        </w:rPr>
        <w:t xml:space="preserve"> São Paulo: Boitempo, 2019.</w:t>
      </w:r>
    </w:p>
    <w:p w:rsidR="00000000" w:rsidDel="00000000" w:rsidP="00000000" w:rsidRDefault="00000000" w:rsidRPr="00000000" w14:paraId="0000004B">
      <w:pPr>
        <w:spacing w:after="0" w:before="0" w:line="240" w:lineRule="auto"/>
        <w:rPr>
          <w:sz w:val="24"/>
          <w:szCs w:val="24"/>
        </w:rPr>
      </w:pPr>
      <w:r w:rsidDel="00000000" w:rsidR="00000000" w:rsidRPr="00000000">
        <w:rPr>
          <w:rtl w:val="0"/>
        </w:rPr>
      </w:r>
    </w:p>
    <w:p w:rsidR="00000000" w:rsidDel="00000000" w:rsidP="00000000" w:rsidRDefault="00000000" w:rsidRPr="00000000" w14:paraId="0000004C">
      <w:pPr>
        <w:spacing w:after="0" w:before="0" w:line="240" w:lineRule="auto"/>
        <w:rPr>
          <w:sz w:val="24"/>
          <w:szCs w:val="24"/>
        </w:rPr>
      </w:pPr>
      <w:r w:rsidDel="00000000" w:rsidR="00000000" w:rsidRPr="00000000">
        <w:rPr>
          <w:sz w:val="24"/>
          <w:szCs w:val="24"/>
          <w:rtl w:val="0"/>
        </w:rPr>
        <w:t xml:space="preserve">DAVIS, A. </w:t>
      </w:r>
      <w:r w:rsidDel="00000000" w:rsidR="00000000" w:rsidRPr="00000000">
        <w:rPr>
          <w:b w:val="1"/>
          <w:sz w:val="24"/>
          <w:szCs w:val="24"/>
          <w:rtl w:val="0"/>
        </w:rPr>
        <w:t xml:space="preserve">Mulheres, raça e classe.</w:t>
      </w:r>
      <w:r w:rsidDel="00000000" w:rsidR="00000000" w:rsidRPr="00000000">
        <w:rPr>
          <w:sz w:val="24"/>
          <w:szCs w:val="24"/>
          <w:rtl w:val="0"/>
        </w:rPr>
        <w:t xml:space="preserve"> São Paulo: Boitempo, 2016.</w:t>
      </w:r>
    </w:p>
    <w:p w:rsidR="00000000" w:rsidDel="00000000" w:rsidP="00000000" w:rsidRDefault="00000000" w:rsidRPr="00000000" w14:paraId="0000004D">
      <w:pPr>
        <w:spacing w:after="0" w:before="0" w:line="240" w:lineRule="auto"/>
        <w:rPr>
          <w:sz w:val="24"/>
          <w:szCs w:val="24"/>
        </w:rPr>
      </w:pPr>
      <w:r w:rsidDel="00000000" w:rsidR="00000000" w:rsidRPr="00000000">
        <w:rPr>
          <w:rtl w:val="0"/>
        </w:rPr>
      </w:r>
    </w:p>
    <w:p w:rsidR="00000000" w:rsidDel="00000000" w:rsidP="00000000" w:rsidRDefault="00000000" w:rsidRPr="00000000" w14:paraId="0000004E">
      <w:pPr>
        <w:spacing w:after="0" w:before="0" w:line="240" w:lineRule="auto"/>
        <w:rPr>
          <w:sz w:val="24"/>
          <w:szCs w:val="24"/>
        </w:rPr>
      </w:pPr>
      <w:r w:rsidDel="00000000" w:rsidR="00000000" w:rsidRPr="00000000">
        <w:rPr>
          <w:sz w:val="24"/>
          <w:szCs w:val="24"/>
          <w:rtl w:val="0"/>
        </w:rPr>
        <w:t xml:space="preserve">DEL PRIORE, M. </w:t>
      </w:r>
      <w:r w:rsidDel="00000000" w:rsidR="00000000" w:rsidRPr="00000000">
        <w:rPr>
          <w:b w:val="1"/>
          <w:sz w:val="24"/>
          <w:szCs w:val="24"/>
          <w:rtl w:val="0"/>
        </w:rPr>
        <w:t xml:space="preserve">História das crianças no Brasil.</w:t>
      </w:r>
      <w:r w:rsidDel="00000000" w:rsidR="00000000" w:rsidRPr="00000000">
        <w:rPr>
          <w:sz w:val="24"/>
          <w:szCs w:val="24"/>
          <w:rtl w:val="0"/>
        </w:rPr>
        <w:t xml:space="preserve"> São Paulo: Contexto, 2013.</w:t>
      </w:r>
    </w:p>
    <w:p w:rsidR="00000000" w:rsidDel="00000000" w:rsidP="00000000" w:rsidRDefault="00000000" w:rsidRPr="00000000" w14:paraId="0000004F">
      <w:pPr>
        <w:spacing w:after="0" w:before="0" w:line="240" w:lineRule="auto"/>
        <w:rPr>
          <w:sz w:val="24"/>
          <w:szCs w:val="24"/>
        </w:rPr>
      </w:pPr>
      <w:r w:rsidDel="00000000" w:rsidR="00000000" w:rsidRPr="00000000">
        <w:rPr>
          <w:rtl w:val="0"/>
        </w:rPr>
      </w:r>
    </w:p>
    <w:p w:rsidR="00000000" w:rsidDel="00000000" w:rsidP="00000000" w:rsidRDefault="00000000" w:rsidRPr="00000000" w14:paraId="00000050">
      <w:pPr>
        <w:spacing w:after="0" w:before="0" w:line="240" w:lineRule="auto"/>
        <w:rPr>
          <w:sz w:val="24"/>
          <w:szCs w:val="24"/>
        </w:rPr>
      </w:pPr>
      <w:r w:rsidDel="00000000" w:rsidR="00000000" w:rsidRPr="00000000">
        <w:rPr>
          <w:sz w:val="24"/>
          <w:szCs w:val="24"/>
          <w:rtl w:val="0"/>
        </w:rPr>
        <w:t xml:space="preserve">EURICO, Marcia Campos. </w:t>
      </w:r>
      <w:r w:rsidDel="00000000" w:rsidR="00000000" w:rsidRPr="00000000">
        <w:rPr>
          <w:b w:val="1"/>
          <w:sz w:val="24"/>
          <w:szCs w:val="24"/>
          <w:rtl w:val="0"/>
        </w:rPr>
        <w:t xml:space="preserve">Tecendo tramas acerca de uma infância sem racismo. </w:t>
      </w:r>
      <w:r w:rsidDel="00000000" w:rsidR="00000000" w:rsidRPr="00000000">
        <w:rPr>
          <w:sz w:val="24"/>
          <w:szCs w:val="24"/>
          <w:rtl w:val="0"/>
        </w:rPr>
        <w:t xml:space="preserve">Revista Em Pauta: teoria social e realidade contemporânea, v. 18, n. 45, 2020.</w:t>
      </w:r>
    </w:p>
    <w:p w:rsidR="00000000" w:rsidDel="00000000" w:rsidP="00000000" w:rsidRDefault="00000000" w:rsidRPr="00000000" w14:paraId="00000051">
      <w:pPr>
        <w:spacing w:after="0" w:before="0" w:line="240" w:lineRule="auto"/>
        <w:rPr>
          <w:sz w:val="24"/>
          <w:szCs w:val="24"/>
        </w:rPr>
      </w:pPr>
      <w:r w:rsidDel="00000000" w:rsidR="00000000" w:rsidRPr="00000000">
        <w:rPr>
          <w:rtl w:val="0"/>
        </w:rPr>
      </w:r>
    </w:p>
    <w:p w:rsidR="00000000" w:rsidDel="00000000" w:rsidP="00000000" w:rsidRDefault="00000000" w:rsidRPr="00000000" w14:paraId="00000052">
      <w:pPr>
        <w:spacing w:after="0" w:before="0" w:line="240" w:lineRule="auto"/>
        <w:rPr>
          <w:sz w:val="24"/>
          <w:szCs w:val="24"/>
        </w:rPr>
      </w:pPr>
      <w:r w:rsidDel="00000000" w:rsidR="00000000" w:rsidRPr="00000000">
        <w:rPr>
          <w:sz w:val="24"/>
          <w:szCs w:val="24"/>
          <w:rtl w:val="0"/>
        </w:rPr>
        <w:t xml:space="preserve">EURICO, Márcia Campos. </w:t>
      </w:r>
      <w:r w:rsidDel="00000000" w:rsidR="00000000" w:rsidRPr="00000000">
        <w:rPr>
          <w:b w:val="1"/>
          <w:sz w:val="24"/>
          <w:szCs w:val="24"/>
          <w:rtl w:val="0"/>
        </w:rPr>
        <w:t xml:space="preserve">Preta, preta, pretinha: o racismo institucional no cotidiano de crianças e adolescentes negras(os) acolhidos(as).</w:t>
      </w:r>
      <w:r w:rsidDel="00000000" w:rsidR="00000000" w:rsidRPr="00000000">
        <w:rPr>
          <w:sz w:val="24"/>
          <w:szCs w:val="24"/>
          <w:rtl w:val="0"/>
        </w:rPr>
        <w:t xml:space="preserve"> 2018. 209 f. Tese (Doutorado em Serviço Social) - Programa de Estudos Pós-Graduados em Serviço Social, Pontifícia Universidade Católica de São Paulo, São Paulo, 2018.</w:t>
      </w:r>
    </w:p>
    <w:p w:rsidR="00000000" w:rsidDel="00000000" w:rsidP="00000000" w:rsidRDefault="00000000" w:rsidRPr="00000000" w14:paraId="00000053">
      <w:pPr>
        <w:spacing w:after="0" w:before="0" w:line="360" w:lineRule="auto"/>
        <w:rPr>
          <w:sz w:val="24"/>
          <w:szCs w:val="24"/>
        </w:rPr>
      </w:pPr>
      <w:r w:rsidDel="00000000" w:rsidR="00000000" w:rsidRPr="00000000">
        <w:rPr>
          <w:rtl w:val="0"/>
        </w:rPr>
      </w:r>
    </w:p>
    <w:p w:rsidR="00000000" w:rsidDel="00000000" w:rsidP="00000000" w:rsidRDefault="00000000" w:rsidRPr="00000000" w14:paraId="00000054">
      <w:pPr>
        <w:spacing w:after="0" w:before="0" w:line="240" w:lineRule="auto"/>
        <w:rPr>
          <w:sz w:val="24"/>
          <w:szCs w:val="24"/>
        </w:rPr>
      </w:pPr>
      <w:r w:rsidDel="00000000" w:rsidR="00000000" w:rsidRPr="00000000">
        <w:rPr>
          <w:sz w:val="24"/>
          <w:szCs w:val="24"/>
          <w:rtl w:val="0"/>
        </w:rPr>
        <w:t xml:space="preserve">FLORENTINO, M.; GÓES, J. R. </w:t>
      </w:r>
      <w:r w:rsidDel="00000000" w:rsidR="00000000" w:rsidRPr="00000000">
        <w:rPr>
          <w:b w:val="1"/>
          <w:sz w:val="24"/>
          <w:szCs w:val="24"/>
          <w:rtl w:val="0"/>
        </w:rPr>
        <w:t xml:space="preserve">A paz das senzalas: famílias escravas e tráfico atlântico.</w:t>
      </w:r>
      <w:r w:rsidDel="00000000" w:rsidR="00000000" w:rsidRPr="00000000">
        <w:rPr>
          <w:sz w:val="24"/>
          <w:szCs w:val="24"/>
          <w:rtl w:val="0"/>
        </w:rPr>
        <w:t xml:space="preserve"> Rio de Janeiro: Civilização Brasileira, 2013.</w:t>
      </w:r>
    </w:p>
    <w:p w:rsidR="00000000" w:rsidDel="00000000" w:rsidP="00000000" w:rsidRDefault="00000000" w:rsidRPr="00000000" w14:paraId="00000055">
      <w:pPr>
        <w:spacing w:line="240" w:lineRule="auto"/>
        <w:rPr>
          <w:sz w:val="24"/>
          <w:szCs w:val="24"/>
        </w:rPr>
      </w:pPr>
      <w:r w:rsidDel="00000000" w:rsidR="00000000" w:rsidRPr="00000000">
        <w:rPr>
          <w:rtl w:val="0"/>
        </w:rPr>
      </w:r>
    </w:p>
    <w:p w:rsidR="00000000" w:rsidDel="00000000" w:rsidP="00000000" w:rsidRDefault="00000000" w:rsidRPr="00000000" w14:paraId="00000056">
      <w:pPr>
        <w:spacing w:line="240" w:lineRule="auto"/>
        <w:rPr>
          <w:sz w:val="24"/>
          <w:szCs w:val="24"/>
        </w:rPr>
      </w:pPr>
      <w:r w:rsidDel="00000000" w:rsidR="00000000" w:rsidRPr="00000000">
        <w:rPr>
          <w:sz w:val="24"/>
          <w:szCs w:val="24"/>
          <w:rtl w:val="0"/>
        </w:rPr>
        <w:t xml:space="preserve">FLORENTINO, M.; GÓES, J. R. </w:t>
      </w:r>
      <w:r w:rsidDel="00000000" w:rsidR="00000000" w:rsidRPr="00000000">
        <w:rPr>
          <w:b w:val="1"/>
          <w:sz w:val="24"/>
          <w:szCs w:val="24"/>
          <w:rtl w:val="0"/>
        </w:rPr>
        <w:t xml:space="preserve">Crianças escravas, crianças dos escravos.</w:t>
      </w:r>
      <w:r w:rsidDel="00000000" w:rsidR="00000000" w:rsidRPr="00000000">
        <w:rPr>
          <w:sz w:val="24"/>
          <w:szCs w:val="24"/>
          <w:rtl w:val="0"/>
        </w:rPr>
        <w:t xml:space="preserve"> In: DEL PRIORE, M. (Org.). História das crianças no Brasil. São Paulo: Contexto, 2013.</w:t>
      </w:r>
      <w:r w:rsidDel="00000000" w:rsidR="00000000" w:rsidRPr="00000000">
        <w:rPr>
          <w:rtl w:val="0"/>
        </w:rPr>
      </w:r>
    </w:p>
    <w:p w:rsidR="00000000" w:rsidDel="00000000" w:rsidP="00000000" w:rsidRDefault="00000000" w:rsidRPr="00000000" w14:paraId="00000057">
      <w:pPr>
        <w:spacing w:line="240" w:lineRule="auto"/>
        <w:rPr>
          <w:sz w:val="24"/>
          <w:szCs w:val="24"/>
        </w:rPr>
      </w:pPr>
      <w:r w:rsidDel="00000000" w:rsidR="00000000" w:rsidRPr="00000000">
        <w:rPr>
          <w:rtl w:val="0"/>
        </w:rPr>
      </w:r>
    </w:p>
    <w:p w:rsidR="00000000" w:rsidDel="00000000" w:rsidP="00000000" w:rsidRDefault="00000000" w:rsidRPr="00000000" w14:paraId="00000058">
      <w:pPr>
        <w:spacing w:line="240" w:lineRule="auto"/>
        <w:rPr>
          <w:sz w:val="24"/>
          <w:szCs w:val="24"/>
        </w:rPr>
      </w:pPr>
      <w:r w:rsidDel="00000000" w:rsidR="00000000" w:rsidRPr="00000000">
        <w:rPr>
          <w:sz w:val="24"/>
          <w:szCs w:val="24"/>
          <w:rtl w:val="0"/>
        </w:rPr>
        <w:t xml:space="preserve">FRAGA FILHO, Walter. </w:t>
      </w:r>
      <w:r w:rsidDel="00000000" w:rsidR="00000000" w:rsidRPr="00000000">
        <w:rPr>
          <w:b w:val="1"/>
          <w:sz w:val="24"/>
          <w:szCs w:val="24"/>
          <w:rtl w:val="0"/>
        </w:rPr>
        <w:t xml:space="preserve">Mendigos, moleques e vadios na Bahia do século XIX.</w:t>
      </w:r>
      <w:r w:rsidDel="00000000" w:rsidR="00000000" w:rsidRPr="00000000">
        <w:rPr>
          <w:sz w:val="24"/>
          <w:szCs w:val="24"/>
          <w:rtl w:val="0"/>
        </w:rPr>
        <w:t xml:space="preserve"> São Paulo: Hucitec; Salvador: EDUFBA, 1996.</w:t>
      </w:r>
    </w:p>
    <w:p w:rsidR="00000000" w:rsidDel="00000000" w:rsidP="00000000" w:rsidRDefault="00000000" w:rsidRPr="00000000" w14:paraId="00000059">
      <w:pPr>
        <w:spacing w:line="240" w:lineRule="auto"/>
        <w:rPr>
          <w:sz w:val="24"/>
          <w:szCs w:val="24"/>
        </w:rPr>
      </w:pPr>
      <w:r w:rsidDel="00000000" w:rsidR="00000000" w:rsidRPr="00000000">
        <w:rPr>
          <w:rtl w:val="0"/>
        </w:rPr>
      </w:r>
    </w:p>
    <w:p w:rsidR="00000000" w:rsidDel="00000000" w:rsidP="00000000" w:rsidRDefault="00000000" w:rsidRPr="00000000" w14:paraId="0000005A">
      <w:pPr>
        <w:spacing w:line="240" w:lineRule="auto"/>
        <w:rPr>
          <w:sz w:val="24"/>
          <w:szCs w:val="24"/>
        </w:rPr>
      </w:pPr>
      <w:r w:rsidDel="00000000" w:rsidR="00000000" w:rsidRPr="00000000">
        <w:rPr>
          <w:sz w:val="24"/>
          <w:szCs w:val="24"/>
          <w:rtl w:val="0"/>
        </w:rPr>
        <w:t xml:space="preserve">FNPETI. </w:t>
      </w:r>
      <w:r w:rsidDel="00000000" w:rsidR="00000000" w:rsidRPr="00000000">
        <w:rPr>
          <w:b w:val="1"/>
          <w:sz w:val="24"/>
          <w:szCs w:val="24"/>
          <w:rtl w:val="0"/>
        </w:rPr>
        <w:t xml:space="preserve">Trabalho Infantil no Brasil: Diagnóstico e Desafios.</w:t>
      </w:r>
      <w:r w:rsidDel="00000000" w:rsidR="00000000" w:rsidRPr="00000000">
        <w:rPr>
          <w:sz w:val="24"/>
          <w:szCs w:val="24"/>
          <w:rtl w:val="0"/>
        </w:rPr>
        <w:t xml:space="preserve"> Brasília, 2021.</w:t>
      </w:r>
    </w:p>
    <w:p w:rsidR="00000000" w:rsidDel="00000000" w:rsidP="00000000" w:rsidRDefault="00000000" w:rsidRPr="00000000" w14:paraId="0000005B">
      <w:pPr>
        <w:spacing w:line="240" w:lineRule="auto"/>
        <w:rPr>
          <w:sz w:val="24"/>
          <w:szCs w:val="24"/>
        </w:rPr>
      </w:pPr>
      <w:r w:rsidDel="00000000" w:rsidR="00000000" w:rsidRPr="00000000">
        <w:rPr>
          <w:rtl w:val="0"/>
        </w:rPr>
      </w:r>
    </w:p>
    <w:p w:rsidR="00000000" w:rsidDel="00000000" w:rsidP="00000000" w:rsidRDefault="00000000" w:rsidRPr="00000000" w14:paraId="0000005C">
      <w:pPr>
        <w:spacing w:line="240" w:lineRule="auto"/>
        <w:rPr>
          <w:sz w:val="24"/>
          <w:szCs w:val="24"/>
        </w:rPr>
      </w:pPr>
      <w:r w:rsidDel="00000000" w:rsidR="00000000" w:rsidRPr="00000000">
        <w:rPr>
          <w:sz w:val="24"/>
          <w:szCs w:val="24"/>
          <w:rtl w:val="0"/>
        </w:rPr>
        <w:t xml:space="preserve">GIACOMINI, Sonia Maria. </w:t>
      </w:r>
      <w:r w:rsidDel="00000000" w:rsidR="00000000" w:rsidRPr="00000000">
        <w:rPr>
          <w:b w:val="1"/>
          <w:sz w:val="24"/>
          <w:szCs w:val="24"/>
          <w:rtl w:val="0"/>
        </w:rPr>
        <w:t xml:space="preserve">Mulher e escrava: uma introdução histórica ao estudo da mulher negra no Brasil</w:t>
      </w:r>
      <w:r w:rsidDel="00000000" w:rsidR="00000000" w:rsidRPr="00000000">
        <w:rPr>
          <w:sz w:val="24"/>
          <w:szCs w:val="24"/>
          <w:rtl w:val="0"/>
        </w:rPr>
        <w:t xml:space="preserve">, Editora Vozes, 1988.</w:t>
      </w:r>
    </w:p>
    <w:p w:rsidR="00000000" w:rsidDel="00000000" w:rsidP="00000000" w:rsidRDefault="00000000" w:rsidRPr="00000000" w14:paraId="0000005D">
      <w:pPr>
        <w:spacing w:after="0" w:before="0" w:line="240" w:lineRule="auto"/>
        <w:rPr>
          <w:sz w:val="24"/>
          <w:szCs w:val="24"/>
        </w:rPr>
      </w:pPr>
      <w:r w:rsidDel="00000000" w:rsidR="00000000" w:rsidRPr="00000000">
        <w:rPr>
          <w:rtl w:val="0"/>
        </w:rPr>
      </w:r>
    </w:p>
    <w:p w:rsidR="00000000" w:rsidDel="00000000" w:rsidP="00000000" w:rsidRDefault="00000000" w:rsidRPr="00000000" w14:paraId="0000005E">
      <w:pPr>
        <w:spacing w:after="0" w:before="0" w:line="240" w:lineRule="auto"/>
        <w:rPr>
          <w:sz w:val="24"/>
          <w:szCs w:val="24"/>
        </w:rPr>
      </w:pPr>
      <w:r w:rsidDel="00000000" w:rsidR="00000000" w:rsidRPr="00000000">
        <w:rPr>
          <w:sz w:val="24"/>
          <w:szCs w:val="24"/>
          <w:rtl w:val="0"/>
        </w:rPr>
        <w:t xml:space="preserve">HIRATA, H. </w:t>
      </w:r>
      <w:r w:rsidDel="00000000" w:rsidR="00000000" w:rsidRPr="00000000">
        <w:rPr>
          <w:b w:val="1"/>
          <w:sz w:val="24"/>
          <w:szCs w:val="24"/>
          <w:rtl w:val="0"/>
        </w:rPr>
        <w:t xml:space="preserve">A precarização e a divisão sexual e racial do trabalho. </w:t>
      </w:r>
      <w:r w:rsidDel="00000000" w:rsidR="00000000" w:rsidRPr="00000000">
        <w:rPr>
          <w:sz w:val="24"/>
          <w:szCs w:val="24"/>
          <w:rtl w:val="0"/>
        </w:rPr>
        <w:t xml:space="preserve">São Paulo: Boitempo, 2014.</w:t>
      </w:r>
    </w:p>
    <w:p w:rsidR="00000000" w:rsidDel="00000000" w:rsidP="00000000" w:rsidRDefault="00000000" w:rsidRPr="00000000" w14:paraId="0000005F">
      <w:pPr>
        <w:spacing w:after="0" w:before="0" w:line="240" w:lineRule="auto"/>
        <w:rPr>
          <w:sz w:val="24"/>
          <w:szCs w:val="24"/>
        </w:rPr>
      </w:pPr>
      <w:r w:rsidDel="00000000" w:rsidR="00000000" w:rsidRPr="00000000">
        <w:rPr>
          <w:rtl w:val="0"/>
        </w:rPr>
      </w:r>
    </w:p>
    <w:p w:rsidR="00000000" w:rsidDel="00000000" w:rsidP="00000000" w:rsidRDefault="00000000" w:rsidRPr="00000000" w14:paraId="00000060">
      <w:pPr>
        <w:spacing w:after="0" w:before="0" w:line="240" w:lineRule="auto"/>
        <w:rPr>
          <w:sz w:val="24"/>
          <w:szCs w:val="24"/>
        </w:rPr>
      </w:pPr>
      <w:r w:rsidDel="00000000" w:rsidR="00000000" w:rsidRPr="00000000">
        <w:rPr>
          <w:sz w:val="24"/>
          <w:szCs w:val="24"/>
          <w:rtl w:val="0"/>
        </w:rPr>
        <w:t xml:space="preserve">INSTITUTO BRASILEIRO DE GEOGRAFIA E ESTATÍSTICA (IBGE). </w:t>
      </w:r>
      <w:r w:rsidDel="00000000" w:rsidR="00000000" w:rsidRPr="00000000">
        <w:rPr>
          <w:b w:val="1"/>
          <w:sz w:val="24"/>
          <w:szCs w:val="24"/>
          <w:rtl w:val="0"/>
        </w:rPr>
        <w:t xml:space="preserve">PNAD Contínua: Trabalho Infantil 2022.</w:t>
      </w:r>
      <w:r w:rsidDel="00000000" w:rsidR="00000000" w:rsidRPr="00000000">
        <w:rPr>
          <w:sz w:val="24"/>
          <w:szCs w:val="24"/>
          <w:rtl w:val="0"/>
        </w:rPr>
        <w:t xml:space="preserve"> Rio de Janeiro: IBGE, 2023.</w:t>
      </w:r>
    </w:p>
    <w:p w:rsidR="00000000" w:rsidDel="00000000" w:rsidP="00000000" w:rsidRDefault="00000000" w:rsidRPr="00000000" w14:paraId="00000061">
      <w:pPr>
        <w:spacing w:after="0" w:before="0" w:line="240" w:lineRule="auto"/>
        <w:rPr>
          <w:sz w:val="24"/>
          <w:szCs w:val="24"/>
        </w:rPr>
      </w:pPr>
      <w:r w:rsidDel="00000000" w:rsidR="00000000" w:rsidRPr="00000000">
        <w:rPr>
          <w:rtl w:val="0"/>
        </w:rPr>
      </w:r>
    </w:p>
    <w:p w:rsidR="00000000" w:rsidDel="00000000" w:rsidP="00000000" w:rsidRDefault="00000000" w:rsidRPr="00000000" w14:paraId="00000062">
      <w:pPr>
        <w:spacing w:after="0" w:before="0" w:line="240" w:lineRule="auto"/>
        <w:rPr>
          <w:sz w:val="24"/>
          <w:szCs w:val="24"/>
        </w:rPr>
      </w:pPr>
      <w:r w:rsidDel="00000000" w:rsidR="00000000" w:rsidRPr="00000000">
        <w:rPr>
          <w:sz w:val="24"/>
          <w:szCs w:val="24"/>
          <w:rtl w:val="0"/>
        </w:rPr>
        <w:t xml:space="preserve">INSTITUTO BRASILEIRO DE GEOGRAFIA E ESTATÍSTICA (IBGE). PNAD Contínua: Trabalho Infantil 2021. Disponível em: </w:t>
      </w:r>
      <w:hyperlink r:id="rId7">
        <w:r w:rsidDel="00000000" w:rsidR="00000000" w:rsidRPr="00000000">
          <w:rPr>
            <w:color w:val="1155cc"/>
            <w:sz w:val="24"/>
            <w:szCs w:val="24"/>
            <w:u w:val="single"/>
            <w:rtl w:val="0"/>
          </w:rPr>
          <w:t xml:space="preserve">https://www.ibge.gov.br</w:t>
        </w:r>
      </w:hyperlink>
      <w:r w:rsidDel="00000000" w:rsidR="00000000" w:rsidRPr="00000000">
        <w:rPr>
          <w:sz w:val="24"/>
          <w:szCs w:val="24"/>
          <w:rtl w:val="0"/>
        </w:rPr>
        <w:t xml:space="preserve">. Acesso em: 04 de Jun de 2025</w:t>
      </w:r>
    </w:p>
    <w:p w:rsidR="00000000" w:rsidDel="00000000" w:rsidP="00000000" w:rsidRDefault="00000000" w:rsidRPr="00000000" w14:paraId="00000063">
      <w:pPr>
        <w:spacing w:after="0" w:before="0" w:line="240" w:lineRule="auto"/>
        <w:rPr>
          <w:sz w:val="24"/>
          <w:szCs w:val="24"/>
        </w:rPr>
      </w:pPr>
      <w:r w:rsidDel="00000000" w:rsidR="00000000" w:rsidRPr="00000000">
        <w:rPr>
          <w:rtl w:val="0"/>
        </w:rPr>
      </w:r>
    </w:p>
    <w:p w:rsidR="00000000" w:rsidDel="00000000" w:rsidP="00000000" w:rsidRDefault="00000000" w:rsidRPr="00000000" w14:paraId="00000064">
      <w:pPr>
        <w:spacing w:after="0" w:before="0" w:line="240" w:lineRule="auto"/>
        <w:rPr>
          <w:sz w:val="24"/>
          <w:szCs w:val="24"/>
        </w:rPr>
      </w:pPr>
      <w:r w:rsidDel="00000000" w:rsidR="00000000" w:rsidRPr="00000000">
        <w:rPr>
          <w:sz w:val="24"/>
          <w:szCs w:val="24"/>
          <w:rtl w:val="0"/>
        </w:rPr>
        <w:t xml:space="preserve">MATTOSO, K. M. Q. </w:t>
      </w:r>
      <w:r w:rsidDel="00000000" w:rsidR="00000000" w:rsidRPr="00000000">
        <w:rPr>
          <w:b w:val="1"/>
          <w:sz w:val="24"/>
          <w:szCs w:val="24"/>
          <w:rtl w:val="0"/>
        </w:rPr>
        <w:t xml:space="preserve">Ser escravo no Brasil.</w:t>
      </w:r>
      <w:r w:rsidDel="00000000" w:rsidR="00000000" w:rsidRPr="00000000">
        <w:rPr>
          <w:sz w:val="24"/>
          <w:szCs w:val="24"/>
          <w:rtl w:val="0"/>
        </w:rPr>
        <w:t xml:space="preserve"> São Paulo: Brasiliense, 1988.</w:t>
      </w:r>
    </w:p>
    <w:p w:rsidR="00000000" w:rsidDel="00000000" w:rsidP="00000000" w:rsidRDefault="00000000" w:rsidRPr="00000000" w14:paraId="00000065">
      <w:pPr>
        <w:spacing w:line="240" w:lineRule="auto"/>
        <w:rPr>
          <w:sz w:val="24"/>
          <w:szCs w:val="24"/>
        </w:rPr>
      </w:pPr>
      <w:r w:rsidDel="00000000" w:rsidR="00000000" w:rsidRPr="00000000">
        <w:rPr>
          <w:rtl w:val="0"/>
        </w:rPr>
      </w:r>
    </w:p>
    <w:p w:rsidR="00000000" w:rsidDel="00000000" w:rsidP="00000000" w:rsidRDefault="00000000" w:rsidRPr="00000000" w14:paraId="00000066">
      <w:pPr>
        <w:spacing w:line="240" w:lineRule="auto"/>
        <w:rPr>
          <w:sz w:val="24"/>
          <w:szCs w:val="24"/>
        </w:rPr>
      </w:pPr>
      <w:r w:rsidDel="00000000" w:rsidR="00000000" w:rsidRPr="00000000">
        <w:rPr>
          <w:sz w:val="24"/>
          <w:szCs w:val="24"/>
          <w:rtl w:val="0"/>
        </w:rPr>
        <w:t xml:space="preserve">ORGANIZAÇÃO INTERNACIONAL DO TRABALHO (OIT). </w:t>
      </w:r>
      <w:r w:rsidDel="00000000" w:rsidR="00000000" w:rsidRPr="00000000">
        <w:rPr>
          <w:b w:val="1"/>
          <w:sz w:val="24"/>
          <w:szCs w:val="24"/>
          <w:rtl w:val="0"/>
        </w:rPr>
        <w:t xml:space="preserve">Trabalho infantil no Brasil: Perfil e tendências. </w:t>
      </w:r>
      <w:r w:rsidDel="00000000" w:rsidR="00000000" w:rsidRPr="00000000">
        <w:rPr>
          <w:sz w:val="24"/>
          <w:szCs w:val="24"/>
          <w:rtl w:val="0"/>
        </w:rPr>
        <w:t xml:space="preserve">Brasília: OIT, 2020.</w:t>
      </w:r>
    </w:p>
    <w:p w:rsidR="00000000" w:rsidDel="00000000" w:rsidP="00000000" w:rsidRDefault="00000000" w:rsidRPr="00000000" w14:paraId="00000067">
      <w:pPr>
        <w:spacing w:line="240" w:lineRule="auto"/>
        <w:rPr>
          <w:sz w:val="24"/>
          <w:szCs w:val="24"/>
        </w:rPr>
      </w:pPr>
      <w:r w:rsidDel="00000000" w:rsidR="00000000" w:rsidRPr="00000000">
        <w:rPr>
          <w:rtl w:val="0"/>
        </w:rPr>
      </w:r>
    </w:p>
    <w:p w:rsidR="00000000" w:rsidDel="00000000" w:rsidP="00000000" w:rsidRDefault="00000000" w:rsidRPr="00000000" w14:paraId="00000068">
      <w:pPr>
        <w:spacing w:line="240" w:lineRule="auto"/>
        <w:rPr>
          <w:sz w:val="24"/>
          <w:szCs w:val="24"/>
        </w:rPr>
      </w:pPr>
      <w:r w:rsidDel="00000000" w:rsidR="00000000" w:rsidRPr="00000000">
        <w:rPr>
          <w:sz w:val="24"/>
          <w:szCs w:val="24"/>
          <w:rtl w:val="0"/>
        </w:rPr>
        <w:t xml:space="preserve">ORGANIZAÇÃO INTERNACIONAL DO TRABALHO (OIT).</w:t>
      </w:r>
      <w:r w:rsidDel="00000000" w:rsidR="00000000" w:rsidRPr="00000000">
        <w:rPr>
          <w:b w:val="1"/>
          <w:sz w:val="24"/>
          <w:szCs w:val="24"/>
          <w:rtl w:val="0"/>
        </w:rPr>
        <w:t xml:space="preserve"> Perfil do Trabalho Infantil no Brasil. </w:t>
      </w:r>
      <w:r w:rsidDel="00000000" w:rsidR="00000000" w:rsidRPr="00000000">
        <w:rPr>
          <w:sz w:val="24"/>
          <w:szCs w:val="24"/>
          <w:rtl w:val="0"/>
        </w:rPr>
        <w:t xml:space="preserve">Genebra: OIT, 2023.</w:t>
      </w:r>
    </w:p>
    <w:p w:rsidR="00000000" w:rsidDel="00000000" w:rsidP="00000000" w:rsidRDefault="00000000" w:rsidRPr="00000000" w14:paraId="00000069">
      <w:pPr>
        <w:spacing w:line="240" w:lineRule="auto"/>
        <w:rPr>
          <w:sz w:val="24"/>
          <w:szCs w:val="24"/>
        </w:rPr>
      </w:pPr>
      <w:r w:rsidDel="00000000" w:rsidR="00000000" w:rsidRPr="00000000">
        <w:rPr>
          <w:rtl w:val="0"/>
        </w:rPr>
      </w:r>
    </w:p>
    <w:p w:rsidR="00000000" w:rsidDel="00000000" w:rsidP="00000000" w:rsidRDefault="00000000" w:rsidRPr="00000000" w14:paraId="0000006A">
      <w:pPr>
        <w:spacing w:after="0" w:before="0" w:line="240" w:lineRule="auto"/>
        <w:rPr>
          <w:sz w:val="24"/>
          <w:szCs w:val="24"/>
        </w:rPr>
      </w:pPr>
      <w:r w:rsidDel="00000000" w:rsidR="00000000" w:rsidRPr="00000000">
        <w:rPr>
          <w:sz w:val="24"/>
          <w:szCs w:val="24"/>
          <w:rtl w:val="0"/>
        </w:rPr>
        <w:t xml:space="preserve">RIZZINI, I. </w:t>
      </w:r>
      <w:r w:rsidDel="00000000" w:rsidR="00000000" w:rsidRPr="00000000">
        <w:rPr>
          <w:b w:val="1"/>
          <w:sz w:val="24"/>
          <w:szCs w:val="24"/>
          <w:rtl w:val="0"/>
        </w:rPr>
        <w:t xml:space="preserve">O século perdido: raízes históricas das políticas para a infância no Brasil. </w:t>
      </w:r>
      <w:r w:rsidDel="00000000" w:rsidR="00000000" w:rsidRPr="00000000">
        <w:rPr>
          <w:sz w:val="24"/>
          <w:szCs w:val="24"/>
          <w:rtl w:val="0"/>
        </w:rPr>
        <w:t xml:space="preserve">São Paulo: Cortez, 2007.</w:t>
      </w:r>
    </w:p>
    <w:p w:rsidR="00000000" w:rsidDel="00000000" w:rsidP="00000000" w:rsidRDefault="00000000" w:rsidRPr="00000000" w14:paraId="0000006B">
      <w:pPr>
        <w:spacing w:after="0" w:before="0" w:line="360" w:lineRule="auto"/>
        <w:rPr>
          <w:sz w:val="24"/>
          <w:szCs w:val="24"/>
        </w:rPr>
      </w:pPr>
      <w:r w:rsidDel="00000000" w:rsidR="00000000" w:rsidRPr="00000000">
        <w:rPr>
          <w:rtl w:val="0"/>
        </w:rPr>
      </w:r>
    </w:p>
    <w:p w:rsidR="00000000" w:rsidDel="00000000" w:rsidP="00000000" w:rsidRDefault="00000000" w:rsidRPr="00000000" w14:paraId="0000006C">
      <w:pPr>
        <w:spacing w:after="0" w:before="0" w:line="240" w:lineRule="auto"/>
        <w:rPr>
          <w:sz w:val="24"/>
          <w:szCs w:val="24"/>
        </w:rPr>
      </w:pPr>
      <w:r w:rsidDel="00000000" w:rsidR="00000000" w:rsidRPr="00000000">
        <w:rPr>
          <w:sz w:val="24"/>
          <w:szCs w:val="24"/>
          <w:rtl w:val="0"/>
        </w:rPr>
        <w:t xml:space="preserve">RIZZINI, I. </w:t>
      </w:r>
      <w:r w:rsidDel="00000000" w:rsidR="00000000" w:rsidRPr="00000000">
        <w:rPr>
          <w:b w:val="1"/>
          <w:sz w:val="24"/>
          <w:szCs w:val="24"/>
          <w:rtl w:val="0"/>
        </w:rPr>
        <w:t xml:space="preserve">Pequenos Trabalhadores do Brasil.</w:t>
      </w:r>
      <w:r w:rsidDel="00000000" w:rsidR="00000000" w:rsidRPr="00000000">
        <w:rPr>
          <w:sz w:val="24"/>
          <w:szCs w:val="24"/>
          <w:rtl w:val="0"/>
        </w:rPr>
        <w:t xml:space="preserve"> In: DEL PRIORE, M. (Org.). História das crianças no Brasil. São Paulo: Contexto, 2013.</w:t>
      </w:r>
    </w:p>
    <w:p w:rsidR="00000000" w:rsidDel="00000000" w:rsidP="00000000" w:rsidRDefault="00000000" w:rsidRPr="00000000" w14:paraId="0000006D">
      <w:pPr>
        <w:spacing w:after="0" w:before="0" w:line="240" w:lineRule="auto"/>
        <w:rPr>
          <w:sz w:val="24"/>
          <w:szCs w:val="24"/>
        </w:rPr>
      </w:pPr>
      <w:r w:rsidDel="00000000" w:rsidR="00000000" w:rsidRPr="00000000">
        <w:rPr>
          <w:rtl w:val="0"/>
        </w:rPr>
      </w:r>
    </w:p>
    <w:p w:rsidR="00000000" w:rsidDel="00000000" w:rsidP="00000000" w:rsidRDefault="00000000" w:rsidRPr="00000000" w14:paraId="0000006E">
      <w:pPr>
        <w:spacing w:line="240" w:lineRule="auto"/>
        <w:rPr>
          <w:sz w:val="24"/>
          <w:szCs w:val="24"/>
        </w:rPr>
      </w:pPr>
      <w:r w:rsidDel="00000000" w:rsidR="00000000" w:rsidRPr="00000000">
        <w:rPr>
          <w:sz w:val="24"/>
          <w:szCs w:val="24"/>
          <w:rtl w:val="0"/>
        </w:rPr>
        <w:t xml:space="preserve">UNICEF. </w:t>
      </w:r>
      <w:r w:rsidDel="00000000" w:rsidR="00000000" w:rsidRPr="00000000">
        <w:rPr>
          <w:b w:val="1"/>
          <w:sz w:val="24"/>
          <w:szCs w:val="24"/>
          <w:rtl w:val="0"/>
        </w:rPr>
        <w:t xml:space="preserve">Trabalho Infantil e Desigualdades no Brasil.</w:t>
      </w:r>
      <w:r w:rsidDel="00000000" w:rsidR="00000000" w:rsidRPr="00000000">
        <w:rPr>
          <w:sz w:val="24"/>
          <w:szCs w:val="24"/>
          <w:rtl w:val="0"/>
        </w:rPr>
        <w:t xml:space="preserve"> 2022.‌</w:t>
      </w:r>
      <w:r w:rsidDel="00000000" w:rsidR="00000000" w:rsidRPr="00000000">
        <w:rPr>
          <w:rtl w:val="0"/>
        </w:rPr>
      </w:r>
    </w:p>
    <w:sectPr>
      <w:headerReference r:id="rId8" w:type="default"/>
      <w:headerReference r:id="rId9" w:type="first"/>
      <w:headerReference r:id="rId10" w:type="even"/>
      <w:footerReference r:id="rId11" w:type="first"/>
      <w:footerReference r:id="rId12" w:type="even"/>
      <w:pgSz w:h="16834" w:w="11909" w:orient="portrait"/>
      <w:pgMar w:bottom="1440" w:top="1440" w:left="1440" w:right="1440" w:header="3401.5748031496064" w:footer="566.929133858267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
    <w:p w:rsidR="00000000" w:rsidDel="00000000" w:rsidP="00000000" w:rsidRDefault="00000000" w:rsidRPr="00000000" w14:paraId="00000074">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Doutora em Estudos Interdisciplinares sobre mulher, gênero e feminismo pela Universidade Federal da Bahia - UFBA. Professora da graduação e da pós-graduação em Serviço Social da Universidade Federal de Alagoas - UFAL. Líder do Grupo de Pesquisa Frida Kahlo - CNPq/UFAL. Coordenadora do projeto de pesquisa PIBIC. andreapacheco@fsso.ufal.br.</w:t>
      </w:r>
    </w:p>
  </w:footnote>
  <w:footnote w:id="2">
    <w:p w:rsidR="00000000" w:rsidDel="00000000" w:rsidP="00000000" w:rsidRDefault="00000000" w:rsidRPr="00000000" w14:paraId="00000075">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Mestranda no Programa de Pós-Graduação em Serviço Social da Universidade Federal de Alagoas (PPGSS/UFAL). Bacharel em Serviço Social pela UFAL. Pesquisadora vinculada ao Grupo de Pesquisa Frida Kahlo: Estudos de Gênero, Feminismo e Serviço Social. E-mail: </w:t>
      </w:r>
    </w:p>
  </w:footnote>
  <w:footnote w:id="3">
    <w:p w:rsidR="00000000" w:rsidDel="00000000" w:rsidP="00000000" w:rsidRDefault="00000000" w:rsidRPr="00000000" w14:paraId="00000076">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Doutoranda no Programa de Pós-Graduação em Serviço Social da Universidade Federal de Alagoas (PPGSS/UFAL). Bacharel em Serviço Social pela UFAL. Pesquisadora vinculada ao Grupo de Pesquisa Frida Kahlo: Estudos de Gênero, Feminismo e Serviço Social. E-mail: gildetef77@gmail.com</w:t>
      </w:r>
    </w:p>
  </w:footnote>
  <w:footnote w:id="4">
    <w:p w:rsidR="00000000" w:rsidDel="00000000" w:rsidP="00000000" w:rsidRDefault="00000000" w:rsidRPr="00000000" w14:paraId="00000077">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Mestranda no Programa de Pós-Graduação em Serviço Social da Universidade Federal de Alagoas (PPGSS/UFAL). Bacharel em Serviço Social pela UFAL. Pesquisadora vinculada ao Grupo de Pesquisa Frida Kahlo: Estudos de Gênero, Feminismo e Serviço Social. E-mail: patricia.magalhaes@fsso.ufal.br</w:t>
      </w:r>
    </w:p>
  </w:footnote>
  <w:footnote w:id="0">
    <w:p w:rsidR="00000000" w:rsidDel="00000000" w:rsidP="00000000" w:rsidRDefault="00000000" w:rsidRPr="00000000" w14:paraId="00000078">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Graduanda em Serviço Social pela UFAL, vinculada ao Grupo de Pesquisa Frida Kahlo/CNPq/UFAL. E-mail: manuela.rocha@fsso.ufal.br</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rPr/>
    </w:pPr>
    <w:r w:rsidDel="00000000" w:rsidR="00000000" w:rsidRPr="00000000">
      <w:rPr/>
      <w:drawing>
        <wp:anchor allowOverlap="1" behindDoc="1" distB="114300" distT="114300" distL="114300" distR="114300" hidden="0" layoutInCell="1" locked="0" relativeHeight="0" simplePos="0">
          <wp:simplePos x="0" y="0"/>
          <wp:positionH relativeFrom="page">
            <wp:posOffset>-21599</wp:posOffset>
          </wp:positionH>
          <wp:positionV relativeFrom="page">
            <wp:posOffset>0</wp:posOffset>
          </wp:positionV>
          <wp:extent cx="7613813" cy="10858500"/>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613813" cy="10858500"/>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jc w:val="center"/>
      <w:rPr/>
    </w:pPr>
    <w:r w:rsidDel="00000000" w:rsidR="00000000" w:rsidRPr="00000000">
      <w:rPr/>
      <w:drawing>
        <wp:anchor allowOverlap="1" behindDoc="1" distB="114300" distT="114300" distL="114300" distR="114300" hidden="0" layoutInCell="1" locked="0" relativeHeight="0" simplePos="0">
          <wp:simplePos x="0" y="0"/>
          <wp:positionH relativeFrom="page">
            <wp:posOffset>-25199</wp:posOffset>
          </wp:positionH>
          <wp:positionV relativeFrom="page">
            <wp:posOffset>0</wp:posOffset>
          </wp:positionV>
          <wp:extent cx="7613813" cy="1085850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613813" cy="10858500"/>
                  </a:xfrm>
                  <a:prstGeom prst="rect"/>
                  <a:ln/>
                </pic:spPr>
              </pic:pic>
            </a:graphicData>
          </a:graphic>
        </wp:anchor>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rPr/>
    </w:pPr>
    <w:r w:rsidDel="00000000" w:rsidR="00000000" w:rsidRPr="00000000">
      <w:rPr/>
      <w:drawing>
        <wp:anchor allowOverlap="1" behindDoc="1" distB="114300" distT="114300" distL="114300" distR="114300" hidden="0" layoutInCell="1" locked="0" relativeHeight="0" simplePos="0">
          <wp:simplePos x="0" y="0"/>
          <wp:positionH relativeFrom="page">
            <wp:posOffset>-25199</wp:posOffset>
          </wp:positionH>
          <wp:positionV relativeFrom="page">
            <wp:posOffset>3600</wp:posOffset>
          </wp:positionV>
          <wp:extent cx="7613813" cy="10858500"/>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613813" cy="1085850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3.xml"/><Relationship Id="rId12" Type="http://schemas.openxmlformats.org/officeDocument/2006/relationships/footer" Target="footer2.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ibge.gov.br"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