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4"/>
          <w:szCs w:val="24"/>
        </w:rPr>
      </w:pPr>
      <w:r w:rsidDel="00000000" w:rsidR="00000000" w:rsidRPr="00000000">
        <w:rPr>
          <w:b w:val="1"/>
          <w:sz w:val="24"/>
          <w:szCs w:val="24"/>
          <w:rtl w:val="0"/>
        </w:rPr>
        <w:t xml:space="preserve">NEGAÇÃO DE DIREITOS SOCIAIS ÀS INFÂNCIAS NEGRAS NO BRASIL:</w:t>
      </w:r>
    </w:p>
    <w:p w:rsidR="00000000" w:rsidDel="00000000" w:rsidP="00000000" w:rsidRDefault="00000000" w:rsidRPr="00000000" w14:paraId="00000002">
      <w:pPr>
        <w:spacing w:line="276" w:lineRule="auto"/>
        <w:jc w:val="center"/>
        <w:rPr>
          <w:sz w:val="24"/>
          <w:szCs w:val="24"/>
        </w:rPr>
      </w:pPr>
      <w:r w:rsidDel="00000000" w:rsidR="00000000" w:rsidRPr="00000000">
        <w:rPr>
          <w:sz w:val="24"/>
          <w:szCs w:val="24"/>
          <w:rtl w:val="0"/>
        </w:rPr>
        <w:t xml:space="preserve">uma análise a partir da teoria marxista da dependência</w:t>
      </w:r>
    </w:p>
    <w:p w:rsidR="00000000" w:rsidDel="00000000" w:rsidP="00000000" w:rsidRDefault="00000000" w:rsidRPr="00000000" w14:paraId="00000003">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4">
      <w:pPr>
        <w:spacing w:line="276" w:lineRule="auto"/>
        <w:jc w:val="right"/>
        <w:rPr>
          <w:sz w:val="20"/>
          <w:szCs w:val="20"/>
        </w:rPr>
      </w:pPr>
      <w:r w:rsidDel="00000000" w:rsidR="00000000" w:rsidRPr="00000000">
        <w:rPr>
          <w:sz w:val="20"/>
          <w:szCs w:val="20"/>
          <w:rtl w:val="0"/>
        </w:rPr>
        <w:t xml:space="preserve">Leônia Letícia Nascimento Batista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276" w:lineRule="auto"/>
        <w:jc w:val="right"/>
        <w:rPr>
          <w:sz w:val="20"/>
          <w:szCs w:val="20"/>
        </w:rPr>
      </w:pPr>
      <w:r w:rsidDel="00000000" w:rsidR="00000000" w:rsidRPr="00000000">
        <w:rPr>
          <w:rtl w:val="0"/>
        </w:rPr>
      </w:r>
    </w:p>
    <w:p w:rsidR="00000000" w:rsidDel="00000000" w:rsidP="00000000" w:rsidRDefault="00000000" w:rsidRPr="00000000" w14:paraId="00000006">
      <w:pPr>
        <w:spacing w:line="276" w:lineRule="auto"/>
        <w:ind w:left="3600" w:firstLine="0"/>
        <w:rPr>
          <w:b w:val="1"/>
          <w:sz w:val="24"/>
          <w:szCs w:val="24"/>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3600" w:firstLine="0"/>
        <w:jc w:val="both"/>
        <w:rPr>
          <w:sz w:val="20"/>
          <w:szCs w:val="20"/>
        </w:rPr>
      </w:pPr>
      <w:r w:rsidDel="00000000" w:rsidR="00000000" w:rsidRPr="00000000">
        <w:rPr>
          <w:sz w:val="20"/>
          <w:szCs w:val="20"/>
          <w:rtl w:val="0"/>
        </w:rPr>
        <w:t xml:space="preserve">O presente trabalho objetiva expor a forma como o Estado junto a outras esferas da superestrutura atuam na reprodução das violações de direitos sociais de crianças e adolescentes negras. A análise é realizada com base na Teoria Marxista da Dependência, perfazendo a trajetória das infâncias brasileiras e abordando aspectos sociopolíticos que contribuiram para a construção de uma sociedade que, com base no racismo estrutural, que perpetua o genocídio da população negra desde a infância.</w:t>
      </w:r>
    </w:p>
    <w:p w:rsidR="00000000" w:rsidDel="00000000" w:rsidP="00000000" w:rsidRDefault="00000000" w:rsidRPr="00000000" w14:paraId="00000008">
      <w:pPr>
        <w:spacing w:line="240" w:lineRule="auto"/>
        <w:ind w:left="3600"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3600" w:firstLine="0"/>
        <w:jc w:val="both"/>
        <w:rPr>
          <w:sz w:val="20"/>
          <w:szCs w:val="20"/>
        </w:rPr>
      </w:pPr>
      <w:r w:rsidDel="00000000" w:rsidR="00000000" w:rsidRPr="00000000">
        <w:rPr>
          <w:sz w:val="20"/>
          <w:szCs w:val="20"/>
          <w:rtl w:val="0"/>
        </w:rPr>
        <w:t xml:space="preserve">Palavras-chave: infâncias; questão racial; direitos sociais.</w:t>
      </w:r>
    </w:p>
    <w:p w:rsidR="00000000" w:rsidDel="00000000" w:rsidP="00000000" w:rsidRDefault="00000000" w:rsidRPr="00000000" w14:paraId="0000000A">
      <w:pPr>
        <w:spacing w:line="240" w:lineRule="auto"/>
        <w:ind w:left="3600"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3600"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C">
      <w:pPr>
        <w:spacing w:line="240" w:lineRule="auto"/>
        <w:ind w:left="3600" w:firstLine="0"/>
        <w:jc w:val="both"/>
        <w:rPr>
          <w:sz w:val="20"/>
          <w:szCs w:val="20"/>
        </w:rPr>
      </w:pPr>
      <w:r w:rsidDel="00000000" w:rsidR="00000000" w:rsidRPr="00000000">
        <w:rPr>
          <w:sz w:val="20"/>
          <w:szCs w:val="20"/>
          <w:rtl w:val="0"/>
        </w:rPr>
        <w:t xml:space="preserve">This paper aims to expose how the State, together with other spheres of the superstructure, act to reproduce violations of the social rights of black children and adolescents. The analysis is based on Marxist Dependency Theory, covering the trajectory of Brazilian childhoods and addressing sociopolitical aspects that contributed to the construction of a society that, based on structural racism, perpetuates the genocide of the black population since childhood.</w:t>
      </w:r>
    </w:p>
    <w:p w:rsidR="00000000" w:rsidDel="00000000" w:rsidP="00000000" w:rsidRDefault="00000000" w:rsidRPr="00000000" w14:paraId="0000000D">
      <w:pPr>
        <w:spacing w:line="240" w:lineRule="auto"/>
        <w:ind w:left="3600"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3600" w:firstLine="0"/>
        <w:jc w:val="both"/>
        <w:rPr>
          <w:sz w:val="20"/>
          <w:szCs w:val="20"/>
        </w:rPr>
      </w:pPr>
      <w:r w:rsidDel="00000000" w:rsidR="00000000" w:rsidRPr="00000000">
        <w:rPr>
          <w:sz w:val="20"/>
          <w:szCs w:val="20"/>
          <w:rtl w:val="0"/>
        </w:rPr>
        <w:t xml:space="preserve">Keywords: childhoods; racial issues; social rights.</w:t>
      </w:r>
    </w:p>
    <w:p w:rsidR="00000000" w:rsidDel="00000000" w:rsidP="00000000" w:rsidRDefault="00000000" w:rsidRPr="00000000" w14:paraId="0000000F">
      <w:pPr>
        <w:spacing w:line="240" w:lineRule="auto"/>
        <w:ind w:left="3600" w:firstLine="0"/>
        <w:jc w:val="both"/>
        <w:rPr>
          <w:sz w:val="20"/>
          <w:szCs w:val="20"/>
        </w:rPr>
      </w:pPr>
      <w:r w:rsidDel="00000000" w:rsidR="00000000" w:rsidRPr="00000000">
        <w:rPr>
          <w:rtl w:val="0"/>
        </w:rPr>
      </w:r>
    </w:p>
    <w:p w:rsidR="00000000" w:rsidDel="00000000" w:rsidP="00000000" w:rsidRDefault="00000000" w:rsidRPr="00000000" w14:paraId="00000010">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1">
      <w:pPr>
        <w:numPr>
          <w:ilvl w:val="0"/>
          <w:numId w:val="1"/>
        </w:numPr>
        <w:spacing w:line="276" w:lineRule="auto"/>
        <w:ind w:left="720" w:hanging="360"/>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A </w:t>
      </w:r>
      <w:r w:rsidDel="00000000" w:rsidR="00000000" w:rsidRPr="00000000">
        <w:rPr>
          <w:i w:val="1"/>
          <w:sz w:val="24"/>
          <w:szCs w:val="24"/>
          <w:rtl w:val="0"/>
        </w:rPr>
        <w:t xml:space="preserve">Convenção sobre os Direitos da Criança</w:t>
      </w:r>
      <w:r w:rsidDel="00000000" w:rsidR="00000000" w:rsidRPr="00000000">
        <w:rPr>
          <w:sz w:val="24"/>
          <w:szCs w:val="24"/>
          <w:rtl w:val="0"/>
        </w:rPr>
        <w:t xml:space="preserve">, promovida pela Assembleia Geral das Nações Unidas em 1989, destacou a importância de garantir a proteção integral das crianças e adolescentes, priorizando seu desenvolvimento e acesso aos direitos fundamentais. A partir de então, vários países do globo ratificaram esse documento e passaram a aplicar as diretrizes em suas legislações e atos normativos; porém, apesar dos avanços, ainda há um atraso severo na materialização das políticas para as infâncias, e evidentemente, uma parcela desta categoria é preterida. </w:t>
      </w:r>
    </w:p>
    <w:p w:rsidR="00000000" w:rsidDel="00000000" w:rsidP="00000000" w:rsidRDefault="00000000" w:rsidRPr="00000000" w14:paraId="00000014">
      <w:pPr>
        <w:widowControl w:val="0"/>
        <w:spacing w:line="360" w:lineRule="auto"/>
        <w:ind w:firstLine="720"/>
        <w:jc w:val="both"/>
        <w:rPr>
          <w:sz w:val="24"/>
          <w:szCs w:val="24"/>
        </w:rPr>
      </w:pPr>
      <w:r w:rsidDel="00000000" w:rsidR="00000000" w:rsidRPr="00000000">
        <w:rPr>
          <w:sz w:val="24"/>
          <w:szCs w:val="24"/>
          <w:rtl w:val="0"/>
        </w:rPr>
        <w:t xml:space="preserve">É incontestável a idealização — ou até mesmo romantização — que se cria em torno da infância, sendo este um período crucial para a formação do indivíduo, momento de intenso aprendizado e formação de vínculos que irão contribuir significativamente para seu desenvolvimento. Porém, é necessário reconhecer que nem todas as crianças têm as mesmas oportunidades de desfrutar de uma infância segura, saudável e feliz, e um desenvolvimento integral de qualidade. Infelizmente há uma parcela que é desumanizada, quase que indigna do direito à infância, e esta parcela tem demarcadores de classe e raça, evidente no percurso histórico do processo de acumulação capitalista.</w:t>
      </w:r>
    </w:p>
    <w:p w:rsidR="00000000" w:rsidDel="00000000" w:rsidP="00000000" w:rsidRDefault="00000000" w:rsidRPr="00000000" w14:paraId="00000015">
      <w:pPr>
        <w:widowControl w:val="0"/>
        <w:spacing w:line="360" w:lineRule="auto"/>
        <w:ind w:firstLine="720"/>
        <w:jc w:val="both"/>
        <w:rPr>
          <w:sz w:val="24"/>
          <w:szCs w:val="24"/>
        </w:rPr>
      </w:pPr>
      <w:r w:rsidDel="00000000" w:rsidR="00000000" w:rsidRPr="00000000">
        <w:rPr>
          <w:sz w:val="24"/>
          <w:szCs w:val="24"/>
          <w:rtl w:val="0"/>
        </w:rPr>
        <w:t xml:space="preserve">A partir do modo de produção escravista, onde infantes eram comercializados e tratados de modo semelhante aos animais, pois “[...] poderiam ser vendidas e separadas das mães em qualquer idade” (Davis, 2016, p. 20) é possível constatar esses demarcadores de classe e raça. Assim como no desenvolvimento do modo de produção capitalista, como é exposto no clássico </w:t>
      </w:r>
      <w:r w:rsidDel="00000000" w:rsidR="00000000" w:rsidRPr="00000000">
        <w:rPr>
          <w:i w:val="1"/>
          <w:sz w:val="24"/>
          <w:szCs w:val="24"/>
          <w:rtl w:val="0"/>
        </w:rPr>
        <w:t xml:space="preserve">O Capital</w:t>
      </w:r>
      <w:r w:rsidDel="00000000" w:rsidR="00000000" w:rsidRPr="00000000">
        <w:rPr>
          <w:sz w:val="24"/>
          <w:szCs w:val="24"/>
          <w:rtl w:val="0"/>
        </w:rPr>
        <w:t xml:space="preserve">, crianças e adolescentes de classes subalternizadas eram tratadas como meras ferramentas a serviço do processo de acumulação capitalista sendo expostas a extenuantes jornadas de trabalho em ambientes insalubres.</w:t>
      </w:r>
    </w:p>
    <w:p w:rsidR="00000000" w:rsidDel="00000000" w:rsidP="00000000" w:rsidRDefault="00000000" w:rsidRPr="00000000" w14:paraId="00000016">
      <w:pPr>
        <w:widowControl w:val="0"/>
        <w:spacing w:line="360" w:lineRule="auto"/>
        <w:ind w:firstLine="720"/>
        <w:jc w:val="both"/>
        <w:rPr>
          <w:sz w:val="24"/>
          <w:szCs w:val="24"/>
        </w:rPr>
      </w:pPr>
      <w:r w:rsidDel="00000000" w:rsidR="00000000" w:rsidRPr="00000000">
        <w:rPr>
          <w:sz w:val="24"/>
          <w:szCs w:val="24"/>
          <w:rtl w:val="0"/>
        </w:rPr>
        <w:t xml:space="preserve">Essas violências são iniciadas através das mulheres — tidas como referência do cuidado com os infantes — que ao longo da história do desenvolvimento das forças produtivas foram alvo das piores formas de violências, sendo frequente a violência física e a sexual, e tornando ausente a autonomia reprodutiva. Portanto, muitos bebês além de gerados de forma violenta, não tiveram o direito de serem cuidados por suas mães. </w:t>
      </w:r>
    </w:p>
    <w:p w:rsidR="00000000" w:rsidDel="00000000" w:rsidP="00000000" w:rsidRDefault="00000000" w:rsidRPr="00000000" w14:paraId="00000017">
      <w:pPr>
        <w:widowControl w:val="0"/>
        <w:spacing w:line="360" w:lineRule="auto"/>
        <w:ind w:firstLine="720"/>
        <w:jc w:val="both"/>
        <w:rPr>
          <w:sz w:val="24"/>
          <w:szCs w:val="24"/>
        </w:rPr>
      </w:pPr>
      <w:r w:rsidDel="00000000" w:rsidR="00000000" w:rsidRPr="00000000">
        <w:rPr>
          <w:sz w:val="24"/>
          <w:szCs w:val="24"/>
          <w:rtl w:val="0"/>
        </w:rPr>
        <w:t xml:space="preserve">Então, diante da realidade brasileira torna-se possível conceber que as violações iniciam até mesmo antes do nascimento, afinal, diante da estrutura social de um país alicerçado sob o racismo a sobrevivência durante a infância para crianças negras torna-se questionável. E em um contexto de capitalismo dependente onde a superexploração é uma realidade, e a inclinação para o acesso a direitos sociais básicos tende a ser precarizada, viver é quase um luxo e lutar pela sobrevivência é uma regra. Diante dessas considerações, este trabalho terá como base a Teoria Marxista da Dependência — TMD, para analisar as violações de direitos contra crianças e adolescentes negros no Brasil ao considerar a relação entre dependência econômica, exploração capitalista e as estruturas racistas e coloniais que perpetuam a desigualdade social.</w:t>
      </w:r>
    </w:p>
    <w:p w:rsidR="00000000" w:rsidDel="00000000" w:rsidP="00000000" w:rsidRDefault="00000000" w:rsidRPr="00000000" w14:paraId="00000018">
      <w:pPr>
        <w:widowControl w:val="0"/>
        <w:spacing w:line="360" w:lineRule="auto"/>
        <w:ind w:firstLine="720"/>
        <w:jc w:val="both"/>
        <w:rPr>
          <w:sz w:val="24"/>
          <w:szCs w:val="24"/>
        </w:rPr>
      </w:pPr>
      <w:r w:rsidDel="00000000" w:rsidR="00000000" w:rsidRPr="00000000">
        <w:rPr>
          <w:sz w:val="24"/>
          <w:szCs w:val="24"/>
          <w:rtl w:val="0"/>
        </w:rPr>
        <w:t xml:space="preserve">A pesquisa segue uma abordagem qualitativa, com objetivos descritivos e explorátorios que versam sobre: </w:t>
      </w:r>
      <w:r w:rsidDel="00000000" w:rsidR="00000000" w:rsidRPr="00000000">
        <w:rPr>
          <w:sz w:val="24"/>
          <w:szCs w:val="24"/>
          <w:rtl w:val="0"/>
        </w:rPr>
        <w:t xml:space="preserve">a análise das violências que acometem</w:t>
      </w:r>
      <w:r w:rsidDel="00000000" w:rsidR="00000000" w:rsidRPr="00000000">
        <w:rPr>
          <w:sz w:val="24"/>
          <w:szCs w:val="24"/>
          <w:rtl w:val="0"/>
        </w:rPr>
        <w:t xml:space="preserve"> as infâncias negras a partir da teoria marxista da dependência, compreendendo como a formação do Estado brasileiro cria as bases para uma negação estrutural aos direitos sociais de infantes negros/as. Para tal, a pesquisa bibliográfica e documental terá como base autores que tratam da categoria infância; formação social brasileira; e teoria marxista da dependência, a partir de obras completas e artigos, assim como dados estatísticos.</w:t>
      </w:r>
    </w:p>
    <w:p w:rsidR="00000000" w:rsidDel="00000000" w:rsidP="00000000" w:rsidRDefault="00000000" w:rsidRPr="00000000" w14:paraId="00000019">
      <w:pPr>
        <w:widowControl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A">
      <w:pPr>
        <w:numPr>
          <w:ilvl w:val="0"/>
          <w:numId w:val="2"/>
        </w:numPr>
        <w:spacing w:line="360" w:lineRule="auto"/>
        <w:ind w:left="720" w:hanging="360"/>
        <w:rPr>
          <w:b w:val="1"/>
          <w:sz w:val="24"/>
          <w:szCs w:val="24"/>
        </w:rPr>
      </w:pPr>
      <w:r w:rsidDel="00000000" w:rsidR="00000000" w:rsidRPr="00000000">
        <w:rPr>
          <w:b w:val="1"/>
          <w:sz w:val="24"/>
          <w:szCs w:val="24"/>
          <w:rtl w:val="0"/>
        </w:rPr>
        <w:t xml:space="preserve">BREVES CONSIDERAÇÕES ACERCA DA CATEGORIA ESTADO </w:t>
      </w:r>
    </w:p>
    <w:p w:rsidR="00000000" w:rsidDel="00000000" w:rsidP="00000000" w:rsidRDefault="00000000" w:rsidRPr="00000000" w14:paraId="0000001B">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Neste item, será exposta uma breve consideração acerca do conceito de Estado, este que é uma categoria fundamental para a compreensão da dinâmica do racismo estrutural e das origens das violações de direitos perpetuadas através deste. Considerando que os principais autores da TMD</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têm como base em suas análises a concepção de Estado de Lênin, serão expostos dois pontos do seu texto </w:t>
      </w:r>
      <w:r w:rsidDel="00000000" w:rsidR="00000000" w:rsidRPr="00000000">
        <w:rPr>
          <w:i w:val="1"/>
          <w:sz w:val="24"/>
          <w:szCs w:val="24"/>
          <w:highlight w:val="white"/>
          <w:rtl w:val="0"/>
        </w:rPr>
        <w:t xml:space="preserve">Sobre o Estado</w:t>
      </w:r>
      <w:r w:rsidDel="00000000" w:rsidR="00000000" w:rsidRPr="00000000">
        <w:rPr>
          <w:sz w:val="24"/>
          <w:szCs w:val="24"/>
          <w:highlight w:val="white"/>
          <w:rtl w:val="0"/>
        </w:rPr>
        <w:t xml:space="preserve"> pronunciado na Conferência na Universidade Sverdlov: </w:t>
      </w:r>
      <w:r w:rsidDel="00000000" w:rsidR="00000000" w:rsidRPr="00000000">
        <w:rPr>
          <w:sz w:val="24"/>
          <w:szCs w:val="24"/>
          <w:rtl w:val="0"/>
        </w:rPr>
        <w:t xml:space="preserve">o surgimento do Estado ocorre com a instituição da sociedade de classes “[...] a divisão em grupos de pessoas, algumas das quais se apropriam permanentemente do trabalho alheio, por meio do qual uns exploram os outros” (Lênin, 2019, p. 351); O autor também aponta que os métodos de coerção física utilizados pelos grupos que governam, ou seja, os representantes do Estado, são métodos de violência condizentes com cada época, mas sempre com o intuito de reafirmar o poder do Estado e o exercício de dominação (Lênin, 2019). E estes métodos podem ser difíceis de se identificar a depender do grau de sutileza utilizado.</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 xml:space="preserve"> </w:t>
        <w:tab/>
        <w:t xml:space="preserve">Para compreender a relação de dependência vale salientar que se trata de uma condição econômica que abrange todos os países da América Latina e “[...] se desdobra em um mecanismo de transferência de valor das economias dependentes em direção às economias centrais” (Fagundes, 2021, p. 3). E tal condição resulta em um processo de superexploração da força de trabalho, onde basicamente a classe trabalhadora dos países dependentes sofre um nível de exploração mais intenso do que nos países centrais, </w:t>
      </w:r>
    </w:p>
    <w:p w:rsidR="00000000" w:rsidDel="00000000" w:rsidP="00000000" w:rsidRDefault="00000000" w:rsidRPr="00000000" w14:paraId="0000001E">
      <w:pPr>
        <w:spacing w:line="360" w:lineRule="auto"/>
        <w:jc w:val="both"/>
        <w:rPr>
          <w:sz w:val="24"/>
          <w:szCs w:val="24"/>
        </w:rPr>
      </w:pPr>
      <w:r w:rsidDel="00000000" w:rsidR="00000000" w:rsidRPr="00000000">
        <w:rPr>
          <w:rtl w:val="0"/>
        </w:rPr>
      </w:r>
    </w:p>
    <w:p w:rsidR="00000000" w:rsidDel="00000000" w:rsidP="00000000" w:rsidRDefault="00000000" w:rsidRPr="00000000" w14:paraId="0000001F">
      <w:pPr>
        <w:spacing w:line="240" w:lineRule="auto"/>
        <w:ind w:left="2880" w:firstLine="0"/>
        <w:jc w:val="both"/>
        <w:rPr>
          <w:sz w:val="20"/>
          <w:szCs w:val="20"/>
        </w:rPr>
      </w:pPr>
      <w:r w:rsidDel="00000000" w:rsidR="00000000" w:rsidRPr="00000000">
        <w:rPr>
          <w:sz w:val="20"/>
          <w:szCs w:val="20"/>
          <w:rtl w:val="0"/>
        </w:rPr>
        <w:t xml:space="preserve">Logo, a superexploração é um expediente fruto dessa natureza desigual do capitalismo mundial. Compreendemos a vigência de quatro manifestações específicas da superexploração da força de trabalho: a) pagamento da força de trabalho abaixo do seu valor; b) o prolongamento da jornada de trabalho além dos limites normais; c) o aumento da intensidade além dos limites normais; d) o hiato entre o elemento histórico moral do valor da força de trabalho e a remuneração do trabalhador. (Fagundes, 2021, p. 5)</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firstLine="720"/>
        <w:jc w:val="both"/>
        <w:rPr>
          <w:b w:val="1"/>
          <w:sz w:val="24"/>
          <w:szCs w:val="24"/>
        </w:rPr>
      </w:pPr>
      <w:r w:rsidDel="00000000" w:rsidR="00000000" w:rsidRPr="00000000">
        <w:rPr>
          <w:sz w:val="24"/>
          <w:szCs w:val="24"/>
          <w:rtl w:val="0"/>
        </w:rPr>
        <w:t xml:space="preserve">Aliado à superexploração, Maíra Bichir (2024) ressalta que há um caráter racista e patriarcal no Estado dependente latino-americano, onde o trabalho reprodutivo torna-se fundamental para a superexploração da força de trabalho e as políticas de genocídio da população negra junto ao controle dos corpos de mulheres são funcionais para a manutenção do capitalismo dependente (Bichir, 2024). E a partir dessas considerações é possível compreender a dinâmica do racismo estrutural</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no Estado brasileiro, e como este se consolida em todas as esferas e instituições da sociedade.</w:t>
      </w:r>
      <w:r w:rsidDel="00000000" w:rsidR="00000000" w:rsidRPr="00000000">
        <w:rPr>
          <w:rtl w:val="0"/>
        </w:rPr>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3">
      <w:pPr>
        <w:numPr>
          <w:ilvl w:val="0"/>
          <w:numId w:val="1"/>
        </w:numPr>
        <w:spacing w:line="360" w:lineRule="auto"/>
        <w:ind w:left="720" w:hanging="360"/>
        <w:jc w:val="both"/>
        <w:rPr>
          <w:b w:val="1"/>
          <w:sz w:val="24"/>
          <w:szCs w:val="24"/>
        </w:rPr>
      </w:pPr>
      <w:r w:rsidDel="00000000" w:rsidR="00000000" w:rsidRPr="00000000">
        <w:rPr>
          <w:b w:val="1"/>
          <w:sz w:val="24"/>
          <w:szCs w:val="24"/>
          <w:rtl w:val="0"/>
        </w:rPr>
        <w:t xml:space="preserve">FORMAÇÃO SOCIAL BRASILEIRA E O RACISMO ESTRUTURAL</w:t>
      </w:r>
      <w:r w:rsidDel="00000000" w:rsidR="00000000" w:rsidRPr="00000000">
        <w:rPr>
          <w:sz w:val="24"/>
          <w:szCs w:val="24"/>
          <w:rtl w:val="0"/>
        </w:rPr>
        <w:tab/>
      </w:r>
    </w:p>
    <w:p w:rsidR="00000000" w:rsidDel="00000000" w:rsidP="00000000" w:rsidRDefault="00000000" w:rsidRPr="00000000" w14:paraId="00000024">
      <w:pPr>
        <w:widowControl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5">
      <w:pPr>
        <w:widowControl w:val="0"/>
        <w:spacing w:line="360" w:lineRule="auto"/>
        <w:ind w:firstLine="720"/>
        <w:jc w:val="both"/>
        <w:rPr>
          <w:sz w:val="24"/>
          <w:szCs w:val="24"/>
        </w:rPr>
      </w:pPr>
      <w:r w:rsidDel="00000000" w:rsidR="00000000" w:rsidRPr="00000000">
        <w:rPr>
          <w:sz w:val="24"/>
          <w:szCs w:val="24"/>
          <w:rtl w:val="0"/>
        </w:rPr>
        <w:t xml:space="preserve">A formação sócio-histórica brasileira foi alicerçada no colonialismo, uma típica região de exploração com a finalidade de prover a Europa de ricas matérias-primas exploradas até o exaurimento, como afirma Marx (2013, p. 638) “[...] países da grande indústria estimulam de modo artificial a emigração e a colonização de países estrangeiros, transformando-os em celeiros de matérias-primas para a metrópole”. Estabelecendo então o desenvolvimento desigual e combinado, no qual o Brasil enquanto elo dependente, se mostrou eficaz em promover o acúmulo de riquezas dos países de capitalismo central, promovendo também um conjunto de problemas sociais que se prolongam desde que o país foi invadido pelos colonizadores.</w:t>
      </w:r>
    </w:p>
    <w:p w:rsidR="00000000" w:rsidDel="00000000" w:rsidP="00000000" w:rsidRDefault="00000000" w:rsidRPr="00000000" w14:paraId="00000026">
      <w:pPr>
        <w:widowControl w:val="0"/>
        <w:spacing w:line="360" w:lineRule="auto"/>
        <w:ind w:firstLine="720"/>
        <w:jc w:val="both"/>
        <w:rPr>
          <w:sz w:val="24"/>
          <w:szCs w:val="24"/>
        </w:rPr>
      </w:pPr>
      <w:r w:rsidDel="00000000" w:rsidR="00000000" w:rsidRPr="00000000">
        <w:rPr>
          <w:sz w:val="24"/>
          <w:szCs w:val="24"/>
          <w:rtl w:val="0"/>
        </w:rPr>
        <w:t xml:space="preserve">Aos países europeus pouco importava a forma como se dava o processo de  produção nas colônias latino-americanas, “a exploração do trabalho compulsório, em especial do escravo, estava subordinada aos movimentos do capital comercial europeu. Este capital comandava o processo de acumulação sem preocupar-se com o mando do processo de produção” (IANNI, 1978, p.8). Deste modo, a superexploração da força de trabalho, como dito, ocorre de forma intensificada nos países de economia dependente, atuando enquanto um dos fatores atrelados ao impulsionamento da </w:t>
      </w:r>
      <w:r w:rsidDel="00000000" w:rsidR="00000000" w:rsidRPr="00000000">
        <w:rPr>
          <w:i w:val="1"/>
          <w:sz w:val="24"/>
          <w:szCs w:val="24"/>
          <w:rtl w:val="0"/>
        </w:rPr>
        <w:t xml:space="preserve">questão social</w:t>
      </w:r>
      <w:r w:rsidDel="00000000" w:rsidR="00000000" w:rsidRPr="00000000">
        <w:rPr>
          <w:sz w:val="24"/>
          <w:szCs w:val="24"/>
          <w:rtl w:val="0"/>
        </w:rPr>
        <w:t xml:space="preserve">, se mantém como uma constante na sociedade capitalista brasileira e é ferramenta mor do processo de acumulação do capital, que consiste na “multiplicação do proletariado” (Marx, 2013, p.837); e dentro desse processo efetua-se a manutenção da hegemonia da classe burguesa.</w:t>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 xml:space="preserve"> </w:t>
        <w:tab/>
        <w:t xml:space="preserve">Nesse sentido, o Brasil como um país alicerçado sob as raízes da colonização aliada a um processo de escravidão, que nunca foi cessada de fato, torna a pobreza desta classe que foi escravizada como principal inimiga do Estado. Acresce que, a dinâmica do capitalismo que tem como base a exploração de uma classe sob a outra além de subalternizar os ex-escravizados irá moralizar sua condição, pois se estes sujeitos foram destinados a pseudoliberdade sem oportunidades para reconstruir suas vidas, o Estado enquanto precursor desta ideologia jamais irá se responsabilizar e fará o possível para extinguir o problema que ele próprio criou. É dentro deste contexto de criminalização da pobreza que avança o estado penal que tem como principal alvo corpos negros, inclusive de crianças e adolescentes</w:t>
      </w:r>
      <w:r w:rsidDel="00000000" w:rsidR="00000000" w:rsidRPr="00000000">
        <w:rPr>
          <w:sz w:val="16"/>
          <w:szCs w:val="16"/>
          <w:rtl w:val="0"/>
        </w:rPr>
        <w:t xml:space="preserve">.</w:t>
      </w:r>
      <w:r w:rsidDel="00000000" w:rsidR="00000000" w:rsidRPr="00000000">
        <w:rPr>
          <w:sz w:val="24"/>
          <w:szCs w:val="24"/>
          <w:rtl w:val="0"/>
        </w:rPr>
        <w:t xml:space="preserve"> </w:t>
        <w:br w:type="textWrapping"/>
        <w:tab/>
        <w:t xml:space="preserve">O camaronês Achille Mbembe (2018) em seu ensaio </w:t>
      </w:r>
      <w:r w:rsidDel="00000000" w:rsidR="00000000" w:rsidRPr="00000000">
        <w:rPr>
          <w:i w:val="1"/>
          <w:sz w:val="24"/>
          <w:szCs w:val="24"/>
          <w:rtl w:val="0"/>
        </w:rPr>
        <w:t xml:space="preserve">Necropolítica </w:t>
      </w:r>
      <w:r w:rsidDel="00000000" w:rsidR="00000000" w:rsidRPr="00000000">
        <w:rPr>
          <w:sz w:val="24"/>
          <w:szCs w:val="24"/>
          <w:rtl w:val="0"/>
        </w:rPr>
        <w:t xml:space="preserve">aponta, a respeito do biopoder</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que “a função do racismo é regular a distribuição da morte e tornar possíveis as funções assassinas do Estado”, além das inovações nas formas de matar há a necessidade de serem “menos crueis” na mesma medida em que elimina-se um grande contingente populacional em menor tempo, “aparecem formas de crueldade mais íntimas, sinistras e lentas” (MBEMBE, 2019, p. 23).</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 população empobrecida sempre foi alvo de políticas de controle, porém, no atual contexto neoliberal aliada ao aumento e naturalização da violência, e com o agravante do sucateamento das políticas sociais, a posição de marginalização onde são inseridos esses indivíduos favorece aos Aparelhos Ideológicos do Estado a disseminação da criminalização da pobreza. Ou seja, a premissa do Estado é expor a população negra a uma condição de superexploração que a joga em uma pobreza multidimensional, e a ainda a culpa pela sua condição. No próximo item será exposta às consequências desse contexto para as infâncias brasileiras.</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A">
      <w:pPr>
        <w:numPr>
          <w:ilvl w:val="0"/>
          <w:numId w:val="1"/>
        </w:numPr>
        <w:spacing w:line="360" w:lineRule="auto"/>
        <w:ind w:left="720" w:hanging="360"/>
        <w:jc w:val="both"/>
        <w:rPr>
          <w:b w:val="1"/>
          <w:sz w:val="24"/>
          <w:szCs w:val="24"/>
        </w:rPr>
      </w:pPr>
      <w:r w:rsidDel="00000000" w:rsidR="00000000" w:rsidRPr="00000000">
        <w:rPr>
          <w:b w:val="1"/>
          <w:sz w:val="24"/>
          <w:szCs w:val="24"/>
          <w:rtl w:val="0"/>
        </w:rPr>
        <w:t xml:space="preserve">INFÂNCIAS NEGRAS NO BRASIL: UMA TRAJETÓRIA DE NEGAÇÃO DE DIREITOS</w:t>
      </w:r>
    </w:p>
    <w:p w:rsidR="00000000" w:rsidDel="00000000" w:rsidP="00000000" w:rsidRDefault="00000000" w:rsidRPr="00000000" w14:paraId="0000002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Ao compreender o cenário de um Brasil que teve sua base econômica instituída no tráfico de escravizados e na superexploração da força de trabalho destes, quando acrescenta-se a categoria das infâncias tem-se uma interseccionalidade que abarca um grupo que foi foco de várias políticas de viés higienista e repressivo, que eram empreendidas de forma ostensiva, pelo menos até a década de 1990 quando foi promulgado o Estatuto da Criança e do Adolescente — ECA, que passou a considerar as crianças e adolescentes enquanto sujeitos de direitos e passíveis da proteção integral. </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No que se refere à criança negra no período escravocrata, Góes e Florentino (2018) apontam que a cada dez cativos, dois eram crianças, que eram submetidas a  níveis absurdos de violência. As violências se sucederam durante todo período colonial e imperial, indo desde situações humilhantes fomentadas por crianças livres, até adoecimentos e mortes decorrentes do trabalho precoce ou de castigos físicos. Antes mesmo do início da adolescência, já era exigido das crianças uma estrutura corpórea semelhante à de um adulto para o labor. Um cenário de negligência, violências, e exploração desmedida da força de trabalho que associadas às condições precárias de subsistência, contribuía para o aumento dos índices de mortalidade. Goés e Florentino (2018), asseveram:</w:t>
      </w:r>
    </w:p>
    <w:p w:rsidR="00000000" w:rsidDel="00000000" w:rsidP="00000000" w:rsidRDefault="00000000" w:rsidRPr="00000000" w14:paraId="0000002E">
      <w:pPr>
        <w:spacing w:after="360" w:before="240" w:line="240" w:lineRule="auto"/>
        <w:ind w:left="2988" w:firstLine="0"/>
        <w:jc w:val="both"/>
        <w:rPr>
          <w:sz w:val="20"/>
          <w:szCs w:val="20"/>
        </w:rPr>
      </w:pPr>
      <w:r w:rsidDel="00000000" w:rsidR="00000000" w:rsidRPr="00000000">
        <w:rPr>
          <w:sz w:val="20"/>
          <w:szCs w:val="20"/>
          <w:rtl w:val="0"/>
        </w:rPr>
        <w:t xml:space="preserve">Poucas crianças chegavam a ser adultos, sobretudo quando do incremento dos desembarques de africanos no porto carioca. Com efeito, os inventários das áreas rurais fluminenses mostram que, no intervalo entre o falecimento dos proprietários e a conclusão da partilha entre os herdeiros, os escravos com menos de dez anos de idade correspondiam a um terço dos cativos falecidos; dentre estes, dois terços morriam antes de completar um ano de idade, 80% até os cinco anos. (Góes e Florentino, 2018, p. 180).</w:t>
      </w:r>
    </w:p>
    <w:p w:rsidR="00000000" w:rsidDel="00000000" w:rsidP="00000000" w:rsidRDefault="00000000" w:rsidRPr="00000000" w14:paraId="0000002F">
      <w:pPr>
        <w:spacing w:line="360" w:lineRule="auto"/>
        <w:jc w:val="both"/>
        <w:rPr>
          <w:sz w:val="24"/>
          <w:szCs w:val="24"/>
        </w:rPr>
      </w:pPr>
      <w:r w:rsidDel="00000000" w:rsidR="00000000" w:rsidRPr="00000000">
        <w:rPr>
          <w:sz w:val="20"/>
          <w:szCs w:val="20"/>
          <w:rtl w:val="0"/>
        </w:rPr>
        <w:t xml:space="preserve"> </w:t>
        <w:tab/>
      </w:r>
      <w:r w:rsidDel="00000000" w:rsidR="00000000" w:rsidRPr="00000000">
        <w:rPr>
          <w:sz w:val="24"/>
          <w:szCs w:val="24"/>
          <w:rtl w:val="0"/>
        </w:rPr>
        <w:t xml:space="preserve">Outro mecanismo violento utilizado desde o período colonial, foi a </w:t>
      </w:r>
      <w:r w:rsidDel="00000000" w:rsidR="00000000" w:rsidRPr="00000000">
        <w:rPr>
          <w:i w:val="1"/>
          <w:sz w:val="24"/>
          <w:szCs w:val="24"/>
          <w:rtl w:val="0"/>
        </w:rPr>
        <w:t xml:space="preserve">Roda dos Expostos</w:t>
      </w:r>
      <w:r w:rsidDel="00000000" w:rsidR="00000000" w:rsidRPr="00000000">
        <w:rPr>
          <w:sz w:val="24"/>
          <w:szCs w:val="24"/>
          <w:rtl w:val="0"/>
        </w:rPr>
        <w:t xml:space="preserve">, principal mecanismo assistencial destinado aos infantes abandonados. Maria Luiza Marcílio (2003, p.53) afirma que essa instituição perdurou até meados da década de 1950, sendo o Brasil um dos últimos países a aboli-la. As crianças eram depositadas nas rodas e já “caiam” dentro da instituição. Sendo este o meio que garantia o anonimato do expositor e assim evitar que estas crianças fossem deixadas padecendo nas ruas ou portas alheias, conduta comum à época. (Marcilio, 2003, p. 54).</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Este mecanismo teve duração até o início do período republicano. Muitas crianças eram deixadas na “roda” em situação de óbito, outras bastante debilitadas que vinham a falecer ainda na infância, e os recém-nascidos eram alimentados por escravas responsáveis por serem amas-de-leite.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Após o período escravista, entre o fim do século XIX e o começo do século XX emerge um novo olhar sobre a criança na sociedade brasileira. Esta “deixa de ocupar uma posição secundária e mesmo desimportante na família e na sociedade e passa a ser percebida como patrimônio valioso de uma nação” (Rizzini, 2011, p. 24). Nesse sentido, passa a ser vista pelo Estado como objeto de sua intervenção, porém sob uma perspectiva eugênica, pois para os intelectuais da época “vigiar a criança para evitar que ela se desvie é entendido como parte de uma missão eugênica, cuja meta é a regeneração da raça humana.” (Rizzini, 2011, p. 24). </w:t>
        <w:br w:type="textWrapping"/>
        <w:tab/>
        <w:t xml:space="preserve">Então, a partir disso, irá se estabelecer uma multiplicidade de infâncias no Brasil. A demarcação entre as crianças que têm o direito a uma infância digna, com saúde, educação e lazer, e as que não o tem é incontestável. Fica óbvio que esta divisão carrega uma diferença que está nítida para muitos: a cor da pele e o lugar que ocupam na sociedade. Mas suas trajetórias serão descaracterizadas ao ponto de a culpabilização dos sujeitos ter mais relevância do que as bases violentas da construção da sociedade brasileira própria estrutura do sistema colonial aliada ao racismo estrutural.</w:t>
        <w:br w:type="textWrapping"/>
        <w:t xml:space="preserve"> </w:t>
        <w:tab/>
        <w:t xml:space="preserve">Durante o Estado Novo a centralização da assistência aos “menores” foi uma marca registrada, que caracterizou a passagem desse período ditatorial no âmbito da proteção à família. Para isso, houve a criação de alguns órgãos: SAM (Serviço de Atendimento ao Menor); DNCR (Departamento Nacional da Criança); LBA (Legião Brasileira de Assistência); FUNABEM (Fundação Nacional do Bem-Estar do Menor). Cujo objetivo era basicamente “civilizar” os infantes que estavam sob o domínio do Estado, ou, sob o Aparelho (repressivo) de Estado.</w:t>
        <w:br w:type="textWrapping"/>
        <w:t xml:space="preserve"> </w:t>
        <w:tab/>
        <w:t xml:space="preserve">A partir da promulgação da atual Constituição Federal - ou Constituição Cidadã -, no ano de 1988, regida pela democracia e tendo destaque pelos seus direitos fundamentais atribuídos a todos os cidadãos brasileiros, foram dispostas as bases para a aprovação do ECA (Estatuto da Criança e do Adolescente), e também do SUS (Sistema Único de Saúde) ambos com promulgação no ano de 1990. Sendo estas, legislações de extrema importância para as políticas direcionadas às crianças, em caráter universal. </w:t>
        <w:tab/>
        <w:t xml:space="preserve">  </w:t>
        <w:tab/>
      </w:r>
    </w:p>
    <w:p w:rsidR="00000000" w:rsidDel="00000000" w:rsidP="00000000" w:rsidRDefault="00000000" w:rsidRPr="00000000" w14:paraId="00000032">
      <w:pPr>
        <w:spacing w:line="360" w:lineRule="auto"/>
        <w:ind w:firstLine="720"/>
        <w:jc w:val="both"/>
        <w:rPr>
          <w:b w:val="1"/>
          <w:sz w:val="24"/>
          <w:szCs w:val="24"/>
        </w:rPr>
      </w:pPr>
      <w:r w:rsidDel="00000000" w:rsidR="00000000" w:rsidRPr="00000000">
        <w:rPr>
          <w:sz w:val="24"/>
          <w:szCs w:val="24"/>
          <w:rtl w:val="0"/>
        </w:rPr>
        <w:t xml:space="preserve">Porém, mesmo diante de avanços no âmbito das políticas públicas voltadas aos infantes, o apagamento das crianças e adolescentes negras na estrutura da sociabilidade brasileira segue presente, o que pode-se considerar como uma característica de uma economia dependente. E essa condição é perceptível nas estatísticas alarmantes, a exemplo de um levantamento realizado pela Visão Mundial, mostrando que entre 2009 e 2019, das 107.670 crianças e adolescentes assassinadas 76% eram negras. Diante de dados como esse pode-se afirmar que todas as crianças e adolescentes têm acesso a proteção integral de forma igualitária? </w:t>
      </w: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A pesquisa “As Múltiplas Dimensões da Pobreza na Infância e na Adolescência no Brasil” realizada pelo UNICEF (2023) traz mais dados relacionados às condições de violações de direitos que cerceiam as infâncias. De acordo com a pesquisa, cerca de 32 milhões de crianças e adolescentes até os 17 anos vivem na pobreza, e os números se agravaram durante o período da pandemia da covid-19. A pesquisa expõe dados relacionados a direitos sociais básicos que são negados as infâncias.</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No que se refere as condições de saneamento, ou seja, acesso a banheiro e rede esgoto, quase o dobro de crianças e adolescentes negros(as) e indígenas convivem com esse tipo de privação em relação brancos(as) e amarelos(as), sendo 47% e 29,7%, respectivamente (UNICEF, 2023). No mesmo estudo, temos que “mais de 20 milhões de crianças e adolescentes de 0 a 17 anos estavam privados(as) de um nível mínimo de renda para a satisfação de suas necessidades no Brasil, em 2019” (UNICEF, 2023), e nesse aspecto, o estudo aponta alguns dados da Pnad Contínua de 2021, e mostra que a privação de renda atingia um quantitativo superior a 50% de crianças e adolescentes negros(as) e indígenas, enquanto meninas e meninos brancos(as) e amarelos(as) não chegavam a 30%. E outros indíces também demonstram que os infantes negros e indígenas são os mais afetados pela privação no acesso, a alimentação adequada, educação e sofrem com o trabalho infantil (UNICEF, 2023). </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E acerca do trabalho infantil, esta é uma realidade diretamente ligado com a condição econômica dependente do Brasil, pois no âmbito da superexploração da força de trabalho a força de trabalho infantil é extremamente mal remunerada, ou por vezes, nem é remunerada, o que favorece a obtenção da mais-valia por parte dos grande capitalistas. E cabe lembrar que, o setor com maior percentual de trabalho infantil é a agricultura, que ocupa cerca de 70,9%</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de crianças e adolescentes, sendo o setor que mais exporta sua produção no Brasil, e vem crescendo constantemente, de acordo com o Ministério da Agricultura e Pecuária, o agronegócio foi responsável por 49% das exportações totais no país em 2023, ou seja, um setor com lucros abundantes. O que invisibiliza a cruel realidade do trabalho infantil, e faz reforçar através dos Aparelhos Ideologicos do Estado a ideologia do trabalho como educador, naturalizando uma violação que gera consequências para a saúde, afasta da escolarização e prejudica o desenvolvimento integral de crianças e adolescentes. </w:t>
      </w:r>
    </w:p>
    <w:p w:rsidR="00000000" w:rsidDel="00000000" w:rsidP="00000000" w:rsidRDefault="00000000" w:rsidRPr="00000000" w14:paraId="00000036">
      <w:pPr>
        <w:spacing w:line="360" w:lineRule="auto"/>
        <w:rPr>
          <w:b w:val="1"/>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76" w:lineRule="auto"/>
        <w:ind w:left="720" w:hanging="360"/>
        <w:rPr>
          <w:b w:val="1"/>
          <w:sz w:val="24"/>
          <w:szCs w:val="24"/>
        </w:rPr>
      </w:pPr>
      <w:r w:rsidDel="00000000" w:rsidR="00000000" w:rsidRPr="00000000">
        <w:rPr>
          <w:b w:val="1"/>
          <w:sz w:val="24"/>
          <w:szCs w:val="24"/>
          <w:rtl w:val="0"/>
        </w:rPr>
        <w:t xml:space="preserve">CONSIDERAÇÕES FINAIS </w:t>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ab/>
        <w:t xml:space="preserve">As crianças e adolescentes tiveram/têm um papel fundamental na formação sócio-histórica do Brasil, e apesar de terem sido, durante muito tempo, silenciadas ou moldadas para favorecer aos interesses da elite do país com sua ideologia pautada na construção de uma sociedade “civilizada”, e apesar de ainda serem alvo de silenciamento e violações de direitos, estes sujeitos têm potencial para traçarem suas próprias trajetórias. Porém, quando se trata de criança negra, indígena, imigrantes, a questão atinge proporções inimagináveis, que vão desde o descaso à invisibilidade. O que se processa é uma total desumanização dos corpos infantes por parte do Estado. Nesse sentido, ainda há muitos estigmas que perpassam até os dias atuais, principalmente no que se refere a fatores relacionados a questões étnico-raciais.</w:t>
      </w:r>
    </w:p>
    <w:p w:rsidR="00000000" w:rsidDel="00000000" w:rsidP="00000000" w:rsidRDefault="00000000" w:rsidRPr="00000000" w14:paraId="0000003A">
      <w:pPr>
        <w:spacing w:line="360" w:lineRule="auto"/>
        <w:jc w:val="both"/>
        <w:rPr>
          <w:sz w:val="24"/>
          <w:szCs w:val="24"/>
        </w:rPr>
      </w:pPr>
      <w:r w:rsidDel="00000000" w:rsidR="00000000" w:rsidRPr="00000000">
        <w:rPr>
          <w:sz w:val="24"/>
          <w:szCs w:val="24"/>
          <w:rtl w:val="0"/>
        </w:rPr>
        <w:t xml:space="preserve"> </w:t>
        <w:tab/>
        <w:t xml:space="preserve">Diante disso, a partir da teoria marxista da dependência é possível compreender fatores estruturais ligados às violações de direitos que aflige as infâncias negras diante de um modo de produção onde o racismo oferece as bases para o desenvolvimento do capitalismo onde a superexploração torna-se natural, e a precarização da força de trabalho é constante, produzindo a manutenção de uma pobreza geracional que tem raça/cor. E mesmo com os avanços e legislações que garantem os direitos sociais básicos, estes tornam-se quase escassos diante de uma estrutura que é moldada a desfavorecer uma parcela da população desde a sua colonização/invasão.</w:t>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BICHIR, Maíra Machado. A Teoria Marxista da Dependência e a categoria Estado dependente. </w:t>
      </w:r>
      <w:r w:rsidDel="00000000" w:rsidR="00000000" w:rsidRPr="00000000">
        <w:rPr>
          <w:b w:val="1"/>
          <w:sz w:val="24"/>
          <w:szCs w:val="24"/>
          <w:rtl w:val="0"/>
        </w:rPr>
        <w:t xml:space="preserve">Germinal: marxismo e educação em debate,</w:t>
      </w:r>
      <w:r w:rsidDel="00000000" w:rsidR="00000000" w:rsidRPr="00000000">
        <w:rPr>
          <w:sz w:val="24"/>
          <w:szCs w:val="24"/>
          <w:rtl w:val="0"/>
        </w:rPr>
        <w:t xml:space="preserve"> v. 16, n. 2, p. 213-236, 2024.</w:t>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after="240" w:line="240" w:lineRule="auto"/>
        <w:rPr>
          <w:sz w:val="24"/>
          <w:szCs w:val="24"/>
        </w:rPr>
      </w:pPr>
      <w:r w:rsidDel="00000000" w:rsidR="00000000" w:rsidRPr="00000000">
        <w:rPr>
          <w:sz w:val="24"/>
          <w:szCs w:val="24"/>
          <w:rtl w:val="0"/>
        </w:rPr>
        <w:t xml:space="preserve">CRIANÇA LIVRE DE TRABALHO INFANTIL (BRASIL). Trabalho infantil no mundo: O trabalho infantil é um dos mais graves problemas do país e também é um problema a ser enfrentado em várias partes do mundo. </w:t>
      </w:r>
      <w:r w:rsidDel="00000000" w:rsidR="00000000" w:rsidRPr="00000000">
        <w:rPr>
          <w:b w:val="1"/>
          <w:sz w:val="24"/>
          <w:szCs w:val="24"/>
          <w:rtl w:val="0"/>
        </w:rPr>
        <w:t xml:space="preserve">Estatísticas</w:t>
      </w:r>
      <w:r w:rsidDel="00000000" w:rsidR="00000000" w:rsidRPr="00000000">
        <w:rPr>
          <w:sz w:val="24"/>
          <w:szCs w:val="24"/>
          <w:rtl w:val="0"/>
        </w:rPr>
        <w:t xml:space="preserve">. Disponível em: https://livredetrabalhoinfantil.org.br/trabalho-infantil/estatisticas/. Acesso em: 12 fev. 2025.</w:t>
      </w:r>
    </w:p>
    <w:p w:rsidR="00000000" w:rsidDel="00000000" w:rsidP="00000000" w:rsidRDefault="00000000" w:rsidRPr="00000000" w14:paraId="00000041">
      <w:pPr>
        <w:spacing w:line="240" w:lineRule="auto"/>
        <w:rPr>
          <w:sz w:val="24"/>
          <w:szCs w:val="24"/>
          <w:highlight w:val="white"/>
        </w:rPr>
      </w:pPr>
      <w:r w:rsidDel="00000000" w:rsidR="00000000" w:rsidRPr="00000000">
        <w:rPr>
          <w:sz w:val="24"/>
          <w:szCs w:val="24"/>
          <w:highlight w:val="white"/>
          <w:rtl w:val="0"/>
        </w:rPr>
        <w:t xml:space="preserve">EURICO, Márcia Campos. </w:t>
      </w:r>
      <w:r w:rsidDel="00000000" w:rsidR="00000000" w:rsidRPr="00000000">
        <w:rPr>
          <w:b w:val="1"/>
          <w:sz w:val="24"/>
          <w:szCs w:val="24"/>
          <w:highlight w:val="white"/>
          <w:rtl w:val="0"/>
        </w:rPr>
        <w:t xml:space="preserve">Racismo na infância</w:t>
      </w:r>
      <w:r w:rsidDel="00000000" w:rsidR="00000000" w:rsidRPr="00000000">
        <w:rPr>
          <w:sz w:val="24"/>
          <w:szCs w:val="24"/>
          <w:highlight w:val="white"/>
          <w:rtl w:val="0"/>
        </w:rPr>
        <w:t xml:space="preserve">. Cortez Editora, 2022.</w:t>
      </w:r>
    </w:p>
    <w:p w:rsidR="00000000" w:rsidDel="00000000" w:rsidP="00000000" w:rsidRDefault="00000000" w:rsidRPr="00000000" w14:paraId="00000042">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3">
      <w:pPr>
        <w:spacing w:line="240" w:lineRule="auto"/>
        <w:rPr>
          <w:sz w:val="24"/>
          <w:szCs w:val="24"/>
          <w:highlight w:val="white"/>
        </w:rPr>
      </w:pPr>
      <w:r w:rsidDel="00000000" w:rsidR="00000000" w:rsidRPr="00000000">
        <w:rPr>
          <w:sz w:val="24"/>
          <w:szCs w:val="24"/>
          <w:highlight w:val="white"/>
          <w:rtl w:val="0"/>
        </w:rPr>
        <w:t xml:space="preserve">FAGUNDES, Gustavo. Relações raciais no Brasil e a superexploração da força de trabalho: apontamentos e um breve diálogo. </w:t>
      </w:r>
      <w:r w:rsidDel="00000000" w:rsidR="00000000" w:rsidRPr="00000000">
        <w:rPr>
          <w:b w:val="1"/>
          <w:sz w:val="24"/>
          <w:szCs w:val="24"/>
          <w:highlight w:val="white"/>
          <w:rtl w:val="0"/>
        </w:rPr>
        <w:t xml:space="preserve">Cadernos Cemarx</w:t>
      </w:r>
      <w:r w:rsidDel="00000000" w:rsidR="00000000" w:rsidRPr="00000000">
        <w:rPr>
          <w:sz w:val="24"/>
          <w:szCs w:val="24"/>
          <w:highlight w:val="white"/>
          <w:rtl w:val="0"/>
        </w:rPr>
        <w:t xml:space="preserve">, v. 14, p. e021015-e021015, 2021.</w:t>
      </w:r>
    </w:p>
    <w:p w:rsidR="00000000" w:rsidDel="00000000" w:rsidP="00000000" w:rsidRDefault="00000000" w:rsidRPr="00000000" w14:paraId="00000044">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5">
      <w:pPr>
        <w:spacing w:line="240" w:lineRule="auto"/>
        <w:rPr>
          <w:sz w:val="24"/>
          <w:szCs w:val="24"/>
          <w:highlight w:val="white"/>
        </w:rPr>
      </w:pPr>
      <w:r w:rsidDel="00000000" w:rsidR="00000000" w:rsidRPr="00000000">
        <w:rPr>
          <w:sz w:val="24"/>
          <w:szCs w:val="24"/>
          <w:highlight w:val="white"/>
          <w:rtl w:val="0"/>
        </w:rPr>
        <w:t xml:space="preserve">FALEIROS, Vicente de Paula. Infância e processo político no Brasil. In: RIZZINI, Irene; PILOTTI, Francisco (org.). </w:t>
      </w:r>
      <w:r w:rsidDel="00000000" w:rsidR="00000000" w:rsidRPr="00000000">
        <w:rPr>
          <w:b w:val="1"/>
          <w:sz w:val="24"/>
          <w:szCs w:val="24"/>
          <w:highlight w:val="white"/>
          <w:rtl w:val="0"/>
        </w:rPr>
        <w:t xml:space="preserve">A arte de governar crianças</w:t>
      </w:r>
      <w:r w:rsidDel="00000000" w:rsidR="00000000" w:rsidRPr="00000000">
        <w:rPr>
          <w:sz w:val="24"/>
          <w:szCs w:val="24"/>
          <w:highlight w:val="white"/>
          <w:rtl w:val="0"/>
        </w:rPr>
        <w:t xml:space="preserve">: a história das políticas sociais, da legislação e da assistência à infância no Brasil. 3. ed. São Paulo: Cortez, 2011. p. 33-96.</w:t>
      </w:r>
    </w:p>
    <w:p w:rsidR="00000000" w:rsidDel="00000000" w:rsidP="00000000" w:rsidRDefault="00000000" w:rsidRPr="00000000" w14:paraId="00000046">
      <w:pPr>
        <w:spacing w:line="240" w:lineRule="auto"/>
        <w:rPr>
          <w:color w:val="222222"/>
          <w:sz w:val="20"/>
          <w:szCs w:val="20"/>
          <w:highlight w:val="white"/>
        </w:rPr>
      </w:pPr>
      <w:r w:rsidDel="00000000" w:rsidR="00000000" w:rsidRPr="00000000">
        <w:rPr>
          <w:rtl w:val="0"/>
        </w:rPr>
      </w:r>
    </w:p>
    <w:p w:rsidR="00000000" w:rsidDel="00000000" w:rsidP="00000000" w:rsidRDefault="00000000" w:rsidRPr="00000000" w14:paraId="00000047">
      <w:pPr>
        <w:spacing w:line="240" w:lineRule="auto"/>
        <w:rPr>
          <w:sz w:val="24"/>
          <w:szCs w:val="24"/>
          <w:highlight w:val="white"/>
        </w:rPr>
      </w:pPr>
      <w:r w:rsidDel="00000000" w:rsidR="00000000" w:rsidRPr="00000000">
        <w:rPr>
          <w:sz w:val="24"/>
          <w:szCs w:val="24"/>
          <w:highlight w:val="white"/>
          <w:rtl w:val="0"/>
        </w:rPr>
        <w:t xml:space="preserve">FERNANDES, Florestan. </w:t>
      </w:r>
      <w:r w:rsidDel="00000000" w:rsidR="00000000" w:rsidRPr="00000000">
        <w:rPr>
          <w:b w:val="1"/>
          <w:sz w:val="24"/>
          <w:szCs w:val="24"/>
          <w:highlight w:val="white"/>
          <w:rtl w:val="0"/>
        </w:rPr>
        <w:t xml:space="preserve">A integração do negro na sociedade de classes</w:t>
      </w:r>
      <w:r w:rsidDel="00000000" w:rsidR="00000000" w:rsidRPr="00000000">
        <w:rPr>
          <w:sz w:val="24"/>
          <w:szCs w:val="24"/>
          <w:highlight w:val="white"/>
          <w:rtl w:val="0"/>
        </w:rPr>
        <w:t xml:space="preserve">. 6. ed. São Paulo: Editora Contracorrente, 2021.</w:t>
      </w:r>
    </w:p>
    <w:p w:rsidR="00000000" w:rsidDel="00000000" w:rsidP="00000000" w:rsidRDefault="00000000" w:rsidRPr="00000000" w14:paraId="00000048">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9">
      <w:pPr>
        <w:spacing w:after="240" w:line="240" w:lineRule="auto"/>
        <w:rPr>
          <w:sz w:val="24"/>
          <w:szCs w:val="24"/>
          <w:highlight w:val="white"/>
        </w:rPr>
      </w:pPr>
      <w:r w:rsidDel="00000000" w:rsidR="00000000" w:rsidRPr="00000000">
        <w:rPr>
          <w:sz w:val="24"/>
          <w:szCs w:val="24"/>
          <w:highlight w:val="white"/>
          <w:rtl w:val="0"/>
        </w:rPr>
        <w:t xml:space="preserve">GOES, José Roberto de; FLORENTINO, Manolo. Crianças escravas, crianças dos escravos. In: PRIORE, Mary Del. </w:t>
      </w:r>
      <w:r w:rsidDel="00000000" w:rsidR="00000000" w:rsidRPr="00000000">
        <w:rPr>
          <w:b w:val="1"/>
          <w:sz w:val="24"/>
          <w:szCs w:val="24"/>
          <w:highlight w:val="white"/>
          <w:rtl w:val="0"/>
        </w:rPr>
        <w:t xml:space="preserve">História das crianças no Brasil</w:t>
      </w:r>
      <w:r w:rsidDel="00000000" w:rsidR="00000000" w:rsidRPr="00000000">
        <w:rPr>
          <w:sz w:val="24"/>
          <w:szCs w:val="24"/>
          <w:highlight w:val="white"/>
          <w:rtl w:val="0"/>
        </w:rPr>
        <w:t xml:space="preserve">. 4. ed. São Paulo: Contexto, 2004. p. 177-191.</w:t>
      </w:r>
    </w:p>
    <w:p w:rsidR="00000000" w:rsidDel="00000000" w:rsidP="00000000" w:rsidRDefault="00000000" w:rsidRPr="00000000" w14:paraId="0000004A">
      <w:pPr>
        <w:spacing w:line="240" w:lineRule="auto"/>
        <w:rPr>
          <w:sz w:val="24"/>
          <w:szCs w:val="24"/>
          <w:highlight w:val="white"/>
        </w:rPr>
      </w:pPr>
      <w:r w:rsidDel="00000000" w:rsidR="00000000" w:rsidRPr="00000000">
        <w:rPr>
          <w:sz w:val="24"/>
          <w:szCs w:val="24"/>
          <w:highlight w:val="white"/>
          <w:rtl w:val="0"/>
        </w:rPr>
        <w:t xml:space="preserve">IANNI, Octavio. </w:t>
      </w:r>
      <w:r w:rsidDel="00000000" w:rsidR="00000000" w:rsidRPr="00000000">
        <w:rPr>
          <w:b w:val="1"/>
          <w:sz w:val="24"/>
          <w:szCs w:val="24"/>
          <w:highlight w:val="white"/>
          <w:rtl w:val="0"/>
        </w:rPr>
        <w:t xml:space="preserve">A ideia de Brasil moderno</w:t>
      </w:r>
      <w:r w:rsidDel="00000000" w:rsidR="00000000" w:rsidRPr="00000000">
        <w:rPr>
          <w:sz w:val="24"/>
          <w:szCs w:val="24"/>
          <w:highlight w:val="white"/>
          <w:rtl w:val="0"/>
        </w:rPr>
        <w:t xml:space="preserve">. 1996.</w:t>
      </w:r>
    </w:p>
    <w:p w:rsidR="00000000" w:rsidDel="00000000" w:rsidP="00000000" w:rsidRDefault="00000000" w:rsidRPr="00000000" w14:paraId="0000004B">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C">
      <w:pPr>
        <w:spacing w:line="240" w:lineRule="auto"/>
        <w:rPr>
          <w:sz w:val="24"/>
          <w:szCs w:val="24"/>
          <w:highlight w:val="white"/>
        </w:rPr>
      </w:pPr>
      <w:r w:rsidDel="00000000" w:rsidR="00000000" w:rsidRPr="00000000">
        <w:rPr>
          <w:sz w:val="24"/>
          <w:szCs w:val="24"/>
          <w:highlight w:val="white"/>
          <w:rtl w:val="0"/>
        </w:rPr>
        <w:t xml:space="preserve">IANNI, Octávio. </w:t>
      </w:r>
      <w:r w:rsidDel="00000000" w:rsidR="00000000" w:rsidRPr="00000000">
        <w:rPr>
          <w:b w:val="1"/>
          <w:sz w:val="24"/>
          <w:szCs w:val="24"/>
          <w:highlight w:val="white"/>
          <w:rtl w:val="0"/>
        </w:rPr>
        <w:t xml:space="preserve">Escravidão e racismo</w:t>
      </w:r>
      <w:r w:rsidDel="00000000" w:rsidR="00000000" w:rsidRPr="00000000">
        <w:rPr>
          <w:sz w:val="24"/>
          <w:szCs w:val="24"/>
          <w:highlight w:val="white"/>
          <w:rtl w:val="0"/>
        </w:rPr>
        <w:t xml:space="preserve">. São Paulo: Editora Hucitec, 1978.</w:t>
      </w:r>
    </w:p>
    <w:p w:rsidR="00000000" w:rsidDel="00000000" w:rsidP="00000000" w:rsidRDefault="00000000" w:rsidRPr="00000000" w14:paraId="0000004D">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E">
      <w:pPr>
        <w:spacing w:line="240" w:lineRule="auto"/>
        <w:rPr>
          <w:sz w:val="24"/>
          <w:szCs w:val="24"/>
          <w:highlight w:val="white"/>
        </w:rPr>
      </w:pPr>
      <w:r w:rsidDel="00000000" w:rsidR="00000000" w:rsidRPr="00000000">
        <w:rPr>
          <w:sz w:val="24"/>
          <w:szCs w:val="24"/>
          <w:highlight w:val="white"/>
          <w:rtl w:val="0"/>
        </w:rPr>
        <w:t xml:space="preserve">LENIN, V. I. U. Sobre o Estado - Conferência na Universidade Sverdlov. </w:t>
      </w:r>
      <w:r w:rsidDel="00000000" w:rsidR="00000000" w:rsidRPr="00000000">
        <w:rPr>
          <w:b w:val="1"/>
          <w:sz w:val="24"/>
          <w:szCs w:val="24"/>
          <w:highlight w:val="white"/>
          <w:rtl w:val="0"/>
        </w:rPr>
        <w:t xml:space="preserve">Germinal: marxismo e educação em debate</w:t>
      </w:r>
      <w:r w:rsidDel="00000000" w:rsidR="00000000" w:rsidRPr="00000000">
        <w:rPr>
          <w:sz w:val="24"/>
          <w:szCs w:val="24"/>
          <w:highlight w:val="white"/>
          <w:rtl w:val="0"/>
        </w:rPr>
        <w:t xml:space="preserve">, v. n. 3, p. 348–368, 2019. Disponível em: https://periodicos.ufba.br/index.php/revistagerminal/article/view /36411. Acesso em: 28 fev. 2025.  </w:t>
      </w:r>
    </w:p>
    <w:p w:rsidR="00000000" w:rsidDel="00000000" w:rsidP="00000000" w:rsidRDefault="00000000" w:rsidRPr="00000000" w14:paraId="0000004F">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0">
      <w:pPr>
        <w:spacing w:line="240" w:lineRule="auto"/>
        <w:rPr>
          <w:sz w:val="24"/>
          <w:szCs w:val="24"/>
          <w:highlight w:val="white"/>
        </w:rPr>
      </w:pPr>
      <w:r w:rsidDel="00000000" w:rsidR="00000000" w:rsidRPr="00000000">
        <w:rPr>
          <w:sz w:val="24"/>
          <w:szCs w:val="24"/>
          <w:highlight w:val="white"/>
          <w:rtl w:val="0"/>
        </w:rPr>
        <w:t xml:space="preserve">MARCILIO, Maria Luiza. A roda dos expostos e a criança abandonada na História do Brasil. In: FREITAS, Marcos Cezar de (Org.). </w:t>
      </w:r>
      <w:r w:rsidDel="00000000" w:rsidR="00000000" w:rsidRPr="00000000">
        <w:rPr>
          <w:b w:val="1"/>
          <w:sz w:val="24"/>
          <w:szCs w:val="24"/>
          <w:highlight w:val="white"/>
          <w:rtl w:val="0"/>
        </w:rPr>
        <w:t xml:space="preserve">História social da infância no Brasil</w:t>
      </w:r>
      <w:r w:rsidDel="00000000" w:rsidR="00000000" w:rsidRPr="00000000">
        <w:rPr>
          <w:sz w:val="24"/>
          <w:szCs w:val="24"/>
          <w:highlight w:val="white"/>
          <w:rtl w:val="0"/>
        </w:rPr>
        <w:t xml:space="preserve">. 5. ed., rev. e ampl São Paulo: Cortez, 2003. 334 p.</w:t>
      </w:r>
    </w:p>
    <w:p w:rsidR="00000000" w:rsidDel="00000000" w:rsidP="00000000" w:rsidRDefault="00000000" w:rsidRPr="00000000" w14:paraId="00000051">
      <w:pPr>
        <w:spacing w:after="240" w:before="240" w:line="240" w:lineRule="auto"/>
        <w:rPr>
          <w:sz w:val="24"/>
          <w:szCs w:val="24"/>
          <w:highlight w:val="white"/>
        </w:rPr>
      </w:pPr>
      <w:r w:rsidDel="00000000" w:rsidR="00000000" w:rsidRPr="00000000">
        <w:rPr>
          <w:sz w:val="24"/>
          <w:szCs w:val="24"/>
          <w:highlight w:val="white"/>
          <w:rtl w:val="0"/>
        </w:rPr>
        <w:t xml:space="preserve">MARX, Karl. </w:t>
      </w:r>
      <w:r w:rsidDel="00000000" w:rsidR="00000000" w:rsidRPr="00000000">
        <w:rPr>
          <w:b w:val="1"/>
          <w:sz w:val="24"/>
          <w:szCs w:val="24"/>
          <w:highlight w:val="white"/>
          <w:rtl w:val="0"/>
        </w:rPr>
        <w:t xml:space="preserve">O Capital</w:t>
      </w:r>
      <w:r w:rsidDel="00000000" w:rsidR="00000000" w:rsidRPr="00000000">
        <w:rPr>
          <w:sz w:val="24"/>
          <w:szCs w:val="24"/>
          <w:highlight w:val="white"/>
          <w:rtl w:val="0"/>
        </w:rPr>
        <w:t xml:space="preserve">: Crítica da economia política. Boitempo Editorial, 2013.  Disponível em:</w:t>
      </w:r>
      <w:hyperlink r:id="rId8">
        <w:r w:rsidDel="00000000" w:rsidR="00000000" w:rsidRPr="00000000">
          <w:rPr>
            <w:sz w:val="24"/>
            <w:szCs w:val="24"/>
            <w:highlight w:val="white"/>
            <w:rtl w:val="0"/>
          </w:rPr>
          <w:t xml:space="preserve"> </w:t>
        </w:r>
      </w:hyperlink>
      <w:r w:rsidDel="00000000" w:rsidR="00000000" w:rsidRPr="00000000">
        <w:rPr>
          <w:sz w:val="24"/>
          <w:szCs w:val="24"/>
          <w:highlight w:val="white"/>
          <w:rtl w:val="0"/>
        </w:rPr>
        <w:t xml:space="preserve">https://www.gepec.ufscar.br/publicacoes/livros-e-colecoes/marx-e-engels/o-capital-livro-1.pdf. Acesso em: 10 fev. 2025.</w:t>
      </w:r>
    </w:p>
    <w:p w:rsidR="00000000" w:rsidDel="00000000" w:rsidP="00000000" w:rsidRDefault="00000000" w:rsidRPr="00000000" w14:paraId="00000052">
      <w:pPr>
        <w:spacing w:after="240" w:before="240" w:line="240" w:lineRule="auto"/>
        <w:rPr>
          <w:sz w:val="24"/>
          <w:szCs w:val="24"/>
          <w:highlight w:val="white"/>
        </w:rPr>
      </w:pPr>
      <w:r w:rsidDel="00000000" w:rsidR="00000000" w:rsidRPr="00000000">
        <w:rPr>
          <w:sz w:val="24"/>
          <w:szCs w:val="24"/>
          <w:highlight w:val="white"/>
          <w:rtl w:val="0"/>
        </w:rPr>
        <w:t xml:space="preserve">MBEMBE, Achille. </w:t>
      </w:r>
      <w:r w:rsidDel="00000000" w:rsidR="00000000" w:rsidRPr="00000000">
        <w:rPr>
          <w:b w:val="1"/>
          <w:sz w:val="24"/>
          <w:szCs w:val="24"/>
          <w:highlight w:val="white"/>
          <w:rtl w:val="0"/>
        </w:rPr>
        <w:t xml:space="preserve">Necropolítica</w:t>
      </w:r>
      <w:r w:rsidDel="00000000" w:rsidR="00000000" w:rsidRPr="00000000">
        <w:rPr>
          <w:sz w:val="24"/>
          <w:szCs w:val="24"/>
          <w:highlight w:val="white"/>
          <w:rtl w:val="0"/>
        </w:rPr>
        <w:t xml:space="preserve">. 5. ed. São Paulo: n-1 edições, 2020.</w:t>
      </w:r>
    </w:p>
    <w:p w:rsidR="00000000" w:rsidDel="00000000" w:rsidP="00000000" w:rsidRDefault="00000000" w:rsidRPr="00000000" w14:paraId="00000053">
      <w:pPr>
        <w:spacing w:after="240" w:line="240" w:lineRule="auto"/>
        <w:rPr>
          <w:sz w:val="24"/>
          <w:szCs w:val="24"/>
          <w:highlight w:val="white"/>
        </w:rPr>
      </w:pPr>
      <w:r w:rsidDel="00000000" w:rsidR="00000000" w:rsidRPr="00000000">
        <w:rPr>
          <w:sz w:val="24"/>
          <w:szCs w:val="24"/>
          <w:highlight w:val="white"/>
          <w:rtl w:val="0"/>
        </w:rPr>
        <w:t xml:space="preserve">MINISTÉRIO DA AGRICULTURA E PECUÁRIA (Brasil). Governo Federal. Exportações do agronegócio fecham 2023 com US$ 166,55 bilhões em vendas: O agronegócio foi responsável por 49% da pauta exportadora total brasileira durante o ano.</w:t>
      </w:r>
      <w:r w:rsidDel="00000000" w:rsidR="00000000" w:rsidRPr="00000000">
        <w:rPr>
          <w:b w:val="1"/>
          <w:sz w:val="24"/>
          <w:szCs w:val="24"/>
          <w:highlight w:val="white"/>
          <w:rtl w:val="0"/>
        </w:rPr>
        <w:t xml:space="preserve"> Balança Comercial</w:t>
      </w:r>
      <w:r w:rsidDel="00000000" w:rsidR="00000000" w:rsidRPr="00000000">
        <w:rPr>
          <w:sz w:val="24"/>
          <w:szCs w:val="24"/>
          <w:highlight w:val="white"/>
          <w:rtl w:val="0"/>
        </w:rPr>
        <w:t xml:space="preserve">. 16 jan. 2024. Disponível em: https://www.gov.br/agricultura/pt-br/assuntos/noticias/exportacoes-do-agronegocio-fecham-2023-com-us-166-55-bilhoes-em-vendas. Acesso em: 22 fev. 2025.</w:t>
      </w:r>
    </w:p>
    <w:p w:rsidR="00000000" w:rsidDel="00000000" w:rsidP="00000000" w:rsidRDefault="00000000" w:rsidRPr="00000000" w14:paraId="00000054">
      <w:pPr>
        <w:spacing w:after="240" w:before="240" w:line="240" w:lineRule="auto"/>
        <w:rPr>
          <w:sz w:val="24"/>
          <w:szCs w:val="24"/>
        </w:rPr>
      </w:pPr>
      <w:r w:rsidDel="00000000" w:rsidR="00000000" w:rsidRPr="00000000">
        <w:rPr>
          <w:sz w:val="24"/>
          <w:szCs w:val="24"/>
          <w:rtl w:val="0"/>
        </w:rPr>
        <w:t xml:space="preserve">MOURA, Clóvis. </w:t>
      </w:r>
      <w:r w:rsidDel="00000000" w:rsidR="00000000" w:rsidRPr="00000000">
        <w:rPr>
          <w:b w:val="1"/>
          <w:sz w:val="24"/>
          <w:szCs w:val="24"/>
          <w:rtl w:val="0"/>
        </w:rPr>
        <w:t xml:space="preserve">Dialética radical do brasil negro</w:t>
      </w:r>
      <w:r w:rsidDel="00000000" w:rsidR="00000000" w:rsidRPr="00000000">
        <w:rPr>
          <w:sz w:val="24"/>
          <w:szCs w:val="24"/>
          <w:rtl w:val="0"/>
        </w:rPr>
        <w:t xml:space="preserve">. 3. ed. São Paulo: Anita Garibaldi, 2020</w:t>
      </w:r>
    </w:p>
    <w:p w:rsidR="00000000" w:rsidDel="00000000" w:rsidP="00000000" w:rsidRDefault="00000000" w:rsidRPr="00000000" w14:paraId="00000055">
      <w:pPr>
        <w:spacing w:line="240" w:lineRule="auto"/>
        <w:rPr>
          <w:sz w:val="24"/>
          <w:szCs w:val="24"/>
        </w:rPr>
      </w:pPr>
      <w:r w:rsidDel="00000000" w:rsidR="00000000" w:rsidRPr="00000000">
        <w:rPr>
          <w:sz w:val="24"/>
          <w:szCs w:val="24"/>
          <w:rtl w:val="0"/>
        </w:rPr>
        <w:t xml:space="preserve">UNICEF. </w:t>
      </w:r>
      <w:r w:rsidDel="00000000" w:rsidR="00000000" w:rsidRPr="00000000">
        <w:rPr>
          <w:b w:val="1"/>
          <w:sz w:val="24"/>
          <w:szCs w:val="24"/>
          <w:rtl w:val="0"/>
        </w:rPr>
        <w:t xml:space="preserve">As Múltiplas Dimensões da Pobreza na Infância e na Adolescência no Brasil</w:t>
      </w:r>
      <w:r w:rsidDel="00000000" w:rsidR="00000000" w:rsidRPr="00000000">
        <w:rPr>
          <w:sz w:val="24"/>
          <w:szCs w:val="24"/>
          <w:rtl w:val="0"/>
        </w:rPr>
        <w:t xml:space="preserve">: Estudo sobre as privações de direitos que afetam crianças e adolescentes no País. Brasil, fev. 2023. Disponível em: </w:t>
      </w:r>
      <w:hyperlink r:id="rId9">
        <w:r w:rsidDel="00000000" w:rsidR="00000000" w:rsidRPr="00000000">
          <w:rPr>
            <w:sz w:val="24"/>
            <w:szCs w:val="24"/>
            <w:rtl w:val="0"/>
          </w:rPr>
          <w:t xml:space="preserve">https://www.unicef.org/brazil/relatorios/as-multiplas-dimensoes-da-pobreza-na-infancia-e-na-adolescencia-no-brasil</w:t>
        </w:r>
      </w:hyperlink>
      <w:r w:rsidDel="00000000" w:rsidR="00000000" w:rsidRPr="00000000">
        <w:rPr>
          <w:sz w:val="24"/>
          <w:szCs w:val="24"/>
          <w:rtl w:val="0"/>
        </w:rPr>
        <w:t xml:space="preserve">. Acesso em: 18 fev. 2025.</w:t>
      </w:r>
    </w:p>
    <w:p w:rsidR="00000000" w:rsidDel="00000000" w:rsidP="00000000" w:rsidRDefault="00000000" w:rsidRPr="00000000" w14:paraId="00000056">
      <w:pPr>
        <w:spacing w:line="360" w:lineRule="auto"/>
        <w:jc w:val="left"/>
        <w:rPr>
          <w:b w:val="1"/>
          <w:sz w:val="24"/>
          <w:szCs w:val="24"/>
        </w:rPr>
      </w:pPr>
      <w:r w:rsidDel="00000000" w:rsidR="00000000" w:rsidRPr="00000000">
        <w:rPr>
          <w:rtl w:val="0"/>
        </w:rPr>
      </w:r>
    </w:p>
    <w:sectPr>
      <w:headerReference r:id="rId10" w:type="default"/>
      <w:footerReference r:id="rId11"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Assistente Social. Mestranda em Serviço Social (PPGSS/UFAL). Membro do Grupo de Pesquisa Redes, Questões Geracionais e Políticas Públicas (CNPQ/UFAL). Email: batistaleticia16@gmail.com.</w:t>
      </w:r>
    </w:p>
  </w:footnote>
  <w:footnote w:id="1">
    <w:p w:rsidR="00000000" w:rsidDel="00000000" w:rsidP="00000000" w:rsidRDefault="00000000" w:rsidRPr="00000000" w14:paraId="0000005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Ruy Mauro Marini, Vânia Bambirra, Theotônio dos Santos e Jaime Osorio.</w:t>
      </w:r>
    </w:p>
  </w:footnote>
  <w:footnote w:id="2">
    <w:p w:rsidR="00000000" w:rsidDel="00000000" w:rsidP="00000000" w:rsidRDefault="00000000" w:rsidRPr="00000000" w14:paraId="0000005A">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Achille Mbembe no ensaio </w:t>
      </w:r>
      <w:r w:rsidDel="00000000" w:rsidR="00000000" w:rsidRPr="00000000">
        <w:rPr>
          <w:rFonts w:ascii="Times New Roman" w:cs="Times New Roman" w:eastAsia="Times New Roman" w:hAnsi="Times New Roman"/>
          <w:i w:val="1"/>
          <w:sz w:val="20"/>
          <w:szCs w:val="20"/>
          <w:rtl w:val="0"/>
        </w:rPr>
        <w:t xml:space="preserve">Necropolítica</w:t>
      </w:r>
      <w:r w:rsidDel="00000000" w:rsidR="00000000" w:rsidRPr="00000000">
        <w:rPr>
          <w:rFonts w:ascii="Times New Roman" w:cs="Times New Roman" w:eastAsia="Times New Roman" w:hAnsi="Times New Roman"/>
          <w:sz w:val="20"/>
          <w:szCs w:val="20"/>
          <w:rtl w:val="0"/>
        </w:rPr>
        <w:t xml:space="preserve"> (2016) discute como o racismo estrutural legitima a violência do Estado contra populações racializadas, criando hierarquias de quem pode viver e quem está sujeito à morte.</w:t>
      </w:r>
    </w:p>
  </w:footnote>
  <w:footnote w:id="3">
    <w:p w:rsidR="00000000" w:rsidDel="00000000" w:rsidP="00000000" w:rsidRDefault="00000000" w:rsidRPr="00000000" w14:paraId="0000005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 autor faz referência ao conceito de Michel Foucault</w:t>
      </w:r>
    </w:p>
  </w:footnote>
  <w:footnote w:id="4">
    <w:p w:rsidR="00000000" w:rsidDel="00000000" w:rsidP="00000000" w:rsidRDefault="00000000" w:rsidRPr="00000000" w14:paraId="0000005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Dados do Projeto Criança Livre de Trabalho Infantil.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unicef.org/brazil/relatorios/as-multiplas-dimensoes-da-pobreza-na-infancia-e-na-adolescencia-no-brasi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edisciplinas.usp.br/pluginfile.php/73962/mod_resource/content/2/2%C2%BA%20Semin%C3%A1rio-A%20Lei%20Geral%20da%20Acumula%C3%A7%C3%A3o%20Capitalist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UBxI0Qfw90OLeyUoVNHMblWAg==">CgMxLjA4AHIhMXNVM2ZNSTFvSkRwZ01IYXRmMTRpZGJjNE9pbVNnMVhn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