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3A6EB" w14:textId="77777777" w:rsidR="00387C0E" w:rsidRDefault="00000000">
      <w:pPr>
        <w:pBdr>
          <w:top w:val="nil"/>
          <w:left w:val="nil"/>
          <w:bottom w:val="nil"/>
          <w:right w:val="nil"/>
          <w:between w:val="nil"/>
        </w:pBdr>
        <w:spacing w:line="360" w:lineRule="auto"/>
        <w:jc w:val="center"/>
        <w:rPr>
          <w:sz w:val="24"/>
          <w:szCs w:val="24"/>
        </w:rPr>
      </w:pPr>
      <w:r>
        <w:rPr>
          <w:b/>
          <w:sz w:val="24"/>
          <w:szCs w:val="24"/>
        </w:rPr>
        <w:t xml:space="preserve">MOVIMENTOS SOCIAIS E REFORMA DO ESTADO BRASILEIRO: </w:t>
      </w:r>
      <w:r>
        <w:rPr>
          <w:sz w:val="24"/>
          <w:szCs w:val="24"/>
        </w:rPr>
        <w:t>impactos na</w:t>
      </w:r>
      <w:r>
        <w:rPr>
          <w:sz w:val="20"/>
          <w:szCs w:val="20"/>
        </w:rPr>
        <w:t xml:space="preserve"> </w:t>
      </w:r>
      <w:r>
        <w:rPr>
          <w:sz w:val="24"/>
          <w:szCs w:val="24"/>
        </w:rPr>
        <w:t>efetivação dos direitos expressos na Constituição Federal</w:t>
      </w:r>
    </w:p>
    <w:p w14:paraId="53F271DF" w14:textId="77777777" w:rsidR="009A7F44" w:rsidRDefault="009A7F44" w:rsidP="009A7F44">
      <w:pPr>
        <w:pBdr>
          <w:top w:val="nil"/>
          <w:left w:val="nil"/>
          <w:bottom w:val="nil"/>
          <w:right w:val="nil"/>
          <w:between w:val="nil"/>
        </w:pBdr>
        <w:spacing w:line="240" w:lineRule="auto"/>
        <w:jc w:val="right"/>
        <w:rPr>
          <w:b/>
          <w:sz w:val="20"/>
          <w:szCs w:val="20"/>
        </w:rPr>
      </w:pPr>
      <w:r w:rsidRPr="009A7F44">
        <w:rPr>
          <w:bCs/>
          <w:sz w:val="20"/>
          <w:szCs w:val="20"/>
        </w:rPr>
        <w:t>Lilia Penha Viana Silva</w:t>
      </w:r>
      <w:r>
        <w:rPr>
          <w:rStyle w:val="Refdenotaderodap"/>
          <w:bCs/>
          <w:sz w:val="20"/>
          <w:szCs w:val="20"/>
        </w:rPr>
        <w:footnoteReference w:id="1"/>
      </w:r>
    </w:p>
    <w:p w14:paraId="705211D9" w14:textId="714D799E" w:rsidR="009A7F44" w:rsidRDefault="009A7F44" w:rsidP="009A7F44">
      <w:pPr>
        <w:pBdr>
          <w:top w:val="nil"/>
          <w:left w:val="nil"/>
          <w:bottom w:val="nil"/>
          <w:right w:val="nil"/>
          <w:between w:val="nil"/>
        </w:pBdr>
        <w:spacing w:line="240" w:lineRule="auto"/>
        <w:jc w:val="right"/>
        <w:rPr>
          <w:bCs/>
          <w:sz w:val="20"/>
          <w:szCs w:val="20"/>
        </w:rPr>
      </w:pPr>
      <w:r w:rsidRPr="009A7F44">
        <w:rPr>
          <w:bCs/>
          <w:sz w:val="20"/>
          <w:szCs w:val="20"/>
        </w:rPr>
        <w:t>Adriana Dutra de Sousa</w:t>
      </w:r>
      <w:r>
        <w:rPr>
          <w:rStyle w:val="Refdenotaderodap"/>
          <w:bCs/>
          <w:sz w:val="20"/>
          <w:szCs w:val="20"/>
        </w:rPr>
        <w:footnoteReference w:id="2"/>
      </w:r>
    </w:p>
    <w:p w14:paraId="0C962C80" w14:textId="7A79E974" w:rsidR="009A7F44" w:rsidRPr="009A7F44" w:rsidRDefault="009A7F44" w:rsidP="009A7F44">
      <w:pPr>
        <w:pBdr>
          <w:top w:val="nil"/>
          <w:left w:val="nil"/>
          <w:bottom w:val="nil"/>
          <w:right w:val="nil"/>
          <w:between w:val="nil"/>
        </w:pBdr>
        <w:spacing w:line="240" w:lineRule="auto"/>
        <w:jc w:val="right"/>
        <w:rPr>
          <w:bCs/>
          <w:sz w:val="20"/>
          <w:szCs w:val="20"/>
          <w:vertAlign w:val="superscript"/>
        </w:rPr>
      </w:pPr>
      <w:r w:rsidRPr="009A7F44">
        <w:rPr>
          <w:bCs/>
          <w:sz w:val="20"/>
          <w:szCs w:val="20"/>
        </w:rPr>
        <w:t>Diego Carlos Mesquita Rabelo</w:t>
      </w:r>
      <w:r>
        <w:rPr>
          <w:bCs/>
          <w:sz w:val="20"/>
          <w:szCs w:val="20"/>
          <w:vertAlign w:val="superscript"/>
        </w:rPr>
        <w:t>3</w:t>
      </w:r>
    </w:p>
    <w:p w14:paraId="4AEC21FD" w14:textId="791C1055" w:rsidR="009A7F44" w:rsidRPr="009A7F44" w:rsidRDefault="009A7F44" w:rsidP="009A7F44">
      <w:pPr>
        <w:pBdr>
          <w:top w:val="nil"/>
          <w:left w:val="nil"/>
          <w:bottom w:val="nil"/>
          <w:right w:val="nil"/>
          <w:between w:val="nil"/>
        </w:pBdr>
        <w:spacing w:line="240" w:lineRule="auto"/>
        <w:jc w:val="right"/>
        <w:rPr>
          <w:bCs/>
          <w:sz w:val="20"/>
          <w:szCs w:val="20"/>
          <w:vertAlign w:val="superscript"/>
        </w:rPr>
      </w:pPr>
      <w:r w:rsidRPr="009A7F44">
        <w:rPr>
          <w:bCs/>
          <w:sz w:val="20"/>
          <w:szCs w:val="20"/>
        </w:rPr>
        <w:t>Hugo Mendes Leonardo</w:t>
      </w:r>
      <w:r>
        <w:rPr>
          <w:bCs/>
          <w:sz w:val="20"/>
          <w:szCs w:val="20"/>
          <w:vertAlign w:val="superscript"/>
        </w:rPr>
        <w:t>4</w:t>
      </w:r>
    </w:p>
    <w:p w14:paraId="75F872DF" w14:textId="0555C4B0" w:rsidR="009A7F44" w:rsidRPr="009A7F44" w:rsidRDefault="009A7F44" w:rsidP="009A7F44">
      <w:pPr>
        <w:pBdr>
          <w:top w:val="nil"/>
          <w:left w:val="nil"/>
          <w:bottom w:val="nil"/>
          <w:right w:val="nil"/>
          <w:between w:val="nil"/>
        </w:pBdr>
        <w:spacing w:line="240" w:lineRule="auto"/>
        <w:jc w:val="right"/>
        <w:rPr>
          <w:bCs/>
          <w:sz w:val="20"/>
          <w:szCs w:val="20"/>
          <w:vertAlign w:val="superscript"/>
        </w:rPr>
      </w:pPr>
      <w:r w:rsidRPr="00D76760">
        <w:rPr>
          <w:bCs/>
          <w:sz w:val="20"/>
          <w:szCs w:val="20"/>
        </w:rPr>
        <w:t>João Miguel Belo Carvalhêdo</w:t>
      </w:r>
      <w:r>
        <w:rPr>
          <w:bCs/>
          <w:sz w:val="20"/>
          <w:szCs w:val="20"/>
          <w:vertAlign w:val="superscript"/>
        </w:rPr>
        <w:t>5</w:t>
      </w:r>
    </w:p>
    <w:p w14:paraId="036CB0EF" w14:textId="77777777" w:rsidR="00387C0E" w:rsidRDefault="00000000">
      <w:pPr>
        <w:spacing w:line="240" w:lineRule="auto"/>
        <w:ind w:left="2835"/>
        <w:jc w:val="both"/>
        <w:rPr>
          <w:b/>
          <w:sz w:val="20"/>
          <w:szCs w:val="20"/>
        </w:rPr>
      </w:pPr>
      <w:r>
        <w:rPr>
          <w:b/>
          <w:sz w:val="20"/>
          <w:szCs w:val="20"/>
        </w:rPr>
        <w:t>Resumo</w:t>
      </w:r>
    </w:p>
    <w:p w14:paraId="7BCC666F" w14:textId="77777777" w:rsidR="00387C0E" w:rsidRDefault="00000000">
      <w:pPr>
        <w:spacing w:line="240" w:lineRule="auto"/>
        <w:ind w:left="2835"/>
        <w:jc w:val="both"/>
        <w:rPr>
          <w:b/>
          <w:color w:val="980000"/>
          <w:sz w:val="20"/>
          <w:szCs w:val="20"/>
        </w:rPr>
      </w:pPr>
      <w:r>
        <w:rPr>
          <w:sz w:val="20"/>
          <w:szCs w:val="20"/>
        </w:rPr>
        <w:t xml:space="preserve">O presente artigo tem por objeto a análise dos impactos da Reforma do Estado sobre as conquistas dos movimentos sociais configuradas na Constituição de 1988, a partir do fortalecimento destes na luta pela redemocratização. Privilegiamos como procedimento metodológico a revisão bibliográfica e documental. Caracterizamos como os movimentos sociais do final da década de 1970 e início dos anos 1980 participaram da construção democrática que resultou na Constituição Federal. Destacamos elementos da Reforma do Estado, através do Plano Diretor de Reforma do Aparelho do Estado que, com um discurso neoliberal, reduziu a intervenção do Estado brasileiro. Concluímos que apesar do reconhecimento da participação política dos movimentos sociais para as conquistas asseguradas na Constituição Federal, os rebatimentos da Reforma do Estado brasileiro, a partir da década de 1990, impactaram decisivamente nas dificuldades em curso de efetivação dos direitos expressos na Carta Constitucional mediante a implementação das políticas públicas como direito social. </w:t>
      </w:r>
    </w:p>
    <w:p w14:paraId="6B82B791" w14:textId="77777777" w:rsidR="00387C0E" w:rsidRDefault="00000000">
      <w:pPr>
        <w:spacing w:line="240" w:lineRule="auto"/>
        <w:ind w:left="2835"/>
        <w:jc w:val="both"/>
        <w:rPr>
          <w:sz w:val="20"/>
          <w:szCs w:val="20"/>
        </w:rPr>
      </w:pPr>
      <w:r>
        <w:rPr>
          <w:b/>
          <w:sz w:val="20"/>
          <w:szCs w:val="20"/>
        </w:rPr>
        <w:t>Palavras-chave</w:t>
      </w:r>
      <w:r>
        <w:rPr>
          <w:sz w:val="20"/>
          <w:szCs w:val="20"/>
        </w:rPr>
        <w:t>: Movimentos Sociais; Constituição Federal; Reforma do Estado brasileiro.</w:t>
      </w:r>
    </w:p>
    <w:p w14:paraId="10C930A3" w14:textId="77777777" w:rsidR="00387C0E" w:rsidRDefault="00387C0E">
      <w:pPr>
        <w:spacing w:line="240" w:lineRule="auto"/>
        <w:ind w:left="2835"/>
        <w:jc w:val="both"/>
        <w:rPr>
          <w:sz w:val="20"/>
          <w:szCs w:val="20"/>
        </w:rPr>
      </w:pPr>
    </w:p>
    <w:p w14:paraId="115B938B" w14:textId="77777777" w:rsidR="00387C0E" w:rsidRPr="00A23846" w:rsidRDefault="00000000">
      <w:pPr>
        <w:spacing w:line="240" w:lineRule="auto"/>
        <w:ind w:left="2835"/>
        <w:jc w:val="both"/>
        <w:rPr>
          <w:color w:val="980000"/>
          <w:sz w:val="20"/>
          <w:szCs w:val="20"/>
          <w:lang w:val="en-ZA"/>
        </w:rPr>
      </w:pPr>
      <w:r w:rsidRPr="00A23846">
        <w:rPr>
          <w:b/>
          <w:sz w:val="20"/>
          <w:szCs w:val="20"/>
          <w:lang w:val="en-ZA"/>
        </w:rPr>
        <w:t>Abstract</w:t>
      </w:r>
    </w:p>
    <w:p w14:paraId="0137E310" w14:textId="77777777" w:rsidR="00387C0E" w:rsidRPr="00A23846" w:rsidRDefault="00000000">
      <w:pPr>
        <w:spacing w:line="240" w:lineRule="auto"/>
        <w:ind w:left="2835"/>
        <w:jc w:val="both"/>
        <w:rPr>
          <w:sz w:val="20"/>
          <w:szCs w:val="20"/>
          <w:lang w:val="en-ZA"/>
        </w:rPr>
      </w:pPr>
      <w:r w:rsidRPr="00A23846">
        <w:rPr>
          <w:sz w:val="20"/>
          <w:szCs w:val="20"/>
          <w:lang w:val="en-ZA"/>
        </w:rPr>
        <w:t xml:space="preserve">This article aims to </w:t>
      </w:r>
      <w:proofErr w:type="spellStart"/>
      <w:r w:rsidRPr="00A23846">
        <w:rPr>
          <w:sz w:val="20"/>
          <w:szCs w:val="20"/>
          <w:lang w:val="en-ZA"/>
        </w:rPr>
        <w:t>analyze</w:t>
      </w:r>
      <w:proofErr w:type="spellEnd"/>
      <w:r w:rsidRPr="00A23846">
        <w:rPr>
          <w:sz w:val="20"/>
          <w:szCs w:val="20"/>
          <w:lang w:val="en-ZA"/>
        </w:rPr>
        <w:t xml:space="preserve"> the impacts of the State Reform on the achievements of social movements established in the 1988 Constitution, based on their strengthening in the struggle for </w:t>
      </w:r>
      <w:proofErr w:type="spellStart"/>
      <w:r w:rsidRPr="00A23846">
        <w:rPr>
          <w:sz w:val="20"/>
          <w:szCs w:val="20"/>
          <w:lang w:val="en-ZA"/>
        </w:rPr>
        <w:t>redemocratization</w:t>
      </w:r>
      <w:proofErr w:type="spellEnd"/>
      <w:r w:rsidRPr="00A23846">
        <w:rPr>
          <w:sz w:val="20"/>
          <w:szCs w:val="20"/>
          <w:lang w:val="en-ZA"/>
        </w:rPr>
        <w:t>. We prioritized bibliographic and documentary review as a methodological procedure. We characterized how social movements from the late 1970s and early 1980s participated in the democratic construction that resulted in the Federal Constitution. We highlighted elements of the State Reform, through the Master Plan for Reform of the State Apparatus, which, with a neoliberal discourse, reduced the intervention of the Brazilian State. We conclude that despite the recognition of the political participation of social movements for the achievements guaranteed in the Federal Constitution, the repercussions of the Brazilian State Reform, from the 1990s onwards, had a decisive impact on the ongoing difficulties in realizing the rights expressed in the Constitution through the implementation of public policies as a social right.</w:t>
      </w:r>
    </w:p>
    <w:p w14:paraId="580E8CB1" w14:textId="77777777" w:rsidR="00387C0E" w:rsidRPr="00A23846" w:rsidRDefault="00000000">
      <w:pPr>
        <w:spacing w:line="240" w:lineRule="auto"/>
        <w:ind w:left="2835"/>
        <w:jc w:val="both"/>
        <w:rPr>
          <w:sz w:val="20"/>
          <w:szCs w:val="20"/>
          <w:lang w:val="en-ZA"/>
        </w:rPr>
      </w:pPr>
      <w:r w:rsidRPr="00A23846">
        <w:rPr>
          <w:b/>
          <w:sz w:val="20"/>
          <w:szCs w:val="20"/>
          <w:lang w:val="en-ZA"/>
        </w:rPr>
        <w:t>Keywords</w:t>
      </w:r>
      <w:r w:rsidRPr="00A23846">
        <w:rPr>
          <w:sz w:val="20"/>
          <w:szCs w:val="20"/>
          <w:lang w:val="en-ZA"/>
        </w:rPr>
        <w:t>: Social Movements; Federal Constitution; Reform of the Brazilian State.</w:t>
      </w:r>
    </w:p>
    <w:p w14:paraId="41383EC4" w14:textId="77777777" w:rsidR="00387C0E" w:rsidRPr="00A23846" w:rsidRDefault="00387C0E">
      <w:pPr>
        <w:ind w:left="2840"/>
        <w:jc w:val="both"/>
        <w:rPr>
          <w:sz w:val="20"/>
          <w:szCs w:val="20"/>
          <w:lang w:val="en-ZA"/>
        </w:rPr>
      </w:pPr>
    </w:p>
    <w:p w14:paraId="56894507" w14:textId="77777777" w:rsidR="00387C0E" w:rsidRPr="00A23846" w:rsidRDefault="00387C0E">
      <w:pPr>
        <w:ind w:left="2840"/>
        <w:jc w:val="both"/>
        <w:rPr>
          <w:sz w:val="20"/>
          <w:szCs w:val="20"/>
          <w:lang w:val="en-ZA"/>
        </w:rPr>
      </w:pPr>
    </w:p>
    <w:p w14:paraId="6B29EF83" w14:textId="77777777" w:rsidR="00387C0E" w:rsidRDefault="00000000">
      <w:pPr>
        <w:spacing w:line="360" w:lineRule="auto"/>
        <w:rPr>
          <w:b/>
          <w:sz w:val="24"/>
          <w:szCs w:val="24"/>
        </w:rPr>
      </w:pPr>
      <w:r>
        <w:rPr>
          <w:b/>
          <w:sz w:val="24"/>
          <w:szCs w:val="24"/>
        </w:rPr>
        <w:t>1 INTRODUÇÃO</w:t>
      </w:r>
    </w:p>
    <w:p w14:paraId="42D669DA" w14:textId="77777777" w:rsidR="00387C0E" w:rsidRDefault="00387C0E">
      <w:pPr>
        <w:spacing w:line="360" w:lineRule="auto"/>
        <w:jc w:val="both"/>
        <w:rPr>
          <w:sz w:val="24"/>
          <w:szCs w:val="24"/>
        </w:rPr>
      </w:pPr>
    </w:p>
    <w:p w14:paraId="36A7B460" w14:textId="5B288290" w:rsidR="00387C0E" w:rsidRDefault="00000000">
      <w:pPr>
        <w:spacing w:line="360" w:lineRule="auto"/>
        <w:ind w:firstLine="709"/>
        <w:jc w:val="both"/>
        <w:rPr>
          <w:sz w:val="24"/>
          <w:szCs w:val="24"/>
        </w:rPr>
      </w:pPr>
      <w:r>
        <w:rPr>
          <w:sz w:val="24"/>
          <w:szCs w:val="24"/>
        </w:rPr>
        <w:t xml:space="preserve">O presente trabalho, ora apresentado à XII Jornada Internacional de Políticas Públicas se desenvolve no âmbito dos estudos do Curso de </w:t>
      </w:r>
      <w:r w:rsidR="005B53BA">
        <w:rPr>
          <w:sz w:val="24"/>
          <w:szCs w:val="24"/>
        </w:rPr>
        <w:t>Mestrado em</w:t>
      </w:r>
      <w:r>
        <w:rPr>
          <w:sz w:val="24"/>
          <w:szCs w:val="24"/>
        </w:rPr>
        <w:t xml:space="preserve"> Políticas Públicas no Programa de Pós-Graduação em Políticas Públicas da UFMA e integra o </w:t>
      </w:r>
      <w:r w:rsidR="00A23846">
        <w:rPr>
          <w:sz w:val="24"/>
          <w:szCs w:val="24"/>
        </w:rPr>
        <w:t>E</w:t>
      </w:r>
      <w:r>
        <w:rPr>
          <w:sz w:val="24"/>
          <w:szCs w:val="24"/>
        </w:rPr>
        <w:t xml:space="preserve">ixo </w:t>
      </w:r>
      <w:r w:rsidR="00A23846">
        <w:rPr>
          <w:sz w:val="24"/>
          <w:szCs w:val="24"/>
        </w:rPr>
        <w:t>T</w:t>
      </w:r>
      <w:r>
        <w:rPr>
          <w:sz w:val="24"/>
          <w:szCs w:val="24"/>
        </w:rPr>
        <w:t xml:space="preserve">emático </w:t>
      </w:r>
      <w:r w:rsidR="00A23846">
        <w:rPr>
          <w:sz w:val="24"/>
          <w:szCs w:val="24"/>
        </w:rPr>
        <w:t xml:space="preserve">13 - </w:t>
      </w:r>
      <w:r>
        <w:rPr>
          <w:sz w:val="24"/>
          <w:szCs w:val="24"/>
        </w:rPr>
        <w:t>Impasses e Desafios das Políticas de Seguridade Social. O estudo tem por objeto a análise dos impactos da Reforma do Estado sobre as conquistas dos movimentos sociais configuradas na Constituição de 1988, a partir do fortalecimento destes na luta pela redemocratização.</w:t>
      </w:r>
    </w:p>
    <w:p w14:paraId="5ABF9B18" w14:textId="77777777" w:rsidR="00387C0E" w:rsidRDefault="00000000">
      <w:pPr>
        <w:spacing w:line="360" w:lineRule="auto"/>
        <w:ind w:firstLine="709"/>
        <w:jc w:val="both"/>
        <w:rPr>
          <w:sz w:val="24"/>
          <w:szCs w:val="24"/>
        </w:rPr>
      </w:pPr>
      <w:r>
        <w:rPr>
          <w:sz w:val="24"/>
          <w:szCs w:val="24"/>
        </w:rPr>
        <w:t>A Constituição Federal de 1988 marca o reconhecimento dos direitos sociais e ampliação da proteção social, através da Assistência Social, Saúde e Previdência Social como integrantes da Seguridade Social. É a partir dela que foram regulamentadas diversas legislações, reconhecendo segmentos anteriormente negligenciados pelo Estado brasileiro. Nesse contexto, os movimentos sociais tiveram expressiva contribuição para o reconhecimento da Seguridade Social, pois a pluralização de demandas de ordem política, social e econômica possibilitou que os sujeitos se organizassem em torno de pautas para reivindicação que foram asseguradas na Constituição Federal de 1988.</w:t>
      </w:r>
    </w:p>
    <w:p w14:paraId="03ADC7DB" w14:textId="77777777" w:rsidR="00387C0E" w:rsidRDefault="00000000">
      <w:pPr>
        <w:spacing w:line="360" w:lineRule="auto"/>
        <w:ind w:firstLine="709"/>
        <w:jc w:val="both"/>
        <w:rPr>
          <w:sz w:val="24"/>
          <w:szCs w:val="24"/>
        </w:rPr>
      </w:pPr>
      <w:r>
        <w:rPr>
          <w:sz w:val="24"/>
          <w:szCs w:val="24"/>
        </w:rPr>
        <w:t>No entanto, as conquistas asseguradas constitucionalmente, estavam inseridas em um contexto extremamente adverso no qual o redirecionamento das funções do Estado brasileiro o afastou progressivamente dos compromissos assumidos na Constituição Federal e teve na Reforma do Estado brasileiro, as condições para fortalecer essa perspectiva.</w:t>
      </w:r>
    </w:p>
    <w:p w14:paraId="3CD8D1C2" w14:textId="77777777" w:rsidR="00387C0E" w:rsidRDefault="00000000">
      <w:pPr>
        <w:spacing w:line="360" w:lineRule="auto"/>
        <w:ind w:firstLine="709"/>
        <w:jc w:val="both"/>
        <w:rPr>
          <w:sz w:val="24"/>
          <w:szCs w:val="24"/>
        </w:rPr>
      </w:pPr>
      <w:r>
        <w:rPr>
          <w:sz w:val="24"/>
          <w:szCs w:val="24"/>
        </w:rPr>
        <w:t>Nesse sentido, o objeto proposto tem relevância para a produção do conhecimento, pois contribui para os estudos acerca da participação dos movimentos sociais na construção de políticas públicas asseguradas na Constituição Federal, destacando a conjuntura adversa que se expressou, a partir da década de 1990 no Brasil.</w:t>
      </w:r>
    </w:p>
    <w:p w14:paraId="64F3D7F7" w14:textId="77777777" w:rsidR="00387C0E" w:rsidRDefault="00000000">
      <w:pPr>
        <w:spacing w:line="360" w:lineRule="auto"/>
        <w:ind w:firstLine="709"/>
        <w:jc w:val="both"/>
        <w:rPr>
          <w:sz w:val="24"/>
          <w:szCs w:val="24"/>
        </w:rPr>
      </w:pPr>
      <w:r>
        <w:rPr>
          <w:sz w:val="24"/>
          <w:szCs w:val="24"/>
        </w:rPr>
        <w:lastRenderedPageBreak/>
        <w:t xml:space="preserve">O referencial teórico-metodológico escolhido para o estudo é o materialismo histórico dialético, pois consideramos que o referido referencial possibilita compreender a realidade social, econômica e política da sociedade capitalista, a partir de suas contradições e de seus processos históricos. </w:t>
      </w:r>
    </w:p>
    <w:p w14:paraId="79B10C6C" w14:textId="77777777" w:rsidR="00387C0E" w:rsidRDefault="00000000">
      <w:pPr>
        <w:spacing w:line="360" w:lineRule="auto"/>
        <w:ind w:firstLine="709"/>
        <w:jc w:val="both"/>
        <w:rPr>
          <w:sz w:val="24"/>
          <w:szCs w:val="24"/>
        </w:rPr>
      </w:pPr>
      <w:r>
        <w:rPr>
          <w:sz w:val="24"/>
          <w:szCs w:val="24"/>
        </w:rPr>
        <w:t xml:space="preserve">No que tange à metodologia utilizada, privilegiamos como procedimento metodológico, a revisão bibliográfica e documental, na qual foram estudadas referências teóricas necessárias à investigação do objeto. </w:t>
      </w:r>
    </w:p>
    <w:p w14:paraId="18368871" w14:textId="77777777" w:rsidR="00387C0E" w:rsidRDefault="00000000">
      <w:pPr>
        <w:spacing w:line="360" w:lineRule="auto"/>
        <w:ind w:firstLine="709"/>
        <w:jc w:val="both"/>
        <w:rPr>
          <w:sz w:val="24"/>
          <w:szCs w:val="24"/>
        </w:rPr>
      </w:pPr>
      <w:r>
        <w:rPr>
          <w:sz w:val="24"/>
          <w:szCs w:val="24"/>
        </w:rPr>
        <w:t xml:space="preserve">O trabalho encontra-se estruturado em duas seções primárias, além da introdução, conclusão e referências. A primeira seção primária, </w:t>
      </w:r>
      <w:r>
        <w:rPr>
          <w:b/>
          <w:sz w:val="24"/>
          <w:szCs w:val="24"/>
        </w:rPr>
        <w:t xml:space="preserve">“MOVIMENTOS SOCIAIS E REDEMOCRATIZAÇÃO: </w:t>
      </w:r>
      <w:r>
        <w:rPr>
          <w:sz w:val="24"/>
          <w:szCs w:val="24"/>
        </w:rPr>
        <w:t>participação na construção democrática brasileira” partimos de alguns apontamentos, a fim de caracterizar como os movimentos sociais do final da década de 1970 e início dos anos 1980 participaram do processo de construção democrática que resultou na Carta Constitucional de 1988, assegurando diversos direitos, entre eles, a Seguridade Social. A segunda seção primária, “</w:t>
      </w:r>
      <w:r>
        <w:rPr>
          <w:b/>
          <w:sz w:val="24"/>
          <w:szCs w:val="24"/>
        </w:rPr>
        <w:t xml:space="preserve">PLANO DIRETOR DE REFORMA DO APARELHO DO ESTADO: </w:t>
      </w:r>
      <w:r>
        <w:rPr>
          <w:sz w:val="24"/>
          <w:szCs w:val="24"/>
        </w:rPr>
        <w:t>impactos para os direitos garantidos na Constituição Federal de 1988” caracterizamos</w:t>
      </w:r>
      <w:r>
        <w:rPr>
          <w:color w:val="C00000"/>
          <w:sz w:val="24"/>
          <w:szCs w:val="24"/>
        </w:rPr>
        <w:t xml:space="preserve"> </w:t>
      </w:r>
      <w:r>
        <w:rPr>
          <w:sz w:val="24"/>
          <w:szCs w:val="24"/>
        </w:rPr>
        <w:t>os elementos da Reforma do Estado, a partir do Plano Diretor de Reforma do Aparelho do Estado – PDRAE que, através do discurso ideológico de eficiência, reduziu a intervenção do Estado brasileiro.</w:t>
      </w:r>
    </w:p>
    <w:p w14:paraId="7F1D1E9B" w14:textId="77777777" w:rsidR="00387C0E" w:rsidRDefault="00387C0E">
      <w:pPr>
        <w:pBdr>
          <w:top w:val="nil"/>
          <w:left w:val="nil"/>
          <w:bottom w:val="nil"/>
          <w:right w:val="nil"/>
          <w:between w:val="nil"/>
        </w:pBdr>
        <w:spacing w:line="360" w:lineRule="auto"/>
        <w:jc w:val="both"/>
        <w:rPr>
          <w:color w:val="FF00FF"/>
          <w:sz w:val="24"/>
          <w:szCs w:val="24"/>
        </w:rPr>
      </w:pPr>
    </w:p>
    <w:p w14:paraId="1B2C0C0F" w14:textId="77777777" w:rsidR="00387C0E" w:rsidRDefault="00000000">
      <w:pPr>
        <w:spacing w:line="360" w:lineRule="auto"/>
        <w:ind w:left="284" w:hanging="284"/>
        <w:jc w:val="both"/>
        <w:rPr>
          <w:sz w:val="24"/>
          <w:szCs w:val="24"/>
        </w:rPr>
      </w:pPr>
      <w:r>
        <w:rPr>
          <w:b/>
          <w:sz w:val="24"/>
          <w:szCs w:val="24"/>
        </w:rPr>
        <w:t xml:space="preserve">2 MOVIMENTOS SOCIAIS E REDEMOCRATIZAÇÃO: </w:t>
      </w:r>
      <w:r>
        <w:rPr>
          <w:sz w:val="24"/>
          <w:szCs w:val="24"/>
        </w:rPr>
        <w:t>participação na construção democrática brasileira</w:t>
      </w:r>
    </w:p>
    <w:p w14:paraId="03D756B9" w14:textId="77777777" w:rsidR="00387C0E" w:rsidRDefault="00387C0E">
      <w:pPr>
        <w:spacing w:line="360" w:lineRule="auto"/>
        <w:ind w:left="284" w:hanging="284"/>
        <w:jc w:val="both"/>
        <w:rPr>
          <w:sz w:val="24"/>
          <w:szCs w:val="24"/>
        </w:rPr>
      </w:pPr>
    </w:p>
    <w:p w14:paraId="77269E51" w14:textId="77777777" w:rsidR="00387C0E" w:rsidRDefault="00000000">
      <w:pPr>
        <w:spacing w:line="360" w:lineRule="auto"/>
        <w:ind w:firstLine="709"/>
        <w:jc w:val="both"/>
        <w:rPr>
          <w:sz w:val="24"/>
          <w:szCs w:val="24"/>
        </w:rPr>
      </w:pPr>
      <w:r>
        <w:rPr>
          <w:sz w:val="24"/>
          <w:szCs w:val="24"/>
        </w:rPr>
        <w:t xml:space="preserve">Em sua constituição, os movimentos sociais expressam aspectos estruturais de uma sociedade. Organizam-se de acordo com demandas que necessitam de respostas imediatas ou de longo prazo. Tal organização, não é uma manifestação espontânea, mas resultado do agrupamento de indivíduos que demandam, defendem e lutam por alguma causa ou objetivo em comum, além de atuarem na contramão das relações de dominação oriundas da divisão de classes. No contexto brasileiro, os </w:t>
      </w:r>
      <w:r>
        <w:rPr>
          <w:sz w:val="24"/>
          <w:szCs w:val="24"/>
        </w:rPr>
        <w:lastRenderedPageBreak/>
        <w:t>movimentos sociais no final da década de 1970 e início da década de 1980 buscavam a superação do regime ditatorial implantado com o golpe de 1964, além de assegurar pautas e direitos durante a redemocratização brasileira. Desse modo, pontuaremos alguns elementos desse período.</w:t>
      </w:r>
    </w:p>
    <w:p w14:paraId="1F948296" w14:textId="77777777" w:rsidR="00387C0E" w:rsidRDefault="00000000">
      <w:pPr>
        <w:spacing w:line="360" w:lineRule="auto"/>
        <w:ind w:firstLine="709"/>
        <w:jc w:val="both"/>
        <w:rPr>
          <w:sz w:val="24"/>
          <w:szCs w:val="24"/>
        </w:rPr>
      </w:pPr>
      <w:r>
        <w:rPr>
          <w:sz w:val="24"/>
          <w:szCs w:val="24"/>
        </w:rPr>
        <w:t>Inicialmente, ressaltamos que os movimentos sociais clássicos estavam atrelados às disputas entre classes e seus objetivos tinham relação com as reivindicações coletivas dos trabalhadores. Segundo Freitas (2017),</w:t>
      </w:r>
      <w:r>
        <w:rPr>
          <w:color w:val="C00000"/>
          <w:sz w:val="24"/>
          <w:szCs w:val="24"/>
        </w:rPr>
        <w:t xml:space="preserve"> </w:t>
      </w:r>
      <w:r>
        <w:rPr>
          <w:sz w:val="24"/>
          <w:szCs w:val="24"/>
        </w:rPr>
        <w:t xml:space="preserve">esses movimentos vão se desenvolver no Brasil nas primeiras décadas do século XX, impulsionados pelo próprio desenvolvimento do modo de produção capitalista que se expandia no país, a partir da incorporação da produção industrial e a superação do modelo agrário-exportador. As lutas da classe trabalhadora resultaram na incorporação de suas demandas, através de direitos assegurados nas primeiras legislações sociais e trabalhistas, a partir do governo Vargas. </w:t>
      </w:r>
    </w:p>
    <w:p w14:paraId="1F628365" w14:textId="77777777" w:rsidR="00387C0E" w:rsidRDefault="00000000">
      <w:pPr>
        <w:spacing w:line="360" w:lineRule="auto"/>
        <w:ind w:firstLine="709"/>
        <w:jc w:val="both"/>
        <w:rPr>
          <w:sz w:val="24"/>
          <w:szCs w:val="24"/>
        </w:rPr>
      </w:pPr>
      <w:r>
        <w:rPr>
          <w:sz w:val="24"/>
          <w:szCs w:val="24"/>
        </w:rPr>
        <w:t>Apesar dos avanços, no que tange à organização política ocorreu a desmobilização dos sindicatos, “o Governo Getúlio Vargas vai incorporar essas demandas e reivindicações e respondê-las na forma de benefícios, o que vai representar como rebatimentos a desmobilização das organizações”, conforme Freitas (2017, p.82). A partir de 1964, movimentos sociais como o movimento estudantil, sindical e as comunidades eclesiais de base alinharam-se à luta coletiva pelo fim da ditadura. Conforme Levy (2009, p.178):</w:t>
      </w:r>
    </w:p>
    <w:p w14:paraId="2157776F" w14:textId="77777777" w:rsidR="00387C0E" w:rsidRDefault="00387C0E">
      <w:pPr>
        <w:spacing w:line="360" w:lineRule="auto"/>
        <w:ind w:firstLine="709"/>
        <w:jc w:val="both"/>
        <w:rPr>
          <w:sz w:val="24"/>
          <w:szCs w:val="24"/>
        </w:rPr>
      </w:pPr>
    </w:p>
    <w:p w14:paraId="338DAA94" w14:textId="77777777" w:rsidR="00387C0E" w:rsidRDefault="00000000">
      <w:pPr>
        <w:spacing w:line="240" w:lineRule="auto"/>
        <w:ind w:left="2267"/>
        <w:jc w:val="both"/>
        <w:rPr>
          <w:sz w:val="20"/>
          <w:szCs w:val="20"/>
        </w:rPr>
      </w:pPr>
      <w:r>
        <w:rPr>
          <w:sz w:val="20"/>
          <w:szCs w:val="20"/>
        </w:rPr>
        <w:t>A Igreja Católica Progressista criou, promoveu e apoiou movimentos sociais modernos em todo o Brasil [...] durante muitos anos – a começar pelo trabalho realizado na constituição das Comunidades Eclesiais de Base (CEBs) nos anos 1960.</w:t>
      </w:r>
    </w:p>
    <w:p w14:paraId="5CD5ADA8" w14:textId="77777777" w:rsidR="00387C0E" w:rsidRDefault="00387C0E">
      <w:pPr>
        <w:spacing w:line="360" w:lineRule="auto"/>
        <w:jc w:val="both"/>
        <w:rPr>
          <w:sz w:val="24"/>
          <w:szCs w:val="24"/>
        </w:rPr>
      </w:pPr>
    </w:p>
    <w:p w14:paraId="0C73E139" w14:textId="77777777" w:rsidR="00387C0E" w:rsidRDefault="00000000">
      <w:pPr>
        <w:spacing w:line="360" w:lineRule="auto"/>
        <w:ind w:firstLine="709"/>
        <w:jc w:val="both"/>
        <w:rPr>
          <w:sz w:val="24"/>
          <w:szCs w:val="24"/>
        </w:rPr>
      </w:pPr>
      <w:r>
        <w:rPr>
          <w:sz w:val="24"/>
          <w:szCs w:val="24"/>
        </w:rPr>
        <w:t xml:space="preserve">Com relação ao movimento estudantil, destacamos a “Passeata dos Cem Mil” ocorrida em 06 de junho de 1968, na cidade do Rio de Janeiro. Conforme Ventura (1988, p.142), “a morte de Edson Luís já tinha provocado uma grande comoção [..], mas o que de fato levou a população a tomar partido, a se revoltar, a entrar fisicamente na guerra, foi a “sexta-feira sangrenta”. Nesse contexto, no fim da década de 1970 e </w:t>
      </w:r>
      <w:r>
        <w:rPr>
          <w:sz w:val="24"/>
          <w:szCs w:val="24"/>
        </w:rPr>
        <w:lastRenderedPageBreak/>
        <w:t xml:space="preserve">início dos anos de 1980, os movimentos sociais buscavam a superação do autoritarismo e defendiam a instituição de um </w:t>
      </w:r>
      <w:hyperlink r:id="rId8">
        <w:r w:rsidR="00387C0E">
          <w:rPr>
            <w:color w:val="000000"/>
            <w:sz w:val="24"/>
            <w:szCs w:val="24"/>
          </w:rPr>
          <w:t>Estado democrático</w:t>
        </w:r>
      </w:hyperlink>
      <w:r>
        <w:rPr>
          <w:sz w:val="24"/>
          <w:szCs w:val="24"/>
        </w:rPr>
        <w:t xml:space="preserve">. </w:t>
      </w:r>
    </w:p>
    <w:p w14:paraId="5493FD5B" w14:textId="77777777" w:rsidR="00387C0E" w:rsidRDefault="00000000">
      <w:pPr>
        <w:spacing w:line="360" w:lineRule="auto"/>
        <w:ind w:firstLine="709"/>
        <w:jc w:val="both"/>
        <w:rPr>
          <w:sz w:val="24"/>
          <w:szCs w:val="24"/>
        </w:rPr>
      </w:pPr>
      <w:r>
        <w:rPr>
          <w:sz w:val="24"/>
          <w:szCs w:val="24"/>
        </w:rPr>
        <w:t>Segundo (</w:t>
      </w:r>
      <w:proofErr w:type="spellStart"/>
      <w:r>
        <w:rPr>
          <w:sz w:val="24"/>
          <w:szCs w:val="24"/>
        </w:rPr>
        <w:t>Gonh</w:t>
      </w:r>
      <w:proofErr w:type="spellEnd"/>
      <w:r>
        <w:rPr>
          <w:sz w:val="24"/>
          <w:szCs w:val="24"/>
        </w:rPr>
        <w:t>, 2011, p.342), “contribuíram decisivamente, via demandas e pressões organizadas, para a conquista de vários direitos sociais que foram inscritos na nova Constituição Federal de 1988”. Silva (2015) destaca que o processo de rearticulação da sociedade na segunda metade dos anos 1970 e nos anos 1980 introduziu na arena social, a luta política por direitos sociais básicos que culminou com a ampliação destes na Constituição Federal de 1988.</w:t>
      </w:r>
    </w:p>
    <w:p w14:paraId="4C6B67FF" w14:textId="77777777" w:rsidR="00387C0E" w:rsidRDefault="00000000">
      <w:pPr>
        <w:spacing w:line="360" w:lineRule="auto"/>
        <w:ind w:firstLine="709"/>
        <w:jc w:val="both"/>
        <w:rPr>
          <w:sz w:val="24"/>
          <w:szCs w:val="24"/>
        </w:rPr>
      </w:pPr>
      <w:bookmarkStart w:id="0" w:name="_heading=h.xwyzt4mw1vzu" w:colFirst="0" w:colLast="0"/>
      <w:bookmarkEnd w:id="0"/>
      <w:r>
        <w:rPr>
          <w:sz w:val="24"/>
          <w:szCs w:val="24"/>
        </w:rPr>
        <w:t>Nesse sentido, na década 1980, houve uma ampliação da discussão acerca dos movimentos sociais no âmbito acadêmico, onde as universidades tiveram uma expressiva resistência ao regime pelo seu papel estratégico na formação de intelectuais, bem como a efervescência política no Brasil que possibilitou a diversidade destes movimentos, dentre eles, o movimento de mulheres, ecológicos, negros, indígenas e pessoas idosas. Nesse sentido: “A década de 1980 [...] foi uma das mais frutíferas do ponto de vista da pluralização dos movimentos sociais que passaram a abranger várias novas temáticas” (Bem, 2006, p. 1151).</w:t>
      </w:r>
    </w:p>
    <w:p w14:paraId="4F81769B" w14:textId="77777777" w:rsidR="00387C0E" w:rsidRDefault="00000000">
      <w:pPr>
        <w:spacing w:line="360" w:lineRule="auto"/>
        <w:ind w:firstLine="709"/>
        <w:jc w:val="both"/>
        <w:rPr>
          <w:color w:val="FF0000"/>
          <w:sz w:val="24"/>
          <w:szCs w:val="24"/>
        </w:rPr>
      </w:pPr>
      <w:r>
        <w:rPr>
          <w:sz w:val="24"/>
          <w:szCs w:val="24"/>
        </w:rPr>
        <w:t xml:space="preserve">Para Freitas (2017), esses movimentos referem-se a formas coletivas de organização que buscavam estratégias para mobilizar grupos historicamente excluídos do acesso a direitos, vítimas de preconceito, discriminação, componentes das chamadas “minorias sociais” na busca por visibilidade, denúncia de desigualdades e efetivamente garantia de direitos. Cada movimento social expressava uma identidade que se materializava, a partir de demandas específicas que resultaram, posteriormente, em mudanças na sociedade brasileira (Evangelista, 2004). </w:t>
      </w:r>
    </w:p>
    <w:p w14:paraId="34AFF166" w14:textId="77777777" w:rsidR="00387C0E" w:rsidRDefault="00000000">
      <w:pPr>
        <w:spacing w:line="360" w:lineRule="auto"/>
        <w:ind w:firstLine="709"/>
        <w:jc w:val="both"/>
        <w:rPr>
          <w:sz w:val="24"/>
          <w:szCs w:val="24"/>
        </w:rPr>
      </w:pPr>
      <w:proofErr w:type="spellStart"/>
      <w:r>
        <w:rPr>
          <w:sz w:val="24"/>
          <w:szCs w:val="24"/>
        </w:rPr>
        <w:t>Gohn</w:t>
      </w:r>
      <w:proofErr w:type="spellEnd"/>
      <w:r>
        <w:rPr>
          <w:sz w:val="24"/>
          <w:szCs w:val="24"/>
        </w:rPr>
        <w:t xml:space="preserve"> (2008) indica que os movimentos sociais podem ser compreendidos como meios de expressão coletiva em que diferentes segmentos se organizam em torno de uma ou mais pautas de reivindicação, que podem ser de ordem política, social ou cultural, assim como se alinharem aos interesses das classes dominantes ou dominadas. Assim, na década de 1980, o desgaste do regime militar e a luta pela </w:t>
      </w:r>
      <w:r>
        <w:rPr>
          <w:sz w:val="24"/>
          <w:szCs w:val="24"/>
        </w:rPr>
        <w:lastRenderedPageBreak/>
        <w:t>consolidação de um regime democrático potencializou a mobilização política e social de diversos sujeitos. Desse modo, a trajetória política brasileira até a redemocratização está definida em três fases, conforme Kinzo (2001), a primeira fase corresponde ao período de 1974 a 1982, na qual a dinâmica política estava sob total controle dos militares. A segunda fase, de 1982 a 1985, caracterizada pelo domínio militar, mas outros sujeitos – civis – passam a ter um papel importante no processo político. Já na terceira fase, de 1985 a 1989, os militares deixam de deter o papel principal (apesar de manterem algum poder de veto), sendo substituídos pelos políticos civis, havendo também a participação de setores organizados da sociedade civil.</w:t>
      </w:r>
    </w:p>
    <w:p w14:paraId="5CCCAEC5" w14:textId="77777777" w:rsidR="00387C0E" w:rsidRDefault="00000000">
      <w:pPr>
        <w:tabs>
          <w:tab w:val="left" w:pos="709"/>
        </w:tabs>
        <w:spacing w:line="360" w:lineRule="auto"/>
        <w:ind w:firstLine="709"/>
        <w:jc w:val="both"/>
        <w:rPr>
          <w:sz w:val="24"/>
          <w:szCs w:val="24"/>
        </w:rPr>
      </w:pPr>
      <w:r>
        <w:rPr>
          <w:sz w:val="24"/>
          <w:szCs w:val="24"/>
        </w:rPr>
        <w:t>Nesse contexto, o processo de redemocratização impulsionou o cenário de luta para assegurar direitos, uma vez que, anteriormente, a luta política e social foi marcada pela repressão, autoritarismo e violência, silenciando demandas historicamente negligenciadas ou residualmente enfrentadas pelo Estado brasileiro. A partir da década de 1980, os movimentos sociais começam a se expressar de forma dinâmica e interdependente, influenciados pela pressão de grupos que reivindicavam seu reconhecimento na Constituição Federal de 1988 (Kinzo, 2001).</w:t>
      </w:r>
    </w:p>
    <w:p w14:paraId="335997CE" w14:textId="77777777" w:rsidR="00387C0E" w:rsidRDefault="00000000">
      <w:pPr>
        <w:spacing w:line="360" w:lineRule="auto"/>
        <w:ind w:firstLine="709"/>
        <w:jc w:val="both"/>
        <w:rPr>
          <w:sz w:val="24"/>
          <w:szCs w:val="24"/>
        </w:rPr>
      </w:pPr>
      <w:r>
        <w:rPr>
          <w:sz w:val="24"/>
          <w:szCs w:val="24"/>
        </w:rPr>
        <w:t>Assim, o desgaste do regime militar e a luta pela consolidação de um regime democrático no Brasil potencializou a mobilização política e social de diversos sujeitos que buscavam mudanças profundas no Estado brasileiro na década de 1980. O processo de redemocratização impulsionou esse cenário, a partir da participação ativa de diversos sujeitos políticos que influenciaram a construção da nova Constituição. No entanto, o Estado brasileiro foi progressivamente se afastando dos compromissos assumidos na Constituição Federal de 1988. Nesse sentido, apontaremos a seguir alguns aspectos que caracterizaram a proposta de Reforma do Estado brasileiro na década de 1990, a partir do Plano Diretor de Reforma do Aparelho do Estado (PDRAE) que impactou a implementação das políticas públicas pós 1990.</w:t>
      </w:r>
    </w:p>
    <w:p w14:paraId="0F218451" w14:textId="77777777" w:rsidR="00387C0E" w:rsidRDefault="00387C0E">
      <w:pPr>
        <w:spacing w:line="360" w:lineRule="auto"/>
        <w:ind w:firstLine="709"/>
        <w:jc w:val="both"/>
        <w:rPr>
          <w:sz w:val="24"/>
          <w:szCs w:val="24"/>
        </w:rPr>
      </w:pPr>
    </w:p>
    <w:p w14:paraId="13DDE009" w14:textId="77777777" w:rsidR="00387C0E" w:rsidRDefault="00000000">
      <w:pPr>
        <w:spacing w:line="360" w:lineRule="auto"/>
        <w:jc w:val="both"/>
        <w:rPr>
          <w:sz w:val="24"/>
          <w:szCs w:val="24"/>
        </w:rPr>
      </w:pPr>
      <w:bookmarkStart w:id="1" w:name="_heading=h.bnruwwdxt415" w:colFirst="0" w:colLast="0"/>
      <w:bookmarkEnd w:id="1"/>
      <w:r>
        <w:rPr>
          <w:b/>
          <w:sz w:val="24"/>
          <w:szCs w:val="24"/>
        </w:rPr>
        <w:lastRenderedPageBreak/>
        <w:t xml:space="preserve">3 PLANO DIRETOR DE REFORMA DO APARELHO DO ESTADO: </w:t>
      </w:r>
      <w:r>
        <w:rPr>
          <w:sz w:val="24"/>
          <w:szCs w:val="24"/>
        </w:rPr>
        <w:t>impactos para      os direitos garantidos na Constituição Federal de 1988</w:t>
      </w:r>
    </w:p>
    <w:p w14:paraId="41E86D1F" w14:textId="77777777" w:rsidR="00387C0E" w:rsidRDefault="00387C0E">
      <w:pPr>
        <w:spacing w:line="360" w:lineRule="auto"/>
        <w:jc w:val="both"/>
        <w:rPr>
          <w:color w:val="EE0000"/>
          <w:sz w:val="24"/>
          <w:szCs w:val="24"/>
        </w:rPr>
      </w:pPr>
    </w:p>
    <w:p w14:paraId="0CAF0C6A" w14:textId="77777777" w:rsidR="00387C0E" w:rsidRDefault="00000000">
      <w:pPr>
        <w:spacing w:line="360" w:lineRule="auto"/>
        <w:ind w:firstLine="709"/>
        <w:jc w:val="both"/>
        <w:rPr>
          <w:sz w:val="24"/>
          <w:szCs w:val="24"/>
        </w:rPr>
      </w:pPr>
      <w:r>
        <w:rPr>
          <w:sz w:val="24"/>
          <w:szCs w:val="24"/>
        </w:rPr>
        <w:t>A inflexão neoliberal no Brasil consolidou-se na década de 1990 por meio da internalização das diretrizes do Consenso de Washington, que impulsionaram reformas estruturais orientadas à lógica do mercado, da eficiência e da privatização. Nesse contexto, o Plano Diretor da Reforma do Aparelho do Estado (PDRAE), formulado em 1995 no governo FHC, foi um marco da racionalização gerencial do Estado, ao propor sua reconfiguração em torno de um núcleo estratégico, desmontando o modelo weberiano de serviço público universalista. Inspirado nos paradigmas do chamado “novo gerencialismo público”, o PDRAE operou como um instrumento de ajuste funcional à nova morfologia do capitalismo global, ao subordinar o Estado às exigências do capital financeiro, ampliar parcerias público-privadas e reduzir a presença direta do Estado na execução de políticas sociais (Bresser-Pereira, 1996; Harvey, 2005). Tal movimento refletiu uma tendência mais ampla de reconfiguração da governabilidade, em que o Estado deixa de ser provedor direto de direitos para se tornar gestor de riscos e mediador de interesses mercadológicos, reforçando desigualdades estruturais e intensificando a mercantilização da vida social (Sader, 2005; Dardot; Laval, 2016).</w:t>
      </w:r>
    </w:p>
    <w:p w14:paraId="327C034B" w14:textId="77777777" w:rsidR="00387C0E" w:rsidRDefault="00000000">
      <w:pPr>
        <w:spacing w:line="360" w:lineRule="auto"/>
        <w:ind w:firstLine="709"/>
        <w:jc w:val="both"/>
        <w:rPr>
          <w:sz w:val="24"/>
          <w:szCs w:val="24"/>
        </w:rPr>
      </w:pPr>
      <w:r>
        <w:rPr>
          <w:sz w:val="24"/>
          <w:szCs w:val="24"/>
        </w:rPr>
        <w:t xml:space="preserve">Para Bresser-Pereira (1998), a CF/88, resultado das lutas por direitos e que vislumbrava a ampliação das funções do Estado, representou o “enrijecimento burocrático externo” (Pereira, 1998, p.240). Essa perspectiva justifica que “a Constituição tirou a capacidade operacional do governo e aumentou seu custo” (Behring, 2003, p.180), portanto, o Estado deveria afastar-se de algumas responsabilidades, possibilitando a “flexibilização e descentralização das decisões, o que, esperava-se, aumentar a eficiência do Estado” (Behring, 2003, p.179). </w:t>
      </w:r>
    </w:p>
    <w:p w14:paraId="5A972458" w14:textId="77777777" w:rsidR="00387C0E" w:rsidRDefault="00000000">
      <w:pPr>
        <w:spacing w:line="360" w:lineRule="auto"/>
        <w:ind w:firstLine="709"/>
        <w:jc w:val="both"/>
        <w:rPr>
          <w:sz w:val="24"/>
          <w:szCs w:val="24"/>
        </w:rPr>
      </w:pPr>
      <w:r>
        <w:rPr>
          <w:sz w:val="24"/>
          <w:szCs w:val="24"/>
        </w:rPr>
        <w:t xml:space="preserve">Nesse sentido, o PDRAE caracteriza o cenário da época, tecendo críticas à ineficiência do Estado decorrente das inúmeras demandas atribuídas pela </w:t>
      </w:r>
      <w:r>
        <w:rPr>
          <w:sz w:val="24"/>
          <w:szCs w:val="24"/>
        </w:rPr>
        <w:lastRenderedPageBreak/>
        <w:t>Constituição Federal. Desse modo, o Estado brasileiro deveria enfrentar alguns entraves, a fim de minimizar essas demandas. Segundo o PDRAE (1995, p.11):</w:t>
      </w:r>
    </w:p>
    <w:p w14:paraId="735A2479" w14:textId="77777777" w:rsidR="00387C0E" w:rsidRDefault="00000000">
      <w:pPr>
        <w:spacing w:line="240" w:lineRule="auto"/>
        <w:ind w:left="2268"/>
        <w:jc w:val="both"/>
        <w:rPr>
          <w:sz w:val="20"/>
          <w:szCs w:val="20"/>
        </w:rPr>
      </w:pPr>
      <w:r>
        <w:rPr>
          <w:sz w:val="20"/>
          <w:szCs w:val="20"/>
        </w:rPr>
        <w:t>São  inadiáveis:  (1)  o  ajustamento  fiscal  duradouro;  (2)  reformas  econômicas   orientadas   para   o   mercado,   que,   acompanhadas   de   uma   política   industrial e tecnológica, garantam a concorrência interna e criem as condições para o  enfrentamento  da  competição  internacional;  (3)  a  reforma  da  previdência  social;  (4) a   inovação   dos   instrumentos   de   política   social,   proporcionando   maior   abrangência  e  promovendo  melhor  qualidade  para  os  serviços  sociais;  e  (5)  a  reforma  do  aparelho  do  Estado,  com  vistas  a  aumentar  sua  "governança",  ou  seja,  sua  capacidade  de  implementar  de  forma  eficiente  políticas  públicas.</w:t>
      </w:r>
    </w:p>
    <w:p w14:paraId="6436345C" w14:textId="77777777" w:rsidR="00387C0E" w:rsidRDefault="00387C0E">
      <w:pPr>
        <w:spacing w:line="240" w:lineRule="auto"/>
        <w:jc w:val="both"/>
        <w:rPr>
          <w:sz w:val="24"/>
          <w:szCs w:val="24"/>
        </w:rPr>
      </w:pPr>
    </w:p>
    <w:p w14:paraId="0E8397C0" w14:textId="77777777" w:rsidR="00387C0E" w:rsidRDefault="00000000">
      <w:pPr>
        <w:spacing w:line="360" w:lineRule="auto"/>
        <w:ind w:firstLine="709"/>
        <w:jc w:val="both"/>
        <w:rPr>
          <w:sz w:val="24"/>
          <w:szCs w:val="24"/>
        </w:rPr>
      </w:pPr>
      <w:r>
        <w:rPr>
          <w:sz w:val="24"/>
          <w:szCs w:val="24"/>
        </w:rPr>
        <w:t xml:space="preserve">O Plano destaca três modelos ao longo da história brasileira que influenciaram as características da Administração Pública. São eles: Administração Pública Patrimonialista, Burocrática e Gerencial. Com relação ao modelo </w:t>
      </w:r>
      <w:proofErr w:type="gramStart"/>
      <w:r>
        <w:rPr>
          <w:sz w:val="24"/>
          <w:szCs w:val="24"/>
        </w:rPr>
        <w:t>gerencial,  destaca</w:t>
      </w:r>
      <w:proofErr w:type="gramEnd"/>
      <w:r>
        <w:rPr>
          <w:sz w:val="24"/>
          <w:szCs w:val="24"/>
        </w:rPr>
        <w:t xml:space="preserve">-se que entre o final dos anos de 1960 e início dos anos 1980, a Administração Pública começou a apresentar algumas iniciativas caracterizadas como Administração Gerencial como o Decreto-Lei 200/1967 (que dispõe sobre a organização da Administração Federal), além da criação de Secretarias e Ministérios como a Secretaria de Modernização em 1970 e do Ministério da Desburocratização e do Programa Nacional de Desburocratização nos anos 1980 (PDRAE, 1995). </w:t>
      </w:r>
    </w:p>
    <w:p w14:paraId="69614A8F" w14:textId="77777777" w:rsidR="00387C0E" w:rsidRDefault="00000000">
      <w:pPr>
        <w:spacing w:line="360" w:lineRule="auto"/>
        <w:ind w:firstLine="709"/>
        <w:jc w:val="both"/>
        <w:rPr>
          <w:sz w:val="24"/>
          <w:szCs w:val="24"/>
        </w:rPr>
      </w:pPr>
      <w:r>
        <w:rPr>
          <w:sz w:val="24"/>
          <w:szCs w:val="24"/>
        </w:rPr>
        <w:t>O PDRAE considerou que “houve um encarecimento significativo do custeio da máquina administrativa, tanto no que se refere a gastos com pessoal como bens e serviços, e um enorme aumento da ineficiência dos serviços públicos” (PDRAE, 1995, p.22). Assim, o PDRAE enfatizava que a Administração Pública era caracterizada pela excessiva burocracia e a Administração Gerencial possibilitaria sua superação, desencadeando, conforme Santos (2009, p.80):</w:t>
      </w:r>
    </w:p>
    <w:p w14:paraId="5476376D" w14:textId="77777777" w:rsidR="00387C0E" w:rsidRDefault="00387C0E">
      <w:pPr>
        <w:spacing w:line="360" w:lineRule="auto"/>
        <w:ind w:firstLine="709"/>
        <w:jc w:val="both"/>
        <w:rPr>
          <w:sz w:val="24"/>
          <w:szCs w:val="24"/>
        </w:rPr>
      </w:pPr>
    </w:p>
    <w:p w14:paraId="56392484" w14:textId="77777777" w:rsidR="00387C0E" w:rsidRDefault="00000000">
      <w:pPr>
        <w:spacing w:line="240" w:lineRule="auto"/>
        <w:ind w:left="2267"/>
        <w:jc w:val="both"/>
        <w:rPr>
          <w:sz w:val="20"/>
          <w:szCs w:val="20"/>
        </w:rPr>
      </w:pPr>
      <w:r>
        <w:rPr>
          <w:sz w:val="20"/>
          <w:szCs w:val="20"/>
        </w:rPr>
        <w:t>Uma série de reformas institucionais sob forte influência da concepção do pensamento único, que prescrevia o enxugamento do Estado e a defesa do mercado enquanto determinante e regulador da dinâmica econômica, social e política.</w:t>
      </w:r>
    </w:p>
    <w:p w14:paraId="693AC693" w14:textId="77777777" w:rsidR="00387C0E" w:rsidRDefault="00387C0E">
      <w:pPr>
        <w:spacing w:line="360" w:lineRule="auto"/>
        <w:jc w:val="both"/>
        <w:rPr>
          <w:sz w:val="20"/>
          <w:szCs w:val="20"/>
          <w:highlight w:val="cyan"/>
        </w:rPr>
      </w:pPr>
    </w:p>
    <w:p w14:paraId="0EE0E174" w14:textId="77777777" w:rsidR="00387C0E" w:rsidRDefault="00000000">
      <w:pPr>
        <w:spacing w:line="360" w:lineRule="auto"/>
        <w:ind w:firstLine="709"/>
        <w:jc w:val="both"/>
        <w:rPr>
          <w:sz w:val="24"/>
          <w:szCs w:val="24"/>
        </w:rPr>
      </w:pPr>
      <w:r>
        <w:rPr>
          <w:sz w:val="24"/>
          <w:szCs w:val="24"/>
        </w:rPr>
        <w:t xml:space="preserve">Diante do enxugamento das funções do Estado e da defesa do mercado, o PDRAE (1995) destaca que no aparelho do Estado é possível distinguir quatro setores </w:t>
      </w:r>
      <w:r>
        <w:rPr>
          <w:sz w:val="24"/>
          <w:szCs w:val="24"/>
        </w:rPr>
        <w:lastRenderedPageBreak/>
        <w:t xml:space="preserve">e que algumas responsabilidades podem ser delegadas. São eles: núcleo estratégico (corresponde ao governo, em sentido lato, responsável pela definição das leis e políticas públicas, bem como pelo seu cumprimento); as atividades exclusivas (setor em que são prestados serviços que só o Estado pode realizar); serviços não exclusivos (corresponde ao setor onde o Estado atua simultaneamente com outras organizações públicas não-estatais e privadas) e por fim, a produção de bens e serviços para o mercado (corresponde à área de atuação das empresas). Nessa categorização, tem-se os conceitos de publicização (transferência dos serviços não-exclusivos do Estado do setor estatal para o público não-estatal, através de organizações sociais) e a privatização (produção de bens e serviços para o mercado, através do Conselho de Desestatização). </w:t>
      </w:r>
    </w:p>
    <w:p w14:paraId="6435CFC4" w14:textId="77777777" w:rsidR="00387C0E" w:rsidRDefault="00000000">
      <w:pPr>
        <w:spacing w:line="360" w:lineRule="auto"/>
        <w:ind w:firstLine="709"/>
        <w:jc w:val="both"/>
        <w:rPr>
          <w:sz w:val="24"/>
          <w:szCs w:val="24"/>
        </w:rPr>
      </w:pPr>
      <w:r>
        <w:rPr>
          <w:sz w:val="24"/>
          <w:szCs w:val="24"/>
        </w:rPr>
        <w:t xml:space="preserve">Nessa perspectiva, a reforma enfatizou a necessidade de que os serviços públicos se tornassem mais eficientes. Assim, houve a incorporação de conceitos e estratégias da administração gerencial privada para a Administração Pública, a fim de possibilitar uma gestão de resultados, minimizando gastos públicos em busca da eficiência dos serviços prestados. </w:t>
      </w:r>
    </w:p>
    <w:p w14:paraId="7F708DFB" w14:textId="77777777" w:rsidR="00387C0E" w:rsidRDefault="00387C0E">
      <w:pPr>
        <w:spacing w:line="360" w:lineRule="auto"/>
        <w:jc w:val="both"/>
        <w:rPr>
          <w:color w:val="C00000"/>
          <w:sz w:val="24"/>
          <w:szCs w:val="24"/>
        </w:rPr>
      </w:pPr>
    </w:p>
    <w:p w14:paraId="1C03D916" w14:textId="77777777" w:rsidR="00387C0E" w:rsidRDefault="00000000">
      <w:pPr>
        <w:spacing w:line="360" w:lineRule="auto"/>
        <w:jc w:val="both"/>
        <w:rPr>
          <w:b/>
          <w:sz w:val="24"/>
          <w:szCs w:val="24"/>
        </w:rPr>
      </w:pPr>
      <w:r>
        <w:rPr>
          <w:b/>
          <w:sz w:val="24"/>
          <w:szCs w:val="24"/>
        </w:rPr>
        <w:t>4 CONCLUSÃO</w:t>
      </w:r>
    </w:p>
    <w:p w14:paraId="5AABE10E" w14:textId="77777777" w:rsidR="00387C0E" w:rsidRDefault="00387C0E">
      <w:pPr>
        <w:spacing w:line="360" w:lineRule="auto"/>
        <w:jc w:val="both"/>
        <w:rPr>
          <w:b/>
          <w:sz w:val="24"/>
          <w:szCs w:val="24"/>
        </w:rPr>
      </w:pPr>
    </w:p>
    <w:p w14:paraId="0EE5BB8B" w14:textId="77777777" w:rsidR="00387C0E" w:rsidRDefault="00000000">
      <w:pPr>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A luta dos movimentos sociais brasileiros desempenhou uma relevante atuação na consolidação do texto constitucional, e, consequentemente, no reconhecimento de diversas pautas, oriundas das mudanças políticas e sociais no país. Além disso, representaram a força da mobilização popular e da luta por direitos que </w:t>
      </w:r>
      <w:r>
        <w:rPr>
          <w:sz w:val="24"/>
          <w:szCs w:val="24"/>
        </w:rPr>
        <w:t>contribuíram</w:t>
      </w:r>
      <w:r>
        <w:rPr>
          <w:color w:val="000000"/>
          <w:sz w:val="24"/>
          <w:szCs w:val="24"/>
        </w:rPr>
        <w:t xml:space="preserve"> para a ampliação da participação dos sujeitos políticos na construção e consolidação do Estado Democrático de Direito. Por meio dos movimentos sociais, a Constituição Federal possibilitou a inserção de diversas demandas até então negligenciadas ou com intervenção residual do estado brasileiro que passaram a ser reconhecidas como direito do cidadão.</w:t>
      </w:r>
    </w:p>
    <w:p w14:paraId="1E5874BA" w14:textId="77777777" w:rsidR="00387C0E" w:rsidRDefault="00000000">
      <w:pPr>
        <w:pBdr>
          <w:top w:val="nil"/>
          <w:left w:val="nil"/>
          <w:bottom w:val="nil"/>
          <w:right w:val="nil"/>
          <w:between w:val="nil"/>
        </w:pBdr>
        <w:spacing w:line="360" w:lineRule="auto"/>
        <w:ind w:firstLine="709"/>
        <w:jc w:val="both"/>
        <w:rPr>
          <w:color w:val="000000"/>
          <w:sz w:val="24"/>
          <w:szCs w:val="24"/>
        </w:rPr>
      </w:pPr>
      <w:r>
        <w:rPr>
          <w:color w:val="000000"/>
          <w:sz w:val="24"/>
          <w:szCs w:val="24"/>
        </w:rPr>
        <w:lastRenderedPageBreak/>
        <w:t xml:space="preserve">Na contramão dessas conquistas, mudanças sociais, políticas e econômicas na década de 1990, a partir da Reforma do Estado, trouxeram um discurso de modernização, eficiência e transparência na gestão das políticas públicas que em nada </w:t>
      </w:r>
      <w:r>
        <w:rPr>
          <w:sz w:val="24"/>
          <w:szCs w:val="24"/>
        </w:rPr>
        <w:t>contribuíram</w:t>
      </w:r>
      <w:r>
        <w:rPr>
          <w:color w:val="000000"/>
          <w:sz w:val="24"/>
          <w:szCs w:val="24"/>
        </w:rPr>
        <w:t xml:space="preserve"> para consolidar direitos no Brasil. O cenário</w:t>
      </w:r>
      <w:r>
        <w:rPr>
          <w:sz w:val="24"/>
          <w:szCs w:val="24"/>
        </w:rPr>
        <w:t xml:space="preserve"> que se apresentou foi de cortes nos gastos públicos e transferência de responsabilidades </w:t>
      </w:r>
      <w:r>
        <w:rPr>
          <w:rFonts w:ascii="Roboto" w:eastAsia="Roboto" w:hAnsi="Roboto" w:cs="Roboto"/>
          <w:sz w:val="24"/>
          <w:szCs w:val="24"/>
        </w:rPr>
        <w:t>para o chamado "terceiro setor".</w:t>
      </w:r>
    </w:p>
    <w:p w14:paraId="4282C402" w14:textId="77777777" w:rsidR="00387C0E" w:rsidRDefault="00000000">
      <w:pPr>
        <w:pBdr>
          <w:top w:val="nil"/>
          <w:left w:val="nil"/>
          <w:bottom w:val="nil"/>
          <w:right w:val="nil"/>
          <w:between w:val="nil"/>
        </w:pBdr>
        <w:spacing w:line="360" w:lineRule="auto"/>
        <w:ind w:firstLine="709"/>
        <w:jc w:val="both"/>
        <w:rPr>
          <w:color w:val="000000"/>
          <w:sz w:val="24"/>
          <w:szCs w:val="24"/>
        </w:rPr>
      </w:pPr>
      <w:r>
        <w:rPr>
          <w:sz w:val="24"/>
          <w:szCs w:val="24"/>
        </w:rPr>
        <w:t>Diante do exposto, considerando as reflexões apresentadas, concluímos que apesar do reconhecimento da participação política dos movimentos sociais para as conquistas asseguradas na Constituição Federal de 1988, os rebatimentos relativos à Reforma do Estado brasileiro, a partir da década de 1990, impactaram decisivamente nas dificuldades em curso de efetivação dos direitos expressos na Carta Constitucional mediante a implementação das políticas públicas como direito social.</w:t>
      </w:r>
    </w:p>
    <w:p w14:paraId="2DA662A9" w14:textId="77777777" w:rsidR="00387C0E" w:rsidRDefault="00000000">
      <w:pPr>
        <w:pBdr>
          <w:top w:val="nil"/>
          <w:left w:val="nil"/>
          <w:bottom w:val="nil"/>
          <w:right w:val="nil"/>
          <w:between w:val="nil"/>
        </w:pBdr>
        <w:spacing w:line="360" w:lineRule="auto"/>
        <w:ind w:firstLine="709"/>
        <w:jc w:val="both"/>
        <w:rPr>
          <w:b/>
          <w:sz w:val="24"/>
          <w:szCs w:val="24"/>
        </w:rPr>
      </w:pPr>
      <w:r>
        <w:rPr>
          <w:sz w:val="24"/>
          <w:szCs w:val="24"/>
        </w:rPr>
        <w:t>O que se buscou demonstrar, portanto, é que, por mais caras que tenham sido as conquistas alcançadas no período pós-ditatorial, estas podem facilmente ser deixadas ao relento por mero fetiche de uma nova elite política com ideais neoliberais. A luta por direitos sociais é algo constante e de interesse de toda a população, por mais que estejam previstos em cláusula pétrea, entendê-los como garantidos é ter uma visão ingênua de como o Estado capitalista neoliberal busca manter seu poder e controle.</w:t>
      </w:r>
    </w:p>
    <w:p w14:paraId="6323B061" w14:textId="77777777" w:rsidR="00387C0E" w:rsidRDefault="00387C0E">
      <w:pPr>
        <w:pBdr>
          <w:top w:val="nil"/>
          <w:left w:val="nil"/>
          <w:bottom w:val="nil"/>
          <w:right w:val="nil"/>
          <w:between w:val="nil"/>
        </w:pBdr>
        <w:spacing w:line="360" w:lineRule="auto"/>
        <w:ind w:firstLine="709"/>
        <w:jc w:val="both"/>
        <w:rPr>
          <w:b/>
          <w:sz w:val="24"/>
          <w:szCs w:val="24"/>
        </w:rPr>
      </w:pPr>
    </w:p>
    <w:p w14:paraId="6B3261E9" w14:textId="77777777" w:rsidR="00387C0E" w:rsidRDefault="00000000">
      <w:pPr>
        <w:spacing w:line="360" w:lineRule="auto"/>
        <w:jc w:val="center"/>
        <w:rPr>
          <w:sz w:val="24"/>
          <w:szCs w:val="24"/>
        </w:rPr>
      </w:pPr>
      <w:r>
        <w:rPr>
          <w:b/>
          <w:sz w:val="24"/>
          <w:szCs w:val="24"/>
        </w:rPr>
        <w:t xml:space="preserve">REFERÊNCIAS </w:t>
      </w:r>
    </w:p>
    <w:p w14:paraId="06E31E56" w14:textId="77777777" w:rsidR="00387C0E" w:rsidRDefault="00387C0E">
      <w:pPr>
        <w:spacing w:line="240" w:lineRule="auto"/>
        <w:jc w:val="both"/>
        <w:rPr>
          <w:sz w:val="24"/>
          <w:szCs w:val="24"/>
        </w:rPr>
      </w:pPr>
    </w:p>
    <w:p w14:paraId="520F71ED" w14:textId="77777777" w:rsidR="00387C0E" w:rsidRDefault="00000000">
      <w:pPr>
        <w:spacing w:line="240" w:lineRule="auto"/>
        <w:rPr>
          <w:sz w:val="24"/>
          <w:szCs w:val="24"/>
        </w:rPr>
      </w:pPr>
      <w:r>
        <w:rPr>
          <w:sz w:val="24"/>
          <w:szCs w:val="24"/>
        </w:rPr>
        <w:t xml:space="preserve">BEHRING, E. </w:t>
      </w:r>
      <w:r>
        <w:rPr>
          <w:b/>
          <w:sz w:val="24"/>
          <w:szCs w:val="24"/>
        </w:rPr>
        <w:t xml:space="preserve">Brasil em </w:t>
      </w:r>
      <w:proofErr w:type="spellStart"/>
      <w:r>
        <w:rPr>
          <w:b/>
          <w:sz w:val="24"/>
          <w:szCs w:val="24"/>
        </w:rPr>
        <w:t>contra-reforma</w:t>
      </w:r>
      <w:proofErr w:type="spellEnd"/>
      <w:r>
        <w:rPr>
          <w:b/>
          <w:sz w:val="24"/>
          <w:szCs w:val="24"/>
        </w:rPr>
        <w:t>:</w:t>
      </w:r>
      <w:r>
        <w:rPr>
          <w:sz w:val="24"/>
          <w:szCs w:val="24"/>
        </w:rPr>
        <w:t xml:space="preserve"> desestruturação do Estado e perda de direitos. São Paulo: Cortez, 2003.</w:t>
      </w:r>
    </w:p>
    <w:p w14:paraId="35928324" w14:textId="77777777" w:rsidR="00387C0E" w:rsidRDefault="00387C0E">
      <w:pPr>
        <w:spacing w:line="240" w:lineRule="auto"/>
        <w:rPr>
          <w:sz w:val="24"/>
          <w:szCs w:val="24"/>
        </w:rPr>
      </w:pPr>
    </w:p>
    <w:p w14:paraId="297510FA" w14:textId="77777777" w:rsidR="003A7EF5" w:rsidRDefault="00000000">
      <w:pPr>
        <w:spacing w:line="240" w:lineRule="auto"/>
        <w:rPr>
          <w:sz w:val="24"/>
          <w:szCs w:val="24"/>
        </w:rPr>
      </w:pPr>
      <w:r>
        <w:rPr>
          <w:sz w:val="24"/>
          <w:szCs w:val="24"/>
        </w:rPr>
        <w:t xml:space="preserve">BEM, </w:t>
      </w:r>
      <w:proofErr w:type="spellStart"/>
      <w:r>
        <w:rPr>
          <w:sz w:val="24"/>
          <w:szCs w:val="24"/>
        </w:rPr>
        <w:t>Arim</w:t>
      </w:r>
      <w:proofErr w:type="spellEnd"/>
      <w:r>
        <w:rPr>
          <w:sz w:val="24"/>
          <w:szCs w:val="24"/>
        </w:rPr>
        <w:t xml:space="preserve"> Soares do. A centralidade dos movimentos sociais na articulação entre o estado e a sociedade brasileira nos séculos XIX e XX. </w:t>
      </w:r>
      <w:r>
        <w:rPr>
          <w:i/>
          <w:sz w:val="24"/>
          <w:szCs w:val="24"/>
        </w:rPr>
        <w:t>In:</w:t>
      </w:r>
      <w:r>
        <w:rPr>
          <w:sz w:val="24"/>
          <w:szCs w:val="24"/>
        </w:rPr>
        <w:t xml:space="preserve"> </w:t>
      </w:r>
      <w:r>
        <w:rPr>
          <w:b/>
          <w:sz w:val="24"/>
          <w:szCs w:val="24"/>
        </w:rPr>
        <w:t>Revista Centro de Estudos Educação e Sociedade – Cedes</w:t>
      </w:r>
      <w:r>
        <w:rPr>
          <w:sz w:val="24"/>
          <w:szCs w:val="24"/>
        </w:rPr>
        <w:t>. n.97, v.27, set-dez 2006. Campinas: SP, 2006. p. 1137-1157. Disponível em:</w:t>
      </w:r>
    </w:p>
    <w:p w14:paraId="50BDC116" w14:textId="09695881" w:rsidR="00387C0E" w:rsidRDefault="00387C0E">
      <w:pPr>
        <w:spacing w:line="240" w:lineRule="auto"/>
        <w:rPr>
          <w:sz w:val="24"/>
          <w:szCs w:val="24"/>
        </w:rPr>
      </w:pPr>
      <w:hyperlink r:id="rId9">
        <w:r>
          <w:rPr>
            <w:sz w:val="24"/>
            <w:szCs w:val="24"/>
          </w:rPr>
          <w:t>https://www.scielo.br/j/es/a/FzqQKn9DfYLhybbNnfsdWXf/?format=</w:t>
        </w:r>
      </w:hyperlink>
      <w:hyperlink r:id="rId10">
        <w:r>
          <w:rPr>
            <w:sz w:val="24"/>
            <w:szCs w:val="24"/>
          </w:rPr>
          <w:t>pdf&amp;lang</w:t>
        </w:r>
      </w:hyperlink>
      <w:hyperlink r:id="rId11">
        <w:r>
          <w:rPr>
            <w:sz w:val="24"/>
            <w:szCs w:val="24"/>
          </w:rPr>
          <w:t>=pt</w:t>
        </w:r>
      </w:hyperlink>
      <w:r w:rsidR="00000000">
        <w:rPr>
          <w:sz w:val="24"/>
          <w:szCs w:val="24"/>
        </w:rPr>
        <w:t xml:space="preserve">. Acesso em: 28 mai. 2025. </w:t>
      </w:r>
    </w:p>
    <w:p w14:paraId="1AA54E00" w14:textId="77777777" w:rsidR="00387C0E" w:rsidRDefault="00387C0E">
      <w:pPr>
        <w:spacing w:line="240" w:lineRule="auto"/>
        <w:rPr>
          <w:sz w:val="24"/>
          <w:szCs w:val="24"/>
        </w:rPr>
      </w:pPr>
    </w:p>
    <w:p w14:paraId="52AE03C8" w14:textId="77777777" w:rsidR="00387C0E" w:rsidRDefault="00000000">
      <w:pPr>
        <w:spacing w:line="240" w:lineRule="auto"/>
        <w:rPr>
          <w:sz w:val="24"/>
          <w:szCs w:val="24"/>
        </w:rPr>
      </w:pPr>
      <w:r>
        <w:rPr>
          <w:sz w:val="24"/>
          <w:szCs w:val="24"/>
        </w:rPr>
        <w:lastRenderedPageBreak/>
        <w:t xml:space="preserve">BRASIL. </w:t>
      </w:r>
      <w:r>
        <w:rPr>
          <w:b/>
          <w:sz w:val="24"/>
          <w:szCs w:val="24"/>
        </w:rPr>
        <w:t>Decreto Lei nº 200</w:t>
      </w:r>
      <w:r>
        <w:rPr>
          <w:sz w:val="24"/>
          <w:szCs w:val="24"/>
        </w:rPr>
        <w:t xml:space="preserve">, de 25 de fevereiro de 1967. Dispõe sobre a organização da Administração Federal, estabelece diretrizes para a Reforma Administrativa e dá outras providências. Brasília: DF. Disponível em: </w:t>
      </w:r>
      <w:hyperlink r:id="rId12">
        <w:r w:rsidR="00387C0E">
          <w:rPr>
            <w:sz w:val="24"/>
            <w:szCs w:val="24"/>
          </w:rPr>
          <w:t>https://www.planalto.gov.br/ccivil_03/decreto-lei/del0200.htm</w:t>
        </w:r>
      </w:hyperlink>
      <w:r>
        <w:rPr>
          <w:sz w:val="24"/>
          <w:szCs w:val="24"/>
        </w:rPr>
        <w:t xml:space="preserve">. Acesso em: 17 mai. 2025. </w:t>
      </w:r>
    </w:p>
    <w:p w14:paraId="78D3E8D1" w14:textId="77777777" w:rsidR="00387C0E" w:rsidRDefault="00387C0E">
      <w:pPr>
        <w:spacing w:line="240" w:lineRule="auto"/>
        <w:rPr>
          <w:sz w:val="24"/>
          <w:szCs w:val="24"/>
        </w:rPr>
      </w:pPr>
    </w:p>
    <w:p w14:paraId="74979FF8" w14:textId="77777777" w:rsidR="00387C0E" w:rsidRDefault="00000000">
      <w:pPr>
        <w:spacing w:line="240" w:lineRule="auto"/>
        <w:rPr>
          <w:sz w:val="24"/>
          <w:szCs w:val="24"/>
        </w:rPr>
      </w:pPr>
      <w:proofErr w:type="spellStart"/>
      <w:r>
        <w:rPr>
          <w:sz w:val="24"/>
          <w:szCs w:val="24"/>
        </w:rPr>
        <w:t>BRASIL.Ministério</w:t>
      </w:r>
      <w:proofErr w:type="spellEnd"/>
      <w:r>
        <w:rPr>
          <w:sz w:val="24"/>
          <w:szCs w:val="24"/>
        </w:rPr>
        <w:t xml:space="preserve"> da Administração Federal e Reforma do Estado. </w:t>
      </w:r>
      <w:r>
        <w:rPr>
          <w:b/>
          <w:sz w:val="24"/>
          <w:szCs w:val="24"/>
        </w:rPr>
        <w:t>Plano Diretor da Reforma do Aparelho do Estado.</w:t>
      </w:r>
      <w:r>
        <w:rPr>
          <w:sz w:val="24"/>
          <w:szCs w:val="24"/>
        </w:rPr>
        <w:t xml:space="preserve"> Brasília: Presidência da República, 1995.</w:t>
      </w:r>
    </w:p>
    <w:p w14:paraId="77E0EBA5" w14:textId="77777777" w:rsidR="00387C0E" w:rsidRDefault="00387C0E">
      <w:pPr>
        <w:spacing w:line="240" w:lineRule="auto"/>
        <w:rPr>
          <w:sz w:val="24"/>
          <w:szCs w:val="24"/>
        </w:rPr>
      </w:pPr>
    </w:p>
    <w:p w14:paraId="0ABD1134" w14:textId="77777777" w:rsidR="00387C0E" w:rsidRDefault="00000000">
      <w:pPr>
        <w:spacing w:line="240" w:lineRule="auto"/>
        <w:rPr>
          <w:sz w:val="24"/>
          <w:szCs w:val="24"/>
        </w:rPr>
      </w:pPr>
      <w:r>
        <w:rPr>
          <w:sz w:val="24"/>
          <w:szCs w:val="24"/>
        </w:rPr>
        <w:t xml:space="preserve">BRESSER-PEREIRA, Luiz Carlos. </w:t>
      </w:r>
      <w:r>
        <w:rPr>
          <w:b/>
          <w:sz w:val="24"/>
          <w:szCs w:val="24"/>
        </w:rPr>
        <w:t>A Reforma do Estado nos anos 90: lógica e mecanismos de controle</w:t>
      </w:r>
      <w:r>
        <w:rPr>
          <w:sz w:val="24"/>
          <w:szCs w:val="24"/>
        </w:rPr>
        <w:t>. Brasília: Ministério da Administração Federal e Reforma do Estado, 1996.</w:t>
      </w:r>
    </w:p>
    <w:p w14:paraId="1249BFE6" w14:textId="77777777" w:rsidR="00387C0E" w:rsidRDefault="00387C0E">
      <w:pPr>
        <w:spacing w:line="240" w:lineRule="auto"/>
        <w:rPr>
          <w:sz w:val="24"/>
          <w:szCs w:val="24"/>
        </w:rPr>
      </w:pPr>
    </w:p>
    <w:p w14:paraId="3253A363" w14:textId="77777777" w:rsidR="00387C0E" w:rsidRDefault="00000000">
      <w:pPr>
        <w:spacing w:line="240" w:lineRule="auto"/>
        <w:rPr>
          <w:sz w:val="24"/>
          <w:szCs w:val="24"/>
        </w:rPr>
      </w:pPr>
      <w:r>
        <w:rPr>
          <w:sz w:val="24"/>
          <w:szCs w:val="24"/>
        </w:rPr>
        <w:t xml:space="preserve">DARDOT, Pierre; LAVAL, Christian. </w:t>
      </w:r>
      <w:r>
        <w:rPr>
          <w:b/>
          <w:sz w:val="24"/>
          <w:szCs w:val="24"/>
        </w:rPr>
        <w:t>A nova razão do mundo: ensaio sobre a sociedade neoliberal</w:t>
      </w:r>
      <w:r>
        <w:rPr>
          <w:sz w:val="24"/>
          <w:szCs w:val="24"/>
        </w:rPr>
        <w:t>. São Paulo: Boitempo, 2016.</w:t>
      </w:r>
    </w:p>
    <w:p w14:paraId="4DAFD5B8" w14:textId="77777777" w:rsidR="00387C0E" w:rsidRDefault="00387C0E">
      <w:pPr>
        <w:spacing w:line="240" w:lineRule="auto"/>
        <w:rPr>
          <w:sz w:val="24"/>
          <w:szCs w:val="24"/>
        </w:rPr>
      </w:pPr>
    </w:p>
    <w:p w14:paraId="6DA6DBFE" w14:textId="77777777" w:rsidR="00387C0E" w:rsidRDefault="00000000">
      <w:pPr>
        <w:spacing w:line="240" w:lineRule="auto"/>
        <w:rPr>
          <w:b/>
          <w:sz w:val="24"/>
          <w:szCs w:val="24"/>
        </w:rPr>
      </w:pPr>
      <w:r>
        <w:rPr>
          <w:sz w:val="24"/>
          <w:szCs w:val="24"/>
        </w:rPr>
        <w:t>EVANGELISTA, Carlos Augusto Valle.</w:t>
      </w:r>
      <w:r>
        <w:rPr>
          <w:b/>
          <w:sz w:val="24"/>
          <w:szCs w:val="24"/>
        </w:rPr>
        <w:t> </w:t>
      </w:r>
      <w:hyperlink r:id="rId13">
        <w:r w:rsidR="00387C0E">
          <w:rPr>
            <w:b/>
            <w:color w:val="000000"/>
            <w:sz w:val="24"/>
            <w:szCs w:val="24"/>
          </w:rPr>
          <w:t>Direitos Indígenas</w:t>
        </w:r>
      </w:hyperlink>
      <w:r>
        <w:rPr>
          <w:b/>
          <w:sz w:val="24"/>
          <w:szCs w:val="24"/>
        </w:rPr>
        <w:t xml:space="preserve">: </w:t>
      </w:r>
      <w:r>
        <w:rPr>
          <w:sz w:val="24"/>
          <w:szCs w:val="24"/>
        </w:rPr>
        <w:t xml:space="preserve">o debate na Constituinte de 1988. Dissertação (Mestrado em História Social). Programa de Pós-Graduação em História Social. Universidade Federal do Rio de Janeiro. Rio de Janeiro: UFRJ/IFICS, 2004. Disponível em: </w:t>
      </w:r>
      <w:hyperlink r:id="rId14">
        <w:r w:rsidR="00387C0E">
          <w:rPr>
            <w:color w:val="000000"/>
            <w:sz w:val="24"/>
            <w:szCs w:val="24"/>
          </w:rPr>
          <w:t>http://biblioteca.funai.gov.br/media/pdf/TESES/MFN-14417.pdf</w:t>
        </w:r>
      </w:hyperlink>
      <w:r>
        <w:rPr>
          <w:sz w:val="24"/>
          <w:szCs w:val="24"/>
        </w:rPr>
        <w:t xml:space="preserve">.  Acesso em: 07 </w:t>
      </w:r>
      <w:proofErr w:type="spellStart"/>
      <w:r>
        <w:rPr>
          <w:sz w:val="24"/>
          <w:szCs w:val="24"/>
        </w:rPr>
        <w:t>jan</w:t>
      </w:r>
      <w:proofErr w:type="spellEnd"/>
      <w:r>
        <w:rPr>
          <w:sz w:val="24"/>
          <w:szCs w:val="24"/>
        </w:rPr>
        <w:t xml:space="preserve"> 2025.</w:t>
      </w:r>
      <w:r>
        <w:rPr>
          <w:b/>
          <w:sz w:val="24"/>
          <w:szCs w:val="24"/>
        </w:rPr>
        <w:t xml:space="preserve"> </w:t>
      </w:r>
    </w:p>
    <w:p w14:paraId="35528B8C" w14:textId="77777777" w:rsidR="00387C0E" w:rsidRDefault="00387C0E">
      <w:pPr>
        <w:spacing w:line="240" w:lineRule="auto"/>
        <w:rPr>
          <w:b/>
          <w:sz w:val="24"/>
          <w:szCs w:val="24"/>
        </w:rPr>
      </w:pPr>
    </w:p>
    <w:p w14:paraId="3AC03F78" w14:textId="77777777" w:rsidR="00387C0E" w:rsidRDefault="00000000">
      <w:pPr>
        <w:spacing w:line="240" w:lineRule="auto"/>
        <w:rPr>
          <w:sz w:val="24"/>
          <w:szCs w:val="24"/>
        </w:rPr>
      </w:pPr>
      <w:r>
        <w:rPr>
          <w:sz w:val="24"/>
          <w:szCs w:val="24"/>
        </w:rPr>
        <w:t>FREITAS, Tais Pereira de</w:t>
      </w:r>
      <w:r>
        <w:rPr>
          <w:b/>
          <w:sz w:val="24"/>
          <w:szCs w:val="24"/>
        </w:rPr>
        <w:t xml:space="preserve">. </w:t>
      </w:r>
      <w:r>
        <w:rPr>
          <w:sz w:val="24"/>
          <w:szCs w:val="24"/>
        </w:rPr>
        <w:t xml:space="preserve">Movimentos Sociais e Serviço Social: debates fundamentais. </w:t>
      </w:r>
      <w:r>
        <w:rPr>
          <w:i/>
          <w:sz w:val="24"/>
          <w:szCs w:val="24"/>
        </w:rPr>
        <w:t>In:</w:t>
      </w:r>
      <w:r>
        <w:rPr>
          <w:sz w:val="24"/>
          <w:szCs w:val="24"/>
        </w:rPr>
        <w:t xml:space="preserve"> </w:t>
      </w:r>
      <w:r>
        <w:rPr>
          <w:b/>
          <w:sz w:val="24"/>
          <w:szCs w:val="24"/>
        </w:rPr>
        <w:t xml:space="preserve">Revista Sociedade em Debate. </w:t>
      </w:r>
      <w:proofErr w:type="gramStart"/>
      <w:r>
        <w:rPr>
          <w:sz w:val="24"/>
          <w:szCs w:val="24"/>
        </w:rPr>
        <w:t>n.2 ,</w:t>
      </w:r>
      <w:proofErr w:type="gramEnd"/>
      <w:r>
        <w:rPr>
          <w:sz w:val="24"/>
          <w:szCs w:val="24"/>
        </w:rPr>
        <w:t xml:space="preserve"> </w:t>
      </w:r>
      <w:proofErr w:type="gramStart"/>
      <w:r>
        <w:rPr>
          <w:sz w:val="24"/>
          <w:szCs w:val="24"/>
        </w:rPr>
        <w:t>v.23 ,</w:t>
      </w:r>
      <w:proofErr w:type="gramEnd"/>
      <w:r>
        <w:rPr>
          <w:sz w:val="24"/>
          <w:szCs w:val="24"/>
        </w:rPr>
        <w:t xml:space="preserve"> </w:t>
      </w:r>
      <w:proofErr w:type="spellStart"/>
      <w:r>
        <w:rPr>
          <w:sz w:val="24"/>
          <w:szCs w:val="24"/>
        </w:rPr>
        <w:t>jul</w:t>
      </w:r>
      <w:proofErr w:type="spellEnd"/>
      <w:r>
        <w:rPr>
          <w:sz w:val="24"/>
          <w:szCs w:val="24"/>
        </w:rPr>
        <w:t xml:space="preserve">-dez. 2017. </w:t>
      </w:r>
      <w:r>
        <w:rPr>
          <w:i/>
          <w:sz w:val="24"/>
          <w:szCs w:val="24"/>
        </w:rPr>
        <w:t xml:space="preserve"> </w:t>
      </w:r>
      <w:r>
        <w:rPr>
          <w:sz w:val="24"/>
          <w:szCs w:val="24"/>
        </w:rPr>
        <w:t>Pelotas: RS, 2017. p. 76-96. Disponível em:</w:t>
      </w:r>
      <w:r>
        <w:rPr>
          <w:b/>
          <w:sz w:val="24"/>
          <w:szCs w:val="24"/>
        </w:rPr>
        <w:t xml:space="preserve"> </w:t>
      </w:r>
      <w:hyperlink r:id="rId15">
        <w:r w:rsidR="00387C0E">
          <w:rPr>
            <w:color w:val="000000"/>
            <w:sz w:val="24"/>
            <w:szCs w:val="24"/>
          </w:rPr>
          <w:t>file:///C:/Users/drydu/Downloads/1532-Texto%20do%20artigo-6013-1-10-20171118.pdf</w:t>
        </w:r>
      </w:hyperlink>
      <w:r>
        <w:rPr>
          <w:sz w:val="24"/>
          <w:szCs w:val="24"/>
        </w:rPr>
        <w:t xml:space="preserve">. Acesso em: 29 jan. 2025.  </w:t>
      </w:r>
    </w:p>
    <w:p w14:paraId="7C4FAE9D" w14:textId="77777777" w:rsidR="00387C0E" w:rsidRDefault="00387C0E">
      <w:pPr>
        <w:spacing w:line="240" w:lineRule="auto"/>
        <w:rPr>
          <w:sz w:val="24"/>
          <w:szCs w:val="24"/>
        </w:rPr>
      </w:pPr>
    </w:p>
    <w:p w14:paraId="17EABCF1" w14:textId="77777777" w:rsidR="00387C0E" w:rsidRDefault="00000000">
      <w:pPr>
        <w:spacing w:line="240" w:lineRule="auto"/>
        <w:rPr>
          <w:sz w:val="24"/>
          <w:szCs w:val="24"/>
        </w:rPr>
      </w:pPr>
      <w:r>
        <w:rPr>
          <w:sz w:val="24"/>
          <w:szCs w:val="24"/>
        </w:rPr>
        <w:t xml:space="preserve">GOHN, Maria da Glória. Movimentos sociais na contemporaneidade. </w:t>
      </w:r>
      <w:r>
        <w:rPr>
          <w:i/>
          <w:sz w:val="24"/>
          <w:szCs w:val="24"/>
        </w:rPr>
        <w:t>In:</w:t>
      </w:r>
      <w:r>
        <w:rPr>
          <w:sz w:val="24"/>
          <w:szCs w:val="24"/>
        </w:rPr>
        <w:t xml:space="preserve"> </w:t>
      </w:r>
      <w:r>
        <w:rPr>
          <w:b/>
          <w:sz w:val="24"/>
          <w:szCs w:val="24"/>
        </w:rPr>
        <w:t>Revista Brasileira de Educação</w:t>
      </w:r>
      <w:r>
        <w:rPr>
          <w:sz w:val="24"/>
          <w:szCs w:val="24"/>
        </w:rPr>
        <w:t xml:space="preserve">. n. 47, v 16, </w:t>
      </w:r>
      <w:proofErr w:type="spellStart"/>
      <w:r>
        <w:rPr>
          <w:sz w:val="24"/>
          <w:szCs w:val="24"/>
        </w:rPr>
        <w:t>mai</w:t>
      </w:r>
      <w:proofErr w:type="spellEnd"/>
      <w:r>
        <w:rPr>
          <w:sz w:val="24"/>
          <w:szCs w:val="24"/>
        </w:rPr>
        <w:t xml:space="preserve">-ago. 2011. </w:t>
      </w:r>
      <w:r>
        <w:rPr>
          <w:i/>
          <w:sz w:val="24"/>
          <w:szCs w:val="24"/>
        </w:rPr>
        <w:t xml:space="preserve"> </w:t>
      </w:r>
      <w:r>
        <w:rPr>
          <w:sz w:val="24"/>
          <w:szCs w:val="24"/>
        </w:rPr>
        <w:t xml:space="preserve">Rio de Janeiro: RJ, 2011. p. 333-513. Disponível em: </w:t>
      </w:r>
      <w:hyperlink r:id="rId16">
        <w:r w:rsidR="00387C0E">
          <w:rPr>
            <w:color w:val="000000"/>
            <w:sz w:val="24"/>
            <w:szCs w:val="24"/>
          </w:rPr>
          <w:t>https://www.scielo.br/j/rbed u/a/vXJKXcs7cybL3YNbDCkCRVp/?</w:t>
        </w:r>
        <w:proofErr w:type="spellStart"/>
        <w:r w:rsidR="00387C0E">
          <w:rPr>
            <w:color w:val="000000"/>
            <w:sz w:val="24"/>
            <w:szCs w:val="24"/>
          </w:rPr>
          <w:t>format</w:t>
        </w:r>
        <w:proofErr w:type="spellEnd"/>
        <w:r w:rsidR="00387C0E">
          <w:rPr>
            <w:color w:val="000000"/>
            <w:sz w:val="24"/>
            <w:szCs w:val="24"/>
          </w:rPr>
          <w:t>=</w:t>
        </w:r>
        <w:proofErr w:type="spellStart"/>
      </w:hyperlink>
      <w:hyperlink r:id="rId17">
        <w:r w:rsidR="00387C0E">
          <w:rPr>
            <w:color w:val="000000"/>
            <w:sz w:val="24"/>
            <w:szCs w:val="24"/>
          </w:rPr>
          <w:t>pdf&amp;lang</w:t>
        </w:r>
        <w:proofErr w:type="spellEnd"/>
      </w:hyperlink>
      <w:hyperlink r:id="rId18">
        <w:r w:rsidR="00387C0E">
          <w:rPr>
            <w:color w:val="000000"/>
            <w:sz w:val="24"/>
            <w:szCs w:val="24"/>
          </w:rPr>
          <w:t>=</w:t>
        </w:r>
        <w:proofErr w:type="spellStart"/>
        <w:r w:rsidR="00387C0E">
          <w:rPr>
            <w:color w:val="000000"/>
            <w:sz w:val="24"/>
            <w:szCs w:val="24"/>
          </w:rPr>
          <w:t>pt</w:t>
        </w:r>
        <w:proofErr w:type="spellEnd"/>
      </w:hyperlink>
      <w:r>
        <w:rPr>
          <w:sz w:val="24"/>
          <w:szCs w:val="24"/>
        </w:rPr>
        <w:t xml:space="preserve">. Acesso em: 23 mar. 2025.  </w:t>
      </w:r>
    </w:p>
    <w:p w14:paraId="235F1F6D" w14:textId="77777777" w:rsidR="00387C0E" w:rsidRDefault="00387C0E">
      <w:pPr>
        <w:spacing w:line="240" w:lineRule="auto"/>
        <w:rPr>
          <w:sz w:val="24"/>
          <w:szCs w:val="24"/>
        </w:rPr>
      </w:pPr>
    </w:p>
    <w:p w14:paraId="13456314" w14:textId="77777777" w:rsidR="00387C0E" w:rsidRDefault="00000000">
      <w:pPr>
        <w:spacing w:line="240" w:lineRule="auto"/>
        <w:rPr>
          <w:sz w:val="24"/>
          <w:szCs w:val="24"/>
        </w:rPr>
      </w:pPr>
      <w:r>
        <w:rPr>
          <w:sz w:val="24"/>
          <w:szCs w:val="24"/>
        </w:rPr>
        <w:t xml:space="preserve">GOHN, Maria da Glória. </w:t>
      </w:r>
      <w:r>
        <w:rPr>
          <w:b/>
          <w:sz w:val="24"/>
          <w:szCs w:val="24"/>
        </w:rPr>
        <w:t>Teorias dos Movimentos Sociais:</w:t>
      </w:r>
      <w:r>
        <w:rPr>
          <w:sz w:val="24"/>
          <w:szCs w:val="24"/>
        </w:rPr>
        <w:t xml:space="preserve"> paradigmas clássicos e contemporâneos. São Paulo: Edições Loyola, 2008.</w:t>
      </w:r>
    </w:p>
    <w:p w14:paraId="67F6BEDE" w14:textId="77777777" w:rsidR="00387C0E" w:rsidRDefault="00387C0E">
      <w:pPr>
        <w:spacing w:line="240" w:lineRule="auto"/>
        <w:rPr>
          <w:sz w:val="24"/>
          <w:szCs w:val="24"/>
        </w:rPr>
      </w:pPr>
    </w:p>
    <w:p w14:paraId="00054B3B" w14:textId="77777777" w:rsidR="00387C0E" w:rsidRDefault="00000000">
      <w:pPr>
        <w:spacing w:line="240" w:lineRule="auto"/>
        <w:rPr>
          <w:sz w:val="24"/>
          <w:szCs w:val="24"/>
        </w:rPr>
      </w:pPr>
      <w:r>
        <w:rPr>
          <w:sz w:val="24"/>
          <w:szCs w:val="24"/>
        </w:rPr>
        <w:t xml:space="preserve">HARVEY, David. </w:t>
      </w:r>
      <w:r>
        <w:rPr>
          <w:b/>
          <w:sz w:val="24"/>
          <w:szCs w:val="24"/>
        </w:rPr>
        <w:t>A condição pós-moderna</w:t>
      </w:r>
      <w:r>
        <w:rPr>
          <w:sz w:val="24"/>
          <w:szCs w:val="24"/>
        </w:rPr>
        <w:t>. 21. ed. São Paulo: Loyola, 2005.</w:t>
      </w:r>
    </w:p>
    <w:p w14:paraId="6623BE38" w14:textId="77777777" w:rsidR="00387C0E" w:rsidRDefault="00387C0E">
      <w:pPr>
        <w:spacing w:line="240" w:lineRule="auto"/>
        <w:rPr>
          <w:sz w:val="24"/>
          <w:szCs w:val="24"/>
        </w:rPr>
      </w:pPr>
    </w:p>
    <w:p w14:paraId="0445557F" w14:textId="77777777" w:rsidR="00387C0E" w:rsidRDefault="00000000">
      <w:pPr>
        <w:spacing w:line="240" w:lineRule="auto"/>
        <w:rPr>
          <w:sz w:val="24"/>
          <w:szCs w:val="24"/>
        </w:rPr>
      </w:pPr>
      <w:r>
        <w:rPr>
          <w:sz w:val="24"/>
          <w:szCs w:val="24"/>
        </w:rPr>
        <w:t xml:space="preserve">KINZO, Maria D’Alva G. A democratização brasileira: um balanço do processo político desde a transição. </w:t>
      </w:r>
      <w:r>
        <w:rPr>
          <w:i/>
          <w:sz w:val="24"/>
          <w:szCs w:val="24"/>
        </w:rPr>
        <w:t>In:</w:t>
      </w:r>
      <w:r>
        <w:rPr>
          <w:sz w:val="24"/>
          <w:szCs w:val="24"/>
        </w:rPr>
        <w:t xml:space="preserve"> </w:t>
      </w:r>
      <w:r>
        <w:rPr>
          <w:b/>
          <w:sz w:val="24"/>
          <w:szCs w:val="24"/>
        </w:rPr>
        <w:t xml:space="preserve">Revista São Paulo em Perspectiva. </w:t>
      </w:r>
      <w:r>
        <w:rPr>
          <w:sz w:val="24"/>
          <w:szCs w:val="24"/>
        </w:rPr>
        <w:t>n.4, v. 15, dez 2001. São Paulo: SP, 2001. p.3-12. Disponível em: https://www.scielo.br/j/spp/a/3NSCRgSjxx9mz3FCMNYFfQn/?format=pdf&amp;lang=pt. Acesso em: 27 mai. 2025.</w:t>
      </w:r>
    </w:p>
    <w:p w14:paraId="72EDA0BB" w14:textId="77777777" w:rsidR="00387C0E" w:rsidRDefault="00000000">
      <w:pPr>
        <w:spacing w:before="240" w:after="240" w:line="240" w:lineRule="auto"/>
        <w:rPr>
          <w:sz w:val="24"/>
          <w:szCs w:val="24"/>
        </w:rPr>
      </w:pPr>
      <w:r>
        <w:rPr>
          <w:sz w:val="24"/>
          <w:szCs w:val="24"/>
        </w:rPr>
        <w:lastRenderedPageBreak/>
        <w:t xml:space="preserve">LEVY, </w:t>
      </w:r>
      <w:proofErr w:type="spellStart"/>
      <w:r>
        <w:rPr>
          <w:sz w:val="24"/>
          <w:szCs w:val="24"/>
        </w:rPr>
        <w:t>Charmain</w:t>
      </w:r>
      <w:proofErr w:type="spellEnd"/>
      <w:r>
        <w:rPr>
          <w:sz w:val="24"/>
          <w:szCs w:val="24"/>
        </w:rPr>
        <w:t xml:space="preserve">. Influência e Contribuição: a igreja católica progressista brasileira e o fórum social mundial. </w:t>
      </w:r>
      <w:r>
        <w:rPr>
          <w:i/>
          <w:sz w:val="24"/>
          <w:szCs w:val="24"/>
        </w:rPr>
        <w:t xml:space="preserve">In: </w:t>
      </w:r>
      <w:r>
        <w:rPr>
          <w:b/>
          <w:sz w:val="24"/>
          <w:szCs w:val="24"/>
        </w:rPr>
        <w:t>Religião e Sociedade</w:t>
      </w:r>
      <w:r>
        <w:rPr>
          <w:sz w:val="24"/>
          <w:szCs w:val="24"/>
        </w:rPr>
        <w:t>. n. 29(2). Rio de Janeiro – RJ, 2009. p.177-197. Disponível em:</w:t>
      </w:r>
      <w:hyperlink r:id="rId19">
        <w:r w:rsidR="00387C0E">
          <w:rPr>
            <w:sz w:val="24"/>
            <w:szCs w:val="24"/>
          </w:rPr>
          <w:t xml:space="preserve"> </w:t>
        </w:r>
      </w:hyperlink>
      <w:hyperlink r:id="rId20">
        <w:r w:rsidR="00387C0E">
          <w:rPr>
            <w:sz w:val="24"/>
            <w:szCs w:val="24"/>
          </w:rPr>
          <w:t>https://www.scielo.br/j/rs/a/kdrZ9pNXsFkzN664ntYbBfb/?format=</w:t>
        </w:r>
      </w:hyperlink>
      <w:hyperlink r:id="rId21">
        <w:r w:rsidR="00387C0E">
          <w:rPr>
            <w:sz w:val="24"/>
            <w:szCs w:val="24"/>
          </w:rPr>
          <w:t>pdf&amp;lang</w:t>
        </w:r>
      </w:hyperlink>
      <w:hyperlink r:id="rId22">
        <w:r w:rsidR="00387C0E">
          <w:rPr>
            <w:sz w:val="24"/>
            <w:szCs w:val="24"/>
          </w:rPr>
          <w:t>=pt</w:t>
        </w:r>
      </w:hyperlink>
      <w:r>
        <w:rPr>
          <w:sz w:val="24"/>
          <w:szCs w:val="24"/>
        </w:rPr>
        <w:t>. Acesso em: 28 mai. 2025.</w:t>
      </w:r>
    </w:p>
    <w:p w14:paraId="213C1D99" w14:textId="77777777" w:rsidR="00387C0E" w:rsidRDefault="00000000">
      <w:pPr>
        <w:spacing w:line="240" w:lineRule="auto"/>
        <w:rPr>
          <w:sz w:val="24"/>
          <w:szCs w:val="24"/>
        </w:rPr>
      </w:pPr>
      <w:r>
        <w:rPr>
          <w:sz w:val="24"/>
          <w:szCs w:val="24"/>
        </w:rPr>
        <w:t xml:space="preserve">PEREIRA, L. C. B. Da administração pública burocrática à gerencial. </w:t>
      </w:r>
      <w:r>
        <w:rPr>
          <w:i/>
          <w:sz w:val="24"/>
          <w:szCs w:val="24"/>
        </w:rPr>
        <w:t>In</w:t>
      </w:r>
      <w:r>
        <w:rPr>
          <w:sz w:val="24"/>
          <w:szCs w:val="24"/>
        </w:rPr>
        <w:t>: SPINK, P.; PEREIRA, L. C. B (</w:t>
      </w:r>
      <w:proofErr w:type="spellStart"/>
      <w:r>
        <w:rPr>
          <w:sz w:val="24"/>
          <w:szCs w:val="24"/>
        </w:rPr>
        <w:t>org</w:t>
      </w:r>
      <w:proofErr w:type="spellEnd"/>
      <w:r>
        <w:rPr>
          <w:sz w:val="24"/>
          <w:szCs w:val="24"/>
        </w:rPr>
        <w:t xml:space="preserve">). </w:t>
      </w:r>
      <w:r>
        <w:rPr>
          <w:b/>
          <w:sz w:val="24"/>
          <w:szCs w:val="24"/>
        </w:rPr>
        <w:t>Reforma do Estado e administração pública gerencial</w:t>
      </w:r>
      <w:r>
        <w:rPr>
          <w:sz w:val="24"/>
          <w:szCs w:val="24"/>
        </w:rPr>
        <w:t>. Rio de Janeiro: Fundação Getúlio Vargas, 1998.</w:t>
      </w:r>
    </w:p>
    <w:p w14:paraId="1A482D35" w14:textId="77777777" w:rsidR="00387C0E" w:rsidRDefault="00387C0E">
      <w:pPr>
        <w:spacing w:line="240" w:lineRule="auto"/>
        <w:rPr>
          <w:sz w:val="24"/>
          <w:szCs w:val="24"/>
        </w:rPr>
      </w:pPr>
    </w:p>
    <w:p w14:paraId="5DFB0DB0" w14:textId="77777777" w:rsidR="00387C0E" w:rsidRDefault="00000000">
      <w:pPr>
        <w:spacing w:line="240" w:lineRule="auto"/>
        <w:rPr>
          <w:sz w:val="24"/>
          <w:szCs w:val="24"/>
        </w:rPr>
      </w:pPr>
      <w:r>
        <w:rPr>
          <w:sz w:val="24"/>
          <w:szCs w:val="24"/>
        </w:rPr>
        <w:t xml:space="preserve">SADER, Emir. Pós-neoliberalismo e neodesenvolvimentismo: há alternativas? In: OLIVEIRA, Francisco de; RIZEK, Cibele; BRAGA, Ruy (org.). </w:t>
      </w:r>
      <w:r>
        <w:rPr>
          <w:b/>
          <w:sz w:val="24"/>
          <w:szCs w:val="24"/>
        </w:rPr>
        <w:t>Hegemonia às avessas: economia, política e cultura na era da servidão financeira</w:t>
      </w:r>
      <w:r>
        <w:rPr>
          <w:sz w:val="24"/>
          <w:szCs w:val="24"/>
        </w:rPr>
        <w:t>. São Paulo: Boitempo, 2005. p. 57-76.</w:t>
      </w:r>
    </w:p>
    <w:p w14:paraId="03490510" w14:textId="77777777" w:rsidR="00387C0E" w:rsidRDefault="00387C0E">
      <w:pPr>
        <w:spacing w:line="240" w:lineRule="auto"/>
        <w:rPr>
          <w:sz w:val="24"/>
          <w:szCs w:val="24"/>
        </w:rPr>
      </w:pPr>
    </w:p>
    <w:p w14:paraId="2353EE69" w14:textId="77777777" w:rsidR="00387C0E" w:rsidRDefault="00000000">
      <w:pPr>
        <w:spacing w:line="240" w:lineRule="auto"/>
        <w:rPr>
          <w:sz w:val="24"/>
          <w:szCs w:val="24"/>
        </w:rPr>
      </w:pPr>
      <w:r>
        <w:rPr>
          <w:sz w:val="24"/>
          <w:szCs w:val="24"/>
        </w:rPr>
        <w:t>SANTOS, Wilson da Silva. Um olhar sobre a reforma do Estado brasileiro nos anos de 1990. </w:t>
      </w:r>
      <w:r>
        <w:rPr>
          <w:i/>
          <w:sz w:val="24"/>
          <w:szCs w:val="24"/>
        </w:rPr>
        <w:t>In:</w:t>
      </w:r>
      <w:r>
        <w:rPr>
          <w:sz w:val="24"/>
          <w:szCs w:val="24"/>
        </w:rPr>
        <w:t xml:space="preserve"> </w:t>
      </w:r>
      <w:r>
        <w:rPr>
          <w:b/>
          <w:sz w:val="24"/>
          <w:szCs w:val="24"/>
        </w:rPr>
        <w:t>Cadernos de Ciências Sociais Aplicadas</w:t>
      </w:r>
      <w:r>
        <w:rPr>
          <w:sz w:val="24"/>
          <w:szCs w:val="24"/>
        </w:rPr>
        <w:t xml:space="preserve">. n.6, jul-dez.2006. Vitória da Conquista: BA, 2009. p. 79-96. Disponível em: </w:t>
      </w:r>
      <w:hyperlink r:id="rId23">
        <w:r w:rsidR="00387C0E">
          <w:rPr>
            <w:sz w:val="24"/>
            <w:szCs w:val="24"/>
          </w:rPr>
          <w:t>https://periodicos2.uesb.br/index.php/ccsa/article/view/1918/1635</w:t>
        </w:r>
      </w:hyperlink>
      <w:r>
        <w:rPr>
          <w:sz w:val="24"/>
          <w:szCs w:val="24"/>
        </w:rPr>
        <w:t xml:space="preserve">. Acesso em: 19 </w:t>
      </w:r>
      <w:proofErr w:type="spellStart"/>
      <w:r>
        <w:rPr>
          <w:sz w:val="24"/>
          <w:szCs w:val="24"/>
        </w:rPr>
        <w:t>jan</w:t>
      </w:r>
      <w:proofErr w:type="spellEnd"/>
      <w:r>
        <w:rPr>
          <w:sz w:val="24"/>
          <w:szCs w:val="24"/>
        </w:rPr>
        <w:t xml:space="preserve"> 2025.</w:t>
      </w:r>
    </w:p>
    <w:p w14:paraId="65EE0371" w14:textId="77777777" w:rsidR="00387C0E" w:rsidRDefault="00387C0E">
      <w:pPr>
        <w:spacing w:line="240" w:lineRule="auto"/>
        <w:rPr>
          <w:b/>
          <w:sz w:val="24"/>
          <w:szCs w:val="24"/>
        </w:rPr>
      </w:pPr>
    </w:p>
    <w:p w14:paraId="7706F9F6" w14:textId="77777777" w:rsidR="00387C0E" w:rsidRDefault="00000000">
      <w:pPr>
        <w:spacing w:line="240" w:lineRule="auto"/>
        <w:rPr>
          <w:sz w:val="24"/>
          <w:szCs w:val="24"/>
        </w:rPr>
      </w:pPr>
      <w:r>
        <w:rPr>
          <w:sz w:val="24"/>
          <w:szCs w:val="24"/>
        </w:rPr>
        <w:t xml:space="preserve">SILVA, Maria </w:t>
      </w:r>
      <w:proofErr w:type="spellStart"/>
      <w:r>
        <w:rPr>
          <w:sz w:val="24"/>
          <w:szCs w:val="24"/>
        </w:rPr>
        <w:t>Ozanira</w:t>
      </w:r>
      <w:proofErr w:type="spellEnd"/>
      <w:r>
        <w:rPr>
          <w:sz w:val="24"/>
          <w:szCs w:val="24"/>
        </w:rPr>
        <w:t xml:space="preserve"> da Silva e. O Padrão de Proteção Social e a Reforma das Políticas Sociais no Brasil. </w:t>
      </w:r>
      <w:r>
        <w:rPr>
          <w:i/>
          <w:sz w:val="24"/>
          <w:szCs w:val="24"/>
        </w:rPr>
        <w:t>In:</w:t>
      </w:r>
      <w:r>
        <w:rPr>
          <w:sz w:val="24"/>
          <w:szCs w:val="24"/>
        </w:rPr>
        <w:t xml:space="preserve"> </w:t>
      </w:r>
      <w:r>
        <w:rPr>
          <w:b/>
          <w:sz w:val="24"/>
          <w:szCs w:val="24"/>
        </w:rPr>
        <w:t xml:space="preserve">Revista de Políticas Públicas. </w:t>
      </w:r>
      <w:r>
        <w:rPr>
          <w:sz w:val="24"/>
          <w:szCs w:val="24"/>
        </w:rPr>
        <w:t xml:space="preserve">n.1.2, v. 4, </w:t>
      </w:r>
      <w:proofErr w:type="spellStart"/>
      <w:r>
        <w:rPr>
          <w:sz w:val="24"/>
          <w:szCs w:val="24"/>
        </w:rPr>
        <w:t>jul</w:t>
      </w:r>
      <w:proofErr w:type="spellEnd"/>
      <w:r>
        <w:rPr>
          <w:sz w:val="24"/>
          <w:szCs w:val="24"/>
        </w:rPr>
        <w:t xml:space="preserve"> 2015. São Luís: MA, 2015. p. 27–50. Disponível em: https://cajapio.ufma.br/index.php/rppublica/article/view/3693. Acesso em: 28 dez 2024. </w:t>
      </w:r>
    </w:p>
    <w:p w14:paraId="61B0527E" w14:textId="77777777" w:rsidR="00387C0E" w:rsidRDefault="00387C0E">
      <w:pPr>
        <w:spacing w:line="240" w:lineRule="auto"/>
        <w:rPr>
          <w:sz w:val="24"/>
          <w:szCs w:val="24"/>
        </w:rPr>
      </w:pPr>
    </w:p>
    <w:p w14:paraId="44599CFD" w14:textId="77777777" w:rsidR="00387C0E" w:rsidRDefault="00000000">
      <w:pPr>
        <w:spacing w:line="240" w:lineRule="auto"/>
        <w:rPr>
          <w:sz w:val="24"/>
          <w:szCs w:val="24"/>
        </w:rPr>
      </w:pPr>
      <w:r>
        <w:rPr>
          <w:sz w:val="24"/>
          <w:szCs w:val="24"/>
        </w:rPr>
        <w:t xml:space="preserve">VENTURA, Zuenir. </w:t>
      </w:r>
      <w:r>
        <w:rPr>
          <w:b/>
          <w:sz w:val="24"/>
          <w:szCs w:val="24"/>
        </w:rPr>
        <w:t>1968:</w:t>
      </w:r>
      <w:r>
        <w:rPr>
          <w:sz w:val="24"/>
          <w:szCs w:val="24"/>
        </w:rPr>
        <w:t xml:space="preserve"> o ano que não terminou. Rio de Janeiro: Nova Fronteira, 1988. </w:t>
      </w:r>
    </w:p>
    <w:sectPr w:rsidR="00387C0E">
      <w:headerReference w:type="default" r:id="rId24"/>
      <w:pgSz w:w="11909" w:h="16834"/>
      <w:pgMar w:top="1701" w:right="1134" w:bottom="1134" w:left="1701" w:header="3401"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6F4DC" w14:textId="77777777" w:rsidR="00BC05B8" w:rsidRDefault="00BC05B8">
      <w:pPr>
        <w:spacing w:line="240" w:lineRule="auto"/>
      </w:pPr>
      <w:r>
        <w:separator/>
      </w:r>
    </w:p>
  </w:endnote>
  <w:endnote w:type="continuationSeparator" w:id="0">
    <w:p w14:paraId="5F4BE18D" w14:textId="77777777" w:rsidR="00BC05B8" w:rsidRDefault="00BC05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7A88272-764D-42C6-B983-4A333875AA3C}"/>
  </w:font>
  <w:font w:name="Aptos Display">
    <w:charset w:val="00"/>
    <w:family w:val="swiss"/>
    <w:pitch w:val="variable"/>
    <w:sig w:usb0="20000287" w:usb1="00000003" w:usb2="00000000" w:usb3="00000000" w:csb0="0000019F" w:csb1="00000000"/>
    <w:embedRegular r:id="rId2" w:fontKey="{350288FE-5DBB-42A4-B990-76E46AF0E04A}"/>
  </w:font>
  <w:font w:name="Aptos">
    <w:charset w:val="00"/>
    <w:family w:val="swiss"/>
    <w:pitch w:val="variable"/>
    <w:sig w:usb0="20000287" w:usb1="00000003" w:usb2="00000000" w:usb3="00000000" w:csb0="0000019F" w:csb1="00000000"/>
    <w:embedRegular r:id="rId3" w:fontKey="{C309CF70-48AC-48BD-B3B2-25EF282F4F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C027A" w14:textId="77777777" w:rsidR="00BC05B8" w:rsidRDefault="00BC05B8">
      <w:pPr>
        <w:spacing w:line="240" w:lineRule="auto"/>
      </w:pPr>
      <w:r>
        <w:separator/>
      </w:r>
    </w:p>
  </w:footnote>
  <w:footnote w:type="continuationSeparator" w:id="0">
    <w:p w14:paraId="210B78B3" w14:textId="77777777" w:rsidR="00BC05B8" w:rsidRDefault="00BC05B8">
      <w:pPr>
        <w:spacing w:line="240" w:lineRule="auto"/>
      </w:pPr>
      <w:r>
        <w:continuationSeparator/>
      </w:r>
    </w:p>
  </w:footnote>
  <w:footnote w:id="1">
    <w:p w14:paraId="17074C16" w14:textId="38250FF1" w:rsidR="009A7F44" w:rsidRPr="009A7F44" w:rsidRDefault="009A7F44" w:rsidP="009A7F44">
      <w:pPr>
        <w:pStyle w:val="Textodenotaderodap"/>
        <w:rPr>
          <w:sz w:val="16"/>
          <w:szCs w:val="16"/>
        </w:rPr>
      </w:pPr>
      <w:r w:rsidRPr="009A7F44">
        <w:rPr>
          <w:rStyle w:val="Refdenotaderodap"/>
          <w:sz w:val="16"/>
          <w:szCs w:val="16"/>
        </w:rPr>
        <w:footnoteRef/>
      </w:r>
      <w:r w:rsidRPr="009A7F44">
        <w:rPr>
          <w:sz w:val="16"/>
          <w:szCs w:val="16"/>
        </w:rPr>
        <w:t xml:space="preserve"> Professora Associada do Departamento de Serviço Social da UFMA. Professora </w:t>
      </w:r>
      <w:r w:rsidR="00A23846">
        <w:rPr>
          <w:sz w:val="16"/>
          <w:szCs w:val="16"/>
        </w:rPr>
        <w:t>E</w:t>
      </w:r>
      <w:r w:rsidRPr="009A7F44">
        <w:rPr>
          <w:sz w:val="16"/>
          <w:szCs w:val="16"/>
        </w:rPr>
        <w:t>fetiva do Programa de Pós Graduação em Políticas Públicas/ UFMA.</w:t>
      </w:r>
      <w:r w:rsidR="00A23846">
        <w:rPr>
          <w:sz w:val="16"/>
          <w:szCs w:val="16"/>
        </w:rPr>
        <w:t xml:space="preserve"> </w:t>
      </w:r>
      <w:r w:rsidRPr="009A7F44">
        <w:rPr>
          <w:sz w:val="16"/>
          <w:szCs w:val="16"/>
        </w:rPr>
        <w:t>Doutora em Políticas Públicas.</w:t>
      </w:r>
    </w:p>
  </w:footnote>
  <w:footnote w:id="2">
    <w:p w14:paraId="71FEE8EE" w14:textId="5CFAC1B4" w:rsidR="009A7F44" w:rsidRPr="009A7F44" w:rsidRDefault="009A7F44">
      <w:pPr>
        <w:pStyle w:val="Textodenotaderodap"/>
      </w:pPr>
      <w:r w:rsidRPr="009A7F44">
        <w:rPr>
          <w:rStyle w:val="Refdenotaderodap"/>
          <w:sz w:val="16"/>
          <w:szCs w:val="16"/>
        </w:rPr>
        <w:footnoteRef/>
      </w:r>
      <w:r w:rsidRPr="009A7F44">
        <w:rPr>
          <w:sz w:val="16"/>
          <w:szCs w:val="16"/>
          <w:vertAlign w:val="superscript"/>
        </w:rPr>
        <w:t>345</w:t>
      </w:r>
      <w:r w:rsidR="00A23846">
        <w:rPr>
          <w:sz w:val="16"/>
          <w:szCs w:val="16"/>
        </w:rPr>
        <w:t>S</w:t>
      </w:r>
      <w:r w:rsidRPr="009A7F44">
        <w:rPr>
          <w:sz w:val="16"/>
          <w:szCs w:val="16"/>
        </w:rPr>
        <w:t xml:space="preserve">ervidor(a) </w:t>
      </w:r>
      <w:r w:rsidR="00A23846">
        <w:rPr>
          <w:sz w:val="16"/>
          <w:szCs w:val="16"/>
        </w:rPr>
        <w:t>P</w:t>
      </w:r>
      <w:r w:rsidRPr="009A7F44">
        <w:rPr>
          <w:sz w:val="16"/>
          <w:szCs w:val="16"/>
        </w:rPr>
        <w:t>úblico</w:t>
      </w:r>
      <w:r w:rsidR="00A23846">
        <w:rPr>
          <w:sz w:val="16"/>
          <w:szCs w:val="16"/>
        </w:rPr>
        <w:t>(a)</w:t>
      </w:r>
      <w:r w:rsidRPr="009A7F44">
        <w:rPr>
          <w:sz w:val="16"/>
          <w:szCs w:val="16"/>
        </w:rPr>
        <w:t xml:space="preserve">, </w:t>
      </w:r>
      <w:r w:rsidR="00A23846">
        <w:rPr>
          <w:sz w:val="16"/>
          <w:szCs w:val="16"/>
        </w:rPr>
        <w:t>M</w:t>
      </w:r>
      <w:r w:rsidRPr="009A7F44">
        <w:rPr>
          <w:sz w:val="16"/>
          <w:szCs w:val="16"/>
        </w:rPr>
        <w:t xml:space="preserve">estrando(a) em </w:t>
      </w:r>
      <w:r w:rsidR="00A23846">
        <w:rPr>
          <w:sz w:val="16"/>
          <w:szCs w:val="16"/>
        </w:rPr>
        <w:t>P</w:t>
      </w:r>
      <w:r w:rsidRPr="009A7F44">
        <w:rPr>
          <w:sz w:val="16"/>
          <w:szCs w:val="16"/>
        </w:rPr>
        <w:t xml:space="preserve">olíticas </w:t>
      </w:r>
      <w:r w:rsidR="00A23846">
        <w:rPr>
          <w:sz w:val="16"/>
          <w:szCs w:val="16"/>
        </w:rPr>
        <w:t>P</w:t>
      </w:r>
      <w:r w:rsidRPr="009A7F44">
        <w:rPr>
          <w:sz w:val="16"/>
          <w:szCs w:val="16"/>
        </w:rPr>
        <w:t>úblicas pelo Programa de Pós-Graduação em Políticas Públicas (PPGPP) da Universidade Federal do Maranhão (UFMA).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9926" w14:textId="77777777" w:rsidR="00387C0E" w:rsidRDefault="00000000">
    <w:r>
      <w:rPr>
        <w:noProof/>
      </w:rPr>
      <w:drawing>
        <wp:anchor distT="0" distB="0" distL="0" distR="0" simplePos="0" relativeHeight="251658240" behindDoc="1" locked="0" layoutInCell="1" hidden="0" allowOverlap="1" wp14:anchorId="2567E260" wp14:editId="759A56D1">
          <wp:simplePos x="0" y="0"/>
          <wp:positionH relativeFrom="page">
            <wp:posOffset>10160</wp:posOffset>
          </wp:positionH>
          <wp:positionV relativeFrom="page">
            <wp:posOffset>12065</wp:posOffset>
          </wp:positionV>
          <wp:extent cx="7563485" cy="10727690"/>
          <wp:effectExtent l="0" t="0" r="0" b="0"/>
          <wp:wrapNone/>
          <wp:docPr id="1698448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C0E"/>
    <w:rsid w:val="001D7BFB"/>
    <w:rsid w:val="00387C0E"/>
    <w:rsid w:val="003A7EF5"/>
    <w:rsid w:val="005B53BA"/>
    <w:rsid w:val="00754ABE"/>
    <w:rsid w:val="00821438"/>
    <w:rsid w:val="009A7F44"/>
    <w:rsid w:val="00A23846"/>
    <w:rsid w:val="00BC05B8"/>
    <w:rsid w:val="00C83FF8"/>
    <w:rsid w:val="00CC75F6"/>
    <w:rsid w:val="00D00690"/>
    <w:rsid w:val="00FF14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EAB0B"/>
  <w15:docId w15:val="{A4D6311D-AB57-499A-AAE0-210611B6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NormalWeb">
    <w:name w:val="Normal (Web)"/>
    <w:basedOn w:val="Normal"/>
    <w:uiPriority w:val="99"/>
    <w:unhideWhenUsed/>
    <w:rsid w:val="00AB1523"/>
    <w:pPr>
      <w:spacing w:before="100" w:beforeAutospacing="1" w:after="100" w:afterAutospacing="1" w:line="240" w:lineRule="auto"/>
    </w:pPr>
    <w:rPr>
      <w:rFonts w:ascii="Times New Roman" w:eastAsia="Times New Roman" w:hAnsi="Times New Roman" w:cs="Times New Roman"/>
      <w:noProof/>
      <w:sz w:val="24"/>
      <w:szCs w:val="24"/>
    </w:rPr>
  </w:style>
  <w:style w:type="character" w:styleId="Hyperlink">
    <w:name w:val="Hyperlink"/>
    <w:basedOn w:val="Fontepargpadro"/>
    <w:uiPriority w:val="99"/>
    <w:unhideWhenUsed/>
    <w:rsid w:val="00637991"/>
    <w:rPr>
      <w:color w:val="467886" w:themeColor="hyperlink"/>
      <w:u w:val="single"/>
    </w:rPr>
  </w:style>
  <w:style w:type="character" w:styleId="MenoPendente">
    <w:name w:val="Unresolved Mention"/>
    <w:basedOn w:val="Fontepargpadro"/>
    <w:uiPriority w:val="99"/>
    <w:semiHidden/>
    <w:unhideWhenUsed/>
    <w:rsid w:val="00773D02"/>
    <w:rPr>
      <w:color w:val="605E5C"/>
      <w:shd w:val="clear" w:color="auto" w:fill="E1DFDD"/>
    </w:rPr>
  </w:style>
  <w:style w:type="paragraph" w:styleId="Textodenotaderodap">
    <w:name w:val="footnote text"/>
    <w:basedOn w:val="Normal"/>
    <w:link w:val="TextodenotaderodapChar"/>
    <w:uiPriority w:val="99"/>
    <w:semiHidden/>
    <w:unhideWhenUsed/>
    <w:rsid w:val="009A7F44"/>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9A7F44"/>
    <w:rPr>
      <w:sz w:val="20"/>
      <w:szCs w:val="20"/>
    </w:rPr>
  </w:style>
  <w:style w:type="character" w:styleId="Refdenotaderodap">
    <w:name w:val="footnote reference"/>
    <w:basedOn w:val="Fontepargpadro"/>
    <w:uiPriority w:val="99"/>
    <w:semiHidden/>
    <w:unhideWhenUsed/>
    <w:rsid w:val="009A7F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bedoriapolitica.com.br/ciber-democracia/democracia/" TargetMode="External"/><Relationship Id="rId13" Type="http://schemas.openxmlformats.org/officeDocument/2006/relationships/hyperlink" Target="http://www.dominiopublico.gov.br/pesquisa/DetalheObraForm.do?select_action=&amp;co_obra=18757" TargetMode="External"/><Relationship Id="rId18" Type="http://schemas.openxmlformats.org/officeDocument/2006/relationships/hyperlink" Target="https://www.scielo.br/j/rbed%20u/a/vXJKXcs7cybL3YNbDCkCRVp/?format=pdf&amp;lang=p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cielo.br/j/rs/a/kdrZ9pNXsFkzN664ntYbBfb/?format=pdf&amp;lang=pt" TargetMode="External"/><Relationship Id="rId7" Type="http://schemas.openxmlformats.org/officeDocument/2006/relationships/endnotes" Target="endnotes.xml"/><Relationship Id="rId12" Type="http://schemas.openxmlformats.org/officeDocument/2006/relationships/hyperlink" Target="https://www.planalto.gov.br/ccivil_03/decreto-lei/del0200.htm" TargetMode="External"/><Relationship Id="rId17" Type="http://schemas.openxmlformats.org/officeDocument/2006/relationships/hyperlink" Target="https://www.scielo.br/j/rbed%20u/a/vXJKXcs7cybL3YNbDCkCRVp/?format=pdf&amp;lang=p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cielo.br/j/rbed%20u/a/vXJKXcs7cybL3YNbDCkCRVp/?format=pdf&amp;lang=pt" TargetMode="External"/><Relationship Id="rId20" Type="http://schemas.openxmlformats.org/officeDocument/2006/relationships/hyperlink" Target="https://www.scielo.br/j/rs/a/kdrZ9pNXsFkzN664ntYbBfb/?format=pdf&amp;lang=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lo.br/j/es/a/FzqQKn9DfYLhybbNnfsdWXf/?format=pdf&amp;lang=p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periodicos2.uesb.br/index.php/ccsa/article/view/1918/1635" TargetMode="External"/><Relationship Id="rId10" Type="http://schemas.openxmlformats.org/officeDocument/2006/relationships/hyperlink" Target="https://www.scielo.br/j/es/a/FzqQKn9DfYLhybbNnfsdWXf/?format=pdf&amp;lang=pt" TargetMode="External"/><Relationship Id="rId19" Type="http://schemas.openxmlformats.org/officeDocument/2006/relationships/hyperlink" Target="https://www.scielo.br/j/rs/a/kdrZ9pNXsFkzN664ntYbBfb/?format=pdf&amp;lang=pt" TargetMode="External"/><Relationship Id="rId4" Type="http://schemas.openxmlformats.org/officeDocument/2006/relationships/settings" Target="settings.xml"/><Relationship Id="rId9" Type="http://schemas.openxmlformats.org/officeDocument/2006/relationships/hyperlink" Target="https://www.scielo.br/j/es/a/FzqQKn9DfYLhybbNnfsdWXf/?format=pdf&amp;lang=pt" TargetMode="External"/><Relationship Id="rId14" Type="http://schemas.openxmlformats.org/officeDocument/2006/relationships/hyperlink" Target="http://biblioteca.funai.gov.br/media/pdf/TESES/MFN-14417.pdf" TargetMode="External"/><Relationship Id="rId22" Type="http://schemas.openxmlformats.org/officeDocument/2006/relationships/hyperlink" Target="https://www.scielo.br/j/rs/a/kdrZ9pNXsFkzN664ntYbBfb/?format=pdf&amp;lang=p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Hqs4Ls/cwoRiKRMfQpPo0wYWrQ==">CgMxLjAyDmgueHd5enQ0bXcxdnp1Mg5oLmJucnV3d2R4dDQxNTgAciExWk5UdE5mSXRYYjhpRERoZUdQNHRrMTF2UHZjYXNTOHE=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C5DE26-EB2F-4143-815E-67C9E830E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4046</Words>
  <Characters>21853</Characters>
  <Application>Microsoft Office Word</Application>
  <DocSecurity>0</DocSecurity>
  <Lines>182</Lines>
  <Paragraphs>51</Paragraphs>
  <ScaleCrop>false</ScaleCrop>
  <Company/>
  <LinksUpToDate>false</LinksUpToDate>
  <CharactersWithSpaces>25848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Joao Miguel Belo Carvalhedo</cp:lastModifiedBy>
  <cp:revision>7</cp:revision>
  <dcterms:created xsi:type="dcterms:W3CDTF">2025-06-03T14:32:00Z</dcterms:created>
  <dcterms:modified xsi:type="dcterms:W3CDTF">2025-07-05T20:34:00Z</dcterms:modified>
</cp:coreProperties>
</file>