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BC523" w14:textId="77777777" w:rsidR="00631E1E" w:rsidRDefault="00000000">
      <w:pPr>
        <w:spacing w:line="360" w:lineRule="auto"/>
        <w:ind w:left="0" w:hanging="2"/>
        <w:jc w:val="center"/>
        <w:rPr>
          <w:sz w:val="24"/>
          <w:szCs w:val="24"/>
        </w:rPr>
      </w:pPr>
      <w:r>
        <w:rPr>
          <w:b/>
          <w:sz w:val="24"/>
          <w:szCs w:val="24"/>
        </w:rPr>
        <w:t xml:space="preserve">IMPERIALISMO E DEPENDÊNCIA:  </w:t>
      </w:r>
      <w:r>
        <w:rPr>
          <w:sz w:val="24"/>
          <w:szCs w:val="24"/>
        </w:rPr>
        <w:t>as prioridades e gastos públicos com atenção primária e atenção especializada do SUS no governo Lula</w:t>
      </w:r>
    </w:p>
    <w:p w14:paraId="05A68B83" w14:textId="77777777" w:rsidR="00631E1E" w:rsidRDefault="00631E1E">
      <w:pPr>
        <w:spacing w:line="360" w:lineRule="auto"/>
        <w:ind w:left="0" w:hanging="2"/>
        <w:jc w:val="center"/>
        <w:rPr>
          <w:sz w:val="24"/>
          <w:szCs w:val="24"/>
        </w:rPr>
      </w:pPr>
    </w:p>
    <w:p w14:paraId="6142D21E" w14:textId="77777777" w:rsidR="00631E1E" w:rsidRDefault="00000000">
      <w:pPr>
        <w:spacing w:line="360" w:lineRule="auto"/>
        <w:ind w:left="0" w:hanging="2"/>
        <w:jc w:val="right"/>
        <w:rPr>
          <w:sz w:val="24"/>
          <w:szCs w:val="24"/>
        </w:rPr>
      </w:pPr>
      <w:r>
        <w:rPr>
          <w:sz w:val="24"/>
          <w:szCs w:val="24"/>
        </w:rPr>
        <w:t>Edla Hoffmann</w:t>
      </w:r>
      <w:r>
        <w:rPr>
          <w:sz w:val="24"/>
          <w:szCs w:val="24"/>
          <w:vertAlign w:val="superscript"/>
        </w:rPr>
        <w:footnoteReference w:id="1"/>
      </w:r>
    </w:p>
    <w:p w14:paraId="5B83A535" w14:textId="77777777" w:rsidR="00631E1E" w:rsidRDefault="00000000">
      <w:pPr>
        <w:spacing w:line="360" w:lineRule="auto"/>
        <w:ind w:left="0" w:hanging="2"/>
        <w:jc w:val="right"/>
        <w:rPr>
          <w:sz w:val="24"/>
          <w:szCs w:val="24"/>
        </w:rPr>
      </w:pPr>
      <w:r>
        <w:rPr>
          <w:sz w:val="24"/>
          <w:szCs w:val="24"/>
        </w:rPr>
        <w:t>Lyzete Bruna Pereira Freitas</w:t>
      </w:r>
      <w:r>
        <w:rPr>
          <w:sz w:val="24"/>
          <w:szCs w:val="24"/>
          <w:vertAlign w:val="superscript"/>
        </w:rPr>
        <w:footnoteReference w:id="2"/>
      </w:r>
    </w:p>
    <w:p w14:paraId="6465DA10" w14:textId="77777777" w:rsidR="00631E1E" w:rsidRDefault="00000000">
      <w:pPr>
        <w:spacing w:line="360" w:lineRule="auto"/>
        <w:ind w:left="0" w:hanging="2"/>
        <w:jc w:val="right"/>
        <w:rPr>
          <w:sz w:val="24"/>
          <w:szCs w:val="24"/>
        </w:rPr>
      </w:pPr>
      <w:r>
        <w:rPr>
          <w:sz w:val="24"/>
          <w:szCs w:val="24"/>
        </w:rPr>
        <w:t>Aline Cavalcanti Dantas</w:t>
      </w:r>
      <w:r>
        <w:rPr>
          <w:sz w:val="24"/>
          <w:szCs w:val="24"/>
          <w:vertAlign w:val="superscript"/>
        </w:rPr>
        <w:footnoteReference w:id="3"/>
      </w:r>
    </w:p>
    <w:p w14:paraId="618067FB" w14:textId="2D24934D" w:rsidR="00631E1E" w:rsidRDefault="00000000" w:rsidP="004F7E60">
      <w:pPr>
        <w:spacing w:line="360" w:lineRule="auto"/>
        <w:ind w:left="0" w:hanging="2"/>
        <w:jc w:val="right"/>
        <w:rPr>
          <w:sz w:val="20"/>
          <w:szCs w:val="20"/>
        </w:rPr>
      </w:pPr>
      <w:r>
        <w:rPr>
          <w:sz w:val="24"/>
          <w:szCs w:val="24"/>
        </w:rPr>
        <w:t>Ana Carolina da Silva Pereira</w:t>
      </w:r>
      <w:r>
        <w:rPr>
          <w:sz w:val="24"/>
          <w:szCs w:val="24"/>
          <w:vertAlign w:val="superscript"/>
        </w:rPr>
        <w:footnoteReference w:id="4"/>
      </w:r>
    </w:p>
    <w:p w14:paraId="30EFBFA0" w14:textId="77777777" w:rsidR="004F7E60" w:rsidRPr="004F7E60" w:rsidRDefault="004F7E60" w:rsidP="004F7E60">
      <w:pPr>
        <w:spacing w:line="360" w:lineRule="auto"/>
        <w:ind w:left="0" w:hanging="2"/>
        <w:jc w:val="right"/>
        <w:rPr>
          <w:sz w:val="20"/>
          <w:szCs w:val="20"/>
        </w:rPr>
      </w:pPr>
    </w:p>
    <w:p w14:paraId="1621F92E" w14:textId="77777777" w:rsidR="00631E1E" w:rsidRDefault="00000000" w:rsidP="004F7E60">
      <w:pPr>
        <w:spacing w:line="240" w:lineRule="auto"/>
        <w:ind w:leftChars="1030" w:left="2268" w:hanging="2"/>
        <w:jc w:val="both"/>
        <w:rPr>
          <w:sz w:val="20"/>
          <w:szCs w:val="20"/>
        </w:rPr>
      </w:pPr>
      <w:r>
        <w:rPr>
          <w:b/>
          <w:sz w:val="20"/>
          <w:szCs w:val="20"/>
        </w:rPr>
        <w:t>Resumo</w:t>
      </w:r>
    </w:p>
    <w:p w14:paraId="306109E4" w14:textId="0D5EDA65" w:rsidR="00631E1E" w:rsidRDefault="00000000" w:rsidP="004F7E60">
      <w:pPr>
        <w:spacing w:line="240" w:lineRule="auto"/>
        <w:ind w:leftChars="1030" w:left="2268" w:hanging="2"/>
        <w:jc w:val="both"/>
        <w:rPr>
          <w:strike/>
          <w:sz w:val="20"/>
          <w:szCs w:val="20"/>
        </w:rPr>
      </w:pPr>
      <w:r>
        <w:rPr>
          <w:sz w:val="20"/>
          <w:szCs w:val="20"/>
        </w:rPr>
        <w:t>Este artigo objetiva analisar as prioridades dos gastos públicos direcionados para a Atenção Primária e a Atenção Especializada à Saúde durante o atual Governo Lula. Apresenta resultados parciais da pesquisa “As Tendências de Alocação do Fundo Público no Orçamento e Financiamento da Política de Saúde no Governo Lula (2023-2026)”. Fundamenta-se no materialismo histórico-dialético, abarca um estudo misto, que inclui revisão de literatura, pesquisa documental e análise de dados extraídos. Os resultados preliminares, revelam que, um cenário de crise estrutural do capital, marcado pelo</w:t>
      </w:r>
      <w:r w:rsidR="004F7E60">
        <w:rPr>
          <w:sz w:val="20"/>
          <w:szCs w:val="20"/>
        </w:rPr>
        <w:t xml:space="preserve"> </w:t>
      </w:r>
      <w:r>
        <w:rPr>
          <w:sz w:val="20"/>
          <w:szCs w:val="20"/>
        </w:rPr>
        <w:t>imperialismo e pela condição de dependência, intensifica o desfinanciamento das políticas sociais. A revogação da EC 95/2016 possibilitou o aumento de recursos destinados à saúde, porém persistem disputas e contradições no âmbito do Novo Arcabouço Fiscal que limitam significativamente a ampliação do orçamento público. Tais limites impactam a definição das prioridades do governo Lula, especialmente na consolidação da Atenção Primária e Atenção Especializada do SUS.</w:t>
      </w:r>
    </w:p>
    <w:p w14:paraId="15C541CD" w14:textId="67C310F3" w:rsidR="00631E1E" w:rsidRDefault="00000000" w:rsidP="004F7E60">
      <w:pPr>
        <w:spacing w:line="240" w:lineRule="auto"/>
        <w:ind w:leftChars="1030" w:left="2268" w:hanging="2"/>
        <w:jc w:val="both"/>
        <w:rPr>
          <w:sz w:val="20"/>
          <w:szCs w:val="20"/>
        </w:rPr>
      </w:pPr>
      <w:r>
        <w:rPr>
          <w:b/>
          <w:sz w:val="20"/>
          <w:szCs w:val="20"/>
        </w:rPr>
        <w:t>Palavras-chave</w:t>
      </w:r>
      <w:r>
        <w:rPr>
          <w:sz w:val="20"/>
          <w:szCs w:val="20"/>
        </w:rPr>
        <w:t>: Imperialismo;</w:t>
      </w:r>
      <w:r w:rsidR="00E74421">
        <w:rPr>
          <w:sz w:val="20"/>
          <w:szCs w:val="20"/>
        </w:rPr>
        <w:t xml:space="preserve"> </w:t>
      </w:r>
      <w:r>
        <w:rPr>
          <w:sz w:val="20"/>
          <w:szCs w:val="20"/>
        </w:rPr>
        <w:t xml:space="preserve">Orçamento Público; </w:t>
      </w:r>
      <w:r w:rsidR="00E74421">
        <w:rPr>
          <w:sz w:val="20"/>
          <w:szCs w:val="20"/>
        </w:rPr>
        <w:t xml:space="preserve">Política de </w:t>
      </w:r>
      <w:r>
        <w:rPr>
          <w:sz w:val="20"/>
          <w:szCs w:val="20"/>
        </w:rPr>
        <w:t>Saúde.</w:t>
      </w:r>
    </w:p>
    <w:p w14:paraId="4B7A245F" w14:textId="77777777" w:rsidR="00631E1E" w:rsidRDefault="00631E1E">
      <w:pPr>
        <w:spacing w:line="240" w:lineRule="auto"/>
        <w:ind w:left="0" w:hanging="2"/>
        <w:jc w:val="both"/>
        <w:rPr>
          <w:sz w:val="20"/>
          <w:szCs w:val="20"/>
        </w:rPr>
      </w:pPr>
    </w:p>
    <w:p w14:paraId="27D2349E" w14:textId="77777777" w:rsidR="00631E1E" w:rsidRDefault="00631E1E">
      <w:pPr>
        <w:spacing w:line="240" w:lineRule="auto"/>
        <w:ind w:left="0" w:hanging="2"/>
        <w:jc w:val="both"/>
        <w:rPr>
          <w:b/>
          <w:sz w:val="20"/>
          <w:szCs w:val="20"/>
        </w:rPr>
      </w:pPr>
    </w:p>
    <w:p w14:paraId="1DE31EE2" w14:textId="77777777" w:rsidR="004F7E60" w:rsidRDefault="004F7E60">
      <w:pPr>
        <w:spacing w:line="240" w:lineRule="auto"/>
        <w:ind w:left="0" w:hanging="2"/>
        <w:jc w:val="both"/>
        <w:rPr>
          <w:b/>
          <w:sz w:val="20"/>
          <w:szCs w:val="20"/>
        </w:rPr>
      </w:pPr>
    </w:p>
    <w:p w14:paraId="46395EA6" w14:textId="77777777" w:rsidR="00631E1E" w:rsidRDefault="00000000" w:rsidP="004F7E60">
      <w:pPr>
        <w:spacing w:line="240" w:lineRule="auto"/>
        <w:ind w:leftChars="1030" w:left="2268" w:hanging="2"/>
        <w:jc w:val="both"/>
        <w:rPr>
          <w:b/>
          <w:sz w:val="20"/>
          <w:szCs w:val="20"/>
        </w:rPr>
      </w:pPr>
      <w:r>
        <w:rPr>
          <w:b/>
          <w:sz w:val="20"/>
          <w:szCs w:val="20"/>
        </w:rPr>
        <w:lastRenderedPageBreak/>
        <w:t>Abstract</w:t>
      </w:r>
    </w:p>
    <w:p w14:paraId="21F0EA90" w14:textId="77777777" w:rsidR="00631E1E" w:rsidRDefault="00000000" w:rsidP="004F7E60">
      <w:pPr>
        <w:spacing w:line="240" w:lineRule="auto"/>
        <w:ind w:leftChars="1030" w:left="2268" w:hanging="2"/>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article</w:t>
      </w:r>
      <w:proofErr w:type="spellEnd"/>
      <w:r>
        <w:rPr>
          <w:sz w:val="20"/>
          <w:szCs w:val="20"/>
        </w:rPr>
        <w:t xml:space="preserve"> </w:t>
      </w:r>
      <w:proofErr w:type="spellStart"/>
      <w:r>
        <w:rPr>
          <w:sz w:val="20"/>
          <w:szCs w:val="20"/>
        </w:rPr>
        <w:t>aims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analyze</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priorities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public</w:t>
      </w:r>
      <w:proofErr w:type="spellEnd"/>
      <w:r>
        <w:rPr>
          <w:sz w:val="20"/>
          <w:szCs w:val="20"/>
        </w:rPr>
        <w:t xml:space="preserve"> </w:t>
      </w:r>
      <w:proofErr w:type="spellStart"/>
      <w:r>
        <w:rPr>
          <w:sz w:val="20"/>
          <w:szCs w:val="20"/>
        </w:rPr>
        <w:t>spending</w:t>
      </w:r>
      <w:proofErr w:type="spellEnd"/>
      <w:r>
        <w:rPr>
          <w:sz w:val="20"/>
          <w:szCs w:val="20"/>
        </w:rPr>
        <w:t xml:space="preserve"> </w:t>
      </w:r>
      <w:proofErr w:type="spellStart"/>
      <w:r>
        <w:rPr>
          <w:sz w:val="20"/>
          <w:szCs w:val="20"/>
        </w:rPr>
        <w:t>directed</w:t>
      </w:r>
      <w:proofErr w:type="spellEnd"/>
      <w:r>
        <w:rPr>
          <w:sz w:val="20"/>
          <w:szCs w:val="20"/>
        </w:rPr>
        <w:t xml:space="preserve"> </w:t>
      </w:r>
      <w:proofErr w:type="spellStart"/>
      <w:r>
        <w:rPr>
          <w:sz w:val="20"/>
          <w:szCs w:val="20"/>
        </w:rPr>
        <w:t>toward</w:t>
      </w:r>
      <w:proofErr w:type="spellEnd"/>
      <w:r>
        <w:rPr>
          <w:sz w:val="20"/>
          <w:szCs w:val="20"/>
        </w:rPr>
        <w:t xml:space="preserve"> Primary Health </w:t>
      </w:r>
      <w:proofErr w:type="spellStart"/>
      <w:r>
        <w:rPr>
          <w:sz w:val="20"/>
          <w:szCs w:val="20"/>
        </w:rPr>
        <w:t>Care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Specialized</w:t>
      </w:r>
      <w:proofErr w:type="spellEnd"/>
      <w:r>
        <w:rPr>
          <w:sz w:val="20"/>
          <w:szCs w:val="20"/>
        </w:rPr>
        <w:t xml:space="preserve"> Health </w:t>
      </w:r>
      <w:proofErr w:type="spellStart"/>
      <w:r>
        <w:rPr>
          <w:sz w:val="20"/>
          <w:szCs w:val="20"/>
        </w:rPr>
        <w:t>Care</w:t>
      </w:r>
      <w:proofErr w:type="spellEnd"/>
      <w:r>
        <w:rPr>
          <w:sz w:val="20"/>
          <w:szCs w:val="20"/>
        </w:rPr>
        <w:t xml:space="preserve"> </w:t>
      </w:r>
      <w:proofErr w:type="spellStart"/>
      <w:r>
        <w:rPr>
          <w:sz w:val="20"/>
          <w:szCs w:val="20"/>
        </w:rPr>
        <w:t>during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current</w:t>
      </w:r>
      <w:proofErr w:type="spellEnd"/>
      <w:r>
        <w:rPr>
          <w:sz w:val="20"/>
          <w:szCs w:val="20"/>
        </w:rPr>
        <w:t xml:space="preserve"> Lula </w:t>
      </w:r>
      <w:proofErr w:type="spellStart"/>
      <w:r>
        <w:rPr>
          <w:sz w:val="20"/>
          <w:szCs w:val="20"/>
        </w:rPr>
        <w:t>administration</w:t>
      </w:r>
      <w:proofErr w:type="spellEnd"/>
      <w:r>
        <w:rPr>
          <w:sz w:val="20"/>
          <w:szCs w:val="20"/>
        </w:rPr>
        <w:t xml:space="preserve">. It </w:t>
      </w:r>
      <w:proofErr w:type="spellStart"/>
      <w:r>
        <w:rPr>
          <w:sz w:val="20"/>
          <w:szCs w:val="20"/>
        </w:rPr>
        <w:t>presents</w:t>
      </w:r>
      <w:proofErr w:type="spellEnd"/>
      <w:r>
        <w:rPr>
          <w:sz w:val="20"/>
          <w:szCs w:val="20"/>
        </w:rPr>
        <w:t xml:space="preserve"> </w:t>
      </w:r>
      <w:proofErr w:type="spellStart"/>
      <w:r>
        <w:rPr>
          <w:sz w:val="20"/>
          <w:szCs w:val="20"/>
        </w:rPr>
        <w:t>partial</w:t>
      </w:r>
      <w:proofErr w:type="spellEnd"/>
      <w:r>
        <w:rPr>
          <w:sz w:val="20"/>
          <w:szCs w:val="20"/>
        </w:rPr>
        <w:t xml:space="preserve"> </w:t>
      </w:r>
      <w:proofErr w:type="spellStart"/>
      <w:r>
        <w:rPr>
          <w:sz w:val="20"/>
          <w:szCs w:val="20"/>
        </w:rPr>
        <w:t>results</w:t>
      </w:r>
      <w:proofErr w:type="spellEnd"/>
      <w:r>
        <w:rPr>
          <w:sz w:val="20"/>
          <w:szCs w:val="20"/>
        </w:rPr>
        <w:t xml:space="preserve"> </w:t>
      </w:r>
      <w:proofErr w:type="spellStart"/>
      <w:r>
        <w:rPr>
          <w:sz w:val="20"/>
          <w:szCs w:val="20"/>
        </w:rPr>
        <w:t>from</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research</w:t>
      </w:r>
      <w:proofErr w:type="spellEnd"/>
      <w:r>
        <w:rPr>
          <w:sz w:val="20"/>
          <w:szCs w:val="20"/>
        </w:rPr>
        <w:t xml:space="preserve"> </w:t>
      </w:r>
      <w:proofErr w:type="spellStart"/>
      <w:r>
        <w:rPr>
          <w:sz w:val="20"/>
          <w:szCs w:val="20"/>
        </w:rPr>
        <w:t>project</w:t>
      </w:r>
      <w:proofErr w:type="spellEnd"/>
      <w:r>
        <w:rPr>
          <w:sz w:val="20"/>
          <w:szCs w:val="20"/>
        </w:rPr>
        <w:t xml:space="preserve"> </w:t>
      </w:r>
      <w:r>
        <w:rPr>
          <w:i/>
          <w:sz w:val="20"/>
          <w:szCs w:val="20"/>
        </w:rPr>
        <w:t xml:space="preserve">“Trends in </w:t>
      </w:r>
      <w:proofErr w:type="spellStart"/>
      <w:r>
        <w:rPr>
          <w:i/>
          <w:sz w:val="20"/>
          <w:szCs w:val="20"/>
        </w:rPr>
        <w:t>Public</w:t>
      </w:r>
      <w:proofErr w:type="spellEnd"/>
      <w:r>
        <w:rPr>
          <w:i/>
          <w:sz w:val="20"/>
          <w:szCs w:val="20"/>
        </w:rPr>
        <w:t xml:space="preserve"> Fund </w:t>
      </w:r>
      <w:proofErr w:type="spellStart"/>
      <w:r>
        <w:rPr>
          <w:i/>
          <w:sz w:val="20"/>
          <w:szCs w:val="20"/>
        </w:rPr>
        <w:t>Allocation</w:t>
      </w:r>
      <w:proofErr w:type="spellEnd"/>
      <w:r>
        <w:rPr>
          <w:i/>
          <w:sz w:val="20"/>
          <w:szCs w:val="20"/>
        </w:rPr>
        <w:t xml:space="preserve"> in </w:t>
      </w:r>
      <w:proofErr w:type="spellStart"/>
      <w:r>
        <w:rPr>
          <w:i/>
          <w:sz w:val="20"/>
          <w:szCs w:val="20"/>
        </w:rPr>
        <w:t>the</w:t>
      </w:r>
      <w:proofErr w:type="spellEnd"/>
      <w:r>
        <w:rPr>
          <w:i/>
          <w:sz w:val="20"/>
          <w:szCs w:val="20"/>
        </w:rPr>
        <w:t xml:space="preserve"> Budget </w:t>
      </w:r>
      <w:proofErr w:type="spellStart"/>
      <w:r>
        <w:rPr>
          <w:i/>
          <w:sz w:val="20"/>
          <w:szCs w:val="20"/>
        </w:rPr>
        <w:t>and</w:t>
      </w:r>
      <w:proofErr w:type="spellEnd"/>
      <w:r>
        <w:rPr>
          <w:i/>
          <w:sz w:val="20"/>
          <w:szCs w:val="20"/>
        </w:rPr>
        <w:t xml:space="preserve"> </w:t>
      </w:r>
      <w:proofErr w:type="spellStart"/>
      <w:r>
        <w:rPr>
          <w:i/>
          <w:sz w:val="20"/>
          <w:szCs w:val="20"/>
        </w:rPr>
        <w:t>Financing</w:t>
      </w:r>
      <w:proofErr w:type="spellEnd"/>
      <w:r>
        <w:rPr>
          <w:i/>
          <w:sz w:val="20"/>
          <w:szCs w:val="20"/>
        </w:rPr>
        <w:t xml:space="preserve"> </w:t>
      </w:r>
      <w:proofErr w:type="spellStart"/>
      <w:r>
        <w:rPr>
          <w:i/>
          <w:sz w:val="20"/>
          <w:szCs w:val="20"/>
        </w:rPr>
        <w:t>of</w:t>
      </w:r>
      <w:proofErr w:type="spellEnd"/>
      <w:r>
        <w:rPr>
          <w:i/>
          <w:sz w:val="20"/>
          <w:szCs w:val="20"/>
        </w:rPr>
        <w:t xml:space="preserve"> Health </w:t>
      </w:r>
      <w:proofErr w:type="spellStart"/>
      <w:r>
        <w:rPr>
          <w:i/>
          <w:sz w:val="20"/>
          <w:szCs w:val="20"/>
        </w:rPr>
        <w:t>Policy</w:t>
      </w:r>
      <w:proofErr w:type="spellEnd"/>
      <w:r>
        <w:rPr>
          <w:i/>
          <w:sz w:val="20"/>
          <w:szCs w:val="20"/>
        </w:rPr>
        <w:t xml:space="preserve"> </w:t>
      </w:r>
      <w:proofErr w:type="spellStart"/>
      <w:r>
        <w:rPr>
          <w:i/>
          <w:sz w:val="20"/>
          <w:szCs w:val="20"/>
        </w:rPr>
        <w:t>under</w:t>
      </w:r>
      <w:proofErr w:type="spellEnd"/>
      <w:r>
        <w:rPr>
          <w:i/>
          <w:sz w:val="20"/>
          <w:szCs w:val="20"/>
        </w:rPr>
        <w:t xml:space="preserve"> </w:t>
      </w:r>
      <w:proofErr w:type="spellStart"/>
      <w:r>
        <w:rPr>
          <w:i/>
          <w:sz w:val="20"/>
          <w:szCs w:val="20"/>
        </w:rPr>
        <w:t>the</w:t>
      </w:r>
      <w:proofErr w:type="spellEnd"/>
      <w:r>
        <w:rPr>
          <w:i/>
          <w:sz w:val="20"/>
          <w:szCs w:val="20"/>
        </w:rPr>
        <w:t xml:space="preserve"> Lula </w:t>
      </w:r>
      <w:proofErr w:type="spellStart"/>
      <w:r>
        <w:rPr>
          <w:i/>
          <w:sz w:val="20"/>
          <w:szCs w:val="20"/>
        </w:rPr>
        <w:t>Government</w:t>
      </w:r>
      <w:proofErr w:type="spellEnd"/>
      <w:r>
        <w:rPr>
          <w:i/>
          <w:sz w:val="20"/>
          <w:szCs w:val="20"/>
        </w:rPr>
        <w:t xml:space="preserve"> (2023–2026)”</w:t>
      </w:r>
      <w:r>
        <w:rPr>
          <w:sz w:val="20"/>
          <w:szCs w:val="20"/>
        </w:rPr>
        <w:t xml:space="preserve">. </w:t>
      </w:r>
      <w:proofErr w:type="spellStart"/>
      <w:r>
        <w:rPr>
          <w:sz w:val="20"/>
          <w:szCs w:val="20"/>
        </w:rPr>
        <w:t>Grounded</w:t>
      </w:r>
      <w:proofErr w:type="spellEnd"/>
      <w:r>
        <w:rPr>
          <w:sz w:val="20"/>
          <w:szCs w:val="20"/>
        </w:rPr>
        <w:t xml:space="preserve"> in </w:t>
      </w:r>
      <w:proofErr w:type="spellStart"/>
      <w:r>
        <w:rPr>
          <w:sz w:val="20"/>
          <w:szCs w:val="20"/>
        </w:rPr>
        <w:t>historical-dialectical</w:t>
      </w:r>
      <w:proofErr w:type="spellEnd"/>
      <w:r>
        <w:rPr>
          <w:sz w:val="20"/>
          <w:szCs w:val="20"/>
        </w:rPr>
        <w:t xml:space="preserve"> </w:t>
      </w:r>
      <w:proofErr w:type="spellStart"/>
      <w:r>
        <w:rPr>
          <w:sz w:val="20"/>
          <w:szCs w:val="20"/>
        </w:rPr>
        <w:t>materialism</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study</w:t>
      </w:r>
      <w:proofErr w:type="spellEnd"/>
      <w:r>
        <w:rPr>
          <w:sz w:val="20"/>
          <w:szCs w:val="20"/>
        </w:rPr>
        <w:t xml:space="preserve"> </w:t>
      </w:r>
      <w:proofErr w:type="spellStart"/>
      <w:r>
        <w:rPr>
          <w:sz w:val="20"/>
          <w:szCs w:val="20"/>
        </w:rPr>
        <w:t>adopts</w:t>
      </w:r>
      <w:proofErr w:type="spellEnd"/>
      <w:r>
        <w:rPr>
          <w:sz w:val="20"/>
          <w:szCs w:val="20"/>
        </w:rPr>
        <w:t xml:space="preserve"> a </w:t>
      </w:r>
      <w:proofErr w:type="spellStart"/>
      <w:r>
        <w:rPr>
          <w:sz w:val="20"/>
          <w:szCs w:val="20"/>
        </w:rPr>
        <w:t>mixed-methods</w:t>
      </w:r>
      <w:proofErr w:type="spellEnd"/>
      <w:r>
        <w:rPr>
          <w:sz w:val="20"/>
          <w:szCs w:val="20"/>
        </w:rPr>
        <w:t xml:space="preserve"> approach, </w:t>
      </w:r>
      <w:proofErr w:type="spellStart"/>
      <w:r>
        <w:rPr>
          <w:sz w:val="20"/>
          <w:szCs w:val="20"/>
        </w:rPr>
        <w:t>including</w:t>
      </w:r>
      <w:proofErr w:type="spellEnd"/>
      <w:r>
        <w:rPr>
          <w:sz w:val="20"/>
          <w:szCs w:val="20"/>
        </w:rPr>
        <w:t xml:space="preserve"> </w:t>
      </w:r>
      <w:proofErr w:type="spellStart"/>
      <w:r>
        <w:rPr>
          <w:sz w:val="20"/>
          <w:szCs w:val="20"/>
        </w:rPr>
        <w:t>literature</w:t>
      </w:r>
      <w:proofErr w:type="spellEnd"/>
      <w:r>
        <w:rPr>
          <w:sz w:val="20"/>
          <w:szCs w:val="20"/>
        </w:rPr>
        <w:t xml:space="preserve"> review, </w:t>
      </w:r>
      <w:proofErr w:type="spellStart"/>
      <w:r>
        <w:rPr>
          <w:sz w:val="20"/>
          <w:szCs w:val="20"/>
        </w:rPr>
        <w:t>document</w:t>
      </w:r>
      <w:proofErr w:type="spellEnd"/>
      <w:r>
        <w:rPr>
          <w:sz w:val="20"/>
          <w:szCs w:val="20"/>
        </w:rPr>
        <w:t xml:space="preserve"> </w:t>
      </w:r>
      <w:proofErr w:type="spellStart"/>
      <w:r>
        <w:rPr>
          <w:sz w:val="20"/>
          <w:szCs w:val="20"/>
        </w:rPr>
        <w:t>analysis</w:t>
      </w:r>
      <w:proofErr w:type="spellEnd"/>
      <w:r>
        <w:rPr>
          <w:sz w:val="20"/>
          <w:szCs w:val="20"/>
        </w:rPr>
        <w:t xml:space="preserve">, </w:t>
      </w:r>
      <w:proofErr w:type="spellStart"/>
      <w:r>
        <w:rPr>
          <w:sz w:val="20"/>
          <w:szCs w:val="20"/>
        </w:rPr>
        <w:t>and</w:t>
      </w:r>
      <w:proofErr w:type="spellEnd"/>
      <w:r>
        <w:rPr>
          <w:sz w:val="20"/>
          <w:szCs w:val="20"/>
        </w:rPr>
        <w:t xml:space="preserve"> data </w:t>
      </w:r>
      <w:proofErr w:type="spellStart"/>
      <w:r>
        <w:rPr>
          <w:sz w:val="20"/>
          <w:szCs w:val="20"/>
        </w:rPr>
        <w:t>extraction</w:t>
      </w:r>
      <w:proofErr w:type="spellEnd"/>
      <w:r>
        <w:rPr>
          <w:sz w:val="20"/>
          <w:szCs w:val="20"/>
        </w:rPr>
        <w:t xml:space="preserve">. </w:t>
      </w:r>
      <w:proofErr w:type="spellStart"/>
      <w:r>
        <w:rPr>
          <w:sz w:val="20"/>
          <w:szCs w:val="20"/>
        </w:rPr>
        <w:t>Preliminary</w:t>
      </w:r>
      <w:proofErr w:type="spellEnd"/>
      <w:r>
        <w:rPr>
          <w:sz w:val="20"/>
          <w:szCs w:val="20"/>
        </w:rPr>
        <w:t xml:space="preserve"> </w:t>
      </w:r>
      <w:proofErr w:type="spellStart"/>
      <w:r>
        <w:rPr>
          <w:sz w:val="20"/>
          <w:szCs w:val="20"/>
        </w:rPr>
        <w:t>findings</w:t>
      </w:r>
      <w:proofErr w:type="spellEnd"/>
      <w:r>
        <w:rPr>
          <w:sz w:val="20"/>
          <w:szCs w:val="20"/>
        </w:rPr>
        <w:t xml:space="preserve"> </w:t>
      </w:r>
      <w:proofErr w:type="spellStart"/>
      <w:r>
        <w:rPr>
          <w:sz w:val="20"/>
          <w:szCs w:val="20"/>
        </w:rPr>
        <w:t>reveal</w:t>
      </w:r>
      <w:proofErr w:type="spellEnd"/>
      <w:r>
        <w:rPr>
          <w:sz w:val="20"/>
          <w:szCs w:val="20"/>
        </w:rPr>
        <w:t xml:space="preserve"> </w:t>
      </w:r>
      <w:proofErr w:type="spellStart"/>
      <w:r>
        <w:rPr>
          <w:sz w:val="20"/>
          <w:szCs w:val="20"/>
        </w:rPr>
        <w:t>that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structural</w:t>
      </w:r>
      <w:proofErr w:type="spellEnd"/>
      <w:r>
        <w:rPr>
          <w:sz w:val="20"/>
          <w:szCs w:val="20"/>
        </w:rPr>
        <w:t xml:space="preserve"> </w:t>
      </w:r>
      <w:proofErr w:type="spellStart"/>
      <w:r>
        <w:rPr>
          <w:sz w:val="20"/>
          <w:szCs w:val="20"/>
        </w:rPr>
        <w:t>crisis</w:t>
      </w:r>
      <w:proofErr w:type="spellEnd"/>
      <w:r>
        <w:rPr>
          <w:sz w:val="20"/>
          <w:szCs w:val="20"/>
        </w:rPr>
        <w:t xml:space="preserve"> </w:t>
      </w:r>
      <w:proofErr w:type="spellStart"/>
      <w:r>
        <w:rPr>
          <w:sz w:val="20"/>
          <w:szCs w:val="20"/>
        </w:rPr>
        <w:t>of</w:t>
      </w:r>
      <w:proofErr w:type="spellEnd"/>
      <w:r>
        <w:rPr>
          <w:sz w:val="20"/>
          <w:szCs w:val="20"/>
        </w:rPr>
        <w:t xml:space="preserve"> capital, </w:t>
      </w:r>
      <w:proofErr w:type="spellStart"/>
      <w:r>
        <w:rPr>
          <w:sz w:val="20"/>
          <w:szCs w:val="20"/>
        </w:rPr>
        <w:t>marked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imperialism</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condition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dependency</w:t>
      </w:r>
      <w:proofErr w:type="spellEnd"/>
      <w:r>
        <w:rPr>
          <w:sz w:val="20"/>
          <w:szCs w:val="20"/>
        </w:rPr>
        <w:t xml:space="preserve">, </w:t>
      </w:r>
      <w:proofErr w:type="spellStart"/>
      <w:r>
        <w:rPr>
          <w:sz w:val="20"/>
          <w:szCs w:val="20"/>
        </w:rPr>
        <w:t>intensifies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underfunding</w:t>
      </w:r>
      <w:proofErr w:type="spellEnd"/>
      <w:r>
        <w:rPr>
          <w:sz w:val="20"/>
          <w:szCs w:val="20"/>
        </w:rPr>
        <w:t xml:space="preserve"> </w:t>
      </w:r>
      <w:proofErr w:type="spellStart"/>
      <w:r>
        <w:rPr>
          <w:sz w:val="20"/>
          <w:szCs w:val="20"/>
        </w:rPr>
        <w:t>of</w:t>
      </w:r>
      <w:proofErr w:type="spellEnd"/>
      <w:r>
        <w:rPr>
          <w:sz w:val="20"/>
          <w:szCs w:val="20"/>
        </w:rPr>
        <w:t xml:space="preserve"> social policies. </w:t>
      </w:r>
      <w:proofErr w:type="spellStart"/>
      <w:r>
        <w:rPr>
          <w:sz w:val="20"/>
          <w:szCs w:val="20"/>
        </w:rPr>
        <w:t>Although</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repeal</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Constitutional</w:t>
      </w:r>
      <w:proofErr w:type="spellEnd"/>
      <w:r>
        <w:rPr>
          <w:sz w:val="20"/>
          <w:szCs w:val="20"/>
        </w:rPr>
        <w:t xml:space="preserve"> </w:t>
      </w:r>
      <w:proofErr w:type="spellStart"/>
      <w:r>
        <w:rPr>
          <w:sz w:val="20"/>
          <w:szCs w:val="20"/>
        </w:rPr>
        <w:t>Amendment</w:t>
      </w:r>
      <w:proofErr w:type="spellEnd"/>
      <w:r>
        <w:rPr>
          <w:sz w:val="20"/>
          <w:szCs w:val="20"/>
        </w:rPr>
        <w:t xml:space="preserve"> No. 95/2016 </w:t>
      </w:r>
      <w:proofErr w:type="spellStart"/>
      <w:r>
        <w:rPr>
          <w:sz w:val="20"/>
          <w:szCs w:val="20"/>
        </w:rPr>
        <w:t>enabled</w:t>
      </w:r>
      <w:proofErr w:type="spellEnd"/>
      <w:r>
        <w:rPr>
          <w:sz w:val="20"/>
          <w:szCs w:val="20"/>
        </w:rPr>
        <w:t xml:space="preserve"> </w:t>
      </w:r>
      <w:proofErr w:type="spellStart"/>
      <w:r>
        <w:rPr>
          <w:sz w:val="20"/>
          <w:szCs w:val="20"/>
        </w:rPr>
        <w:t>an</w:t>
      </w:r>
      <w:proofErr w:type="spellEnd"/>
      <w:r>
        <w:rPr>
          <w:sz w:val="20"/>
          <w:szCs w:val="20"/>
        </w:rPr>
        <w:t xml:space="preserve"> </w:t>
      </w:r>
      <w:proofErr w:type="spellStart"/>
      <w:r>
        <w:rPr>
          <w:sz w:val="20"/>
          <w:szCs w:val="20"/>
        </w:rPr>
        <w:t>increase</w:t>
      </w:r>
      <w:proofErr w:type="spellEnd"/>
      <w:r>
        <w:rPr>
          <w:sz w:val="20"/>
          <w:szCs w:val="20"/>
        </w:rPr>
        <w:t xml:space="preserve"> in </w:t>
      </w:r>
      <w:proofErr w:type="spellStart"/>
      <w:r>
        <w:rPr>
          <w:sz w:val="20"/>
          <w:szCs w:val="20"/>
        </w:rPr>
        <w:t>health</w:t>
      </w:r>
      <w:proofErr w:type="spellEnd"/>
      <w:r>
        <w:rPr>
          <w:sz w:val="20"/>
          <w:szCs w:val="20"/>
        </w:rPr>
        <w:t xml:space="preserve"> </w:t>
      </w:r>
      <w:proofErr w:type="spellStart"/>
      <w:r>
        <w:rPr>
          <w:sz w:val="20"/>
          <w:szCs w:val="20"/>
        </w:rPr>
        <w:t>funding</w:t>
      </w:r>
      <w:proofErr w:type="spellEnd"/>
      <w:r>
        <w:rPr>
          <w:sz w:val="20"/>
          <w:szCs w:val="20"/>
        </w:rPr>
        <w:t xml:space="preserve">, </w:t>
      </w:r>
      <w:proofErr w:type="spellStart"/>
      <w:r>
        <w:rPr>
          <w:sz w:val="20"/>
          <w:szCs w:val="20"/>
        </w:rPr>
        <w:t>ongoing</w:t>
      </w:r>
      <w:proofErr w:type="spellEnd"/>
      <w:r>
        <w:rPr>
          <w:sz w:val="20"/>
          <w:szCs w:val="20"/>
        </w:rPr>
        <w:t xml:space="preserve"> disputes </w:t>
      </w:r>
      <w:proofErr w:type="spellStart"/>
      <w:r>
        <w:rPr>
          <w:sz w:val="20"/>
          <w:szCs w:val="20"/>
        </w:rPr>
        <w:t>and</w:t>
      </w:r>
      <w:proofErr w:type="spellEnd"/>
      <w:r>
        <w:rPr>
          <w:sz w:val="20"/>
          <w:szCs w:val="20"/>
        </w:rPr>
        <w:t xml:space="preserve"> </w:t>
      </w:r>
      <w:proofErr w:type="spellStart"/>
      <w:r>
        <w:rPr>
          <w:sz w:val="20"/>
          <w:szCs w:val="20"/>
        </w:rPr>
        <w:t>contradictions</w:t>
      </w:r>
      <w:proofErr w:type="spellEnd"/>
      <w:r>
        <w:rPr>
          <w:sz w:val="20"/>
          <w:szCs w:val="20"/>
        </w:rPr>
        <w:t xml:space="preserve"> </w:t>
      </w:r>
      <w:proofErr w:type="spellStart"/>
      <w:r>
        <w:rPr>
          <w:sz w:val="20"/>
          <w:szCs w:val="20"/>
        </w:rPr>
        <w:t>within</w:t>
      </w:r>
      <w:proofErr w:type="spellEnd"/>
      <w:r>
        <w:rPr>
          <w:sz w:val="20"/>
          <w:szCs w:val="20"/>
        </w:rPr>
        <w:t xml:space="preserve"> </w:t>
      </w:r>
      <w:proofErr w:type="spellStart"/>
      <w:r>
        <w:rPr>
          <w:sz w:val="20"/>
          <w:szCs w:val="20"/>
        </w:rPr>
        <w:t>the</w:t>
      </w:r>
      <w:proofErr w:type="spellEnd"/>
      <w:r>
        <w:rPr>
          <w:sz w:val="20"/>
          <w:szCs w:val="20"/>
        </w:rPr>
        <w:t xml:space="preserve"> framework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New Fiscal Regime </w:t>
      </w:r>
      <w:proofErr w:type="spellStart"/>
      <w:r>
        <w:rPr>
          <w:sz w:val="20"/>
          <w:szCs w:val="20"/>
        </w:rPr>
        <w:t>significantly</w:t>
      </w:r>
      <w:proofErr w:type="spellEnd"/>
      <w:r>
        <w:rPr>
          <w:sz w:val="20"/>
          <w:szCs w:val="20"/>
        </w:rPr>
        <w:t xml:space="preserve"> </w:t>
      </w:r>
      <w:proofErr w:type="spellStart"/>
      <w:r>
        <w:rPr>
          <w:sz w:val="20"/>
          <w:szCs w:val="20"/>
        </w:rPr>
        <w:t>constrain</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expansion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public</w:t>
      </w:r>
      <w:proofErr w:type="spellEnd"/>
      <w:r>
        <w:rPr>
          <w:sz w:val="20"/>
          <w:szCs w:val="20"/>
        </w:rPr>
        <w:t xml:space="preserve"> budget. </w:t>
      </w:r>
      <w:proofErr w:type="spellStart"/>
      <w:r>
        <w:rPr>
          <w:sz w:val="20"/>
          <w:szCs w:val="20"/>
        </w:rPr>
        <w:t>These</w:t>
      </w:r>
      <w:proofErr w:type="spellEnd"/>
      <w:r>
        <w:rPr>
          <w:sz w:val="20"/>
          <w:szCs w:val="20"/>
        </w:rPr>
        <w:t xml:space="preserve"> fiscal </w:t>
      </w:r>
      <w:proofErr w:type="spellStart"/>
      <w:r>
        <w:rPr>
          <w:sz w:val="20"/>
          <w:szCs w:val="20"/>
        </w:rPr>
        <w:t>limitations</w:t>
      </w:r>
      <w:proofErr w:type="spellEnd"/>
      <w:r>
        <w:rPr>
          <w:sz w:val="20"/>
          <w:szCs w:val="20"/>
        </w:rPr>
        <w:t xml:space="preserve"> </w:t>
      </w:r>
      <w:proofErr w:type="spellStart"/>
      <w:r>
        <w:rPr>
          <w:sz w:val="20"/>
          <w:szCs w:val="20"/>
        </w:rPr>
        <w:t>directly</w:t>
      </w:r>
      <w:proofErr w:type="spellEnd"/>
      <w:r>
        <w:rPr>
          <w:sz w:val="20"/>
          <w:szCs w:val="20"/>
        </w:rPr>
        <w:t xml:space="preserve"> </w:t>
      </w:r>
      <w:proofErr w:type="spellStart"/>
      <w:r>
        <w:rPr>
          <w:sz w:val="20"/>
          <w:szCs w:val="20"/>
        </w:rPr>
        <w:t>affect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government’s</w:t>
      </w:r>
      <w:proofErr w:type="spellEnd"/>
      <w:r>
        <w:rPr>
          <w:sz w:val="20"/>
          <w:szCs w:val="20"/>
        </w:rPr>
        <w:t xml:space="preserve"> </w:t>
      </w:r>
      <w:proofErr w:type="spellStart"/>
      <w:r>
        <w:rPr>
          <w:sz w:val="20"/>
          <w:szCs w:val="20"/>
        </w:rPr>
        <w:t>ability</w:t>
      </w:r>
      <w:proofErr w:type="spellEnd"/>
      <w:r>
        <w:rPr>
          <w:sz w:val="20"/>
          <w:szCs w:val="20"/>
        </w:rPr>
        <w:t xml:space="preserve"> </w:t>
      </w:r>
      <w:proofErr w:type="spellStart"/>
      <w:r>
        <w:rPr>
          <w:sz w:val="20"/>
          <w:szCs w:val="20"/>
        </w:rPr>
        <w:t>to</w:t>
      </w:r>
      <w:proofErr w:type="spellEnd"/>
      <w:r>
        <w:rPr>
          <w:sz w:val="20"/>
          <w:szCs w:val="20"/>
        </w:rPr>
        <w:t xml:space="preserve"> define </w:t>
      </w:r>
      <w:proofErr w:type="spellStart"/>
      <w:r>
        <w:rPr>
          <w:sz w:val="20"/>
          <w:szCs w:val="20"/>
        </w:rPr>
        <w:t>priorities</w:t>
      </w:r>
      <w:proofErr w:type="spellEnd"/>
      <w:r>
        <w:rPr>
          <w:sz w:val="20"/>
          <w:szCs w:val="20"/>
        </w:rPr>
        <w:t xml:space="preserve">, </w:t>
      </w:r>
      <w:proofErr w:type="spellStart"/>
      <w:r>
        <w:rPr>
          <w:sz w:val="20"/>
          <w:szCs w:val="20"/>
        </w:rPr>
        <w:t>particularly</w:t>
      </w:r>
      <w:proofErr w:type="spellEnd"/>
      <w:r>
        <w:rPr>
          <w:sz w:val="20"/>
          <w:szCs w:val="20"/>
        </w:rPr>
        <w:t xml:space="preserve"> </w:t>
      </w:r>
      <w:proofErr w:type="spellStart"/>
      <w:r>
        <w:rPr>
          <w:sz w:val="20"/>
          <w:szCs w:val="20"/>
        </w:rPr>
        <w:t>regarding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consolidation</w:t>
      </w:r>
      <w:proofErr w:type="spellEnd"/>
      <w:r>
        <w:rPr>
          <w:sz w:val="20"/>
          <w:szCs w:val="20"/>
        </w:rPr>
        <w:t xml:space="preserve"> </w:t>
      </w:r>
      <w:proofErr w:type="spellStart"/>
      <w:r>
        <w:rPr>
          <w:sz w:val="20"/>
          <w:szCs w:val="20"/>
        </w:rPr>
        <w:t>of</w:t>
      </w:r>
      <w:proofErr w:type="spellEnd"/>
      <w:r>
        <w:rPr>
          <w:sz w:val="20"/>
          <w:szCs w:val="20"/>
        </w:rPr>
        <w:t xml:space="preserve"> Primary </w:t>
      </w:r>
      <w:proofErr w:type="spellStart"/>
      <w:r>
        <w:rPr>
          <w:sz w:val="20"/>
          <w:szCs w:val="20"/>
        </w:rPr>
        <w:t>and</w:t>
      </w:r>
      <w:proofErr w:type="spellEnd"/>
      <w:r>
        <w:rPr>
          <w:sz w:val="20"/>
          <w:szCs w:val="20"/>
        </w:rPr>
        <w:t xml:space="preserve"> </w:t>
      </w:r>
      <w:proofErr w:type="spellStart"/>
      <w:r>
        <w:rPr>
          <w:sz w:val="20"/>
          <w:szCs w:val="20"/>
        </w:rPr>
        <w:t>Specialized</w:t>
      </w:r>
      <w:proofErr w:type="spellEnd"/>
      <w:r>
        <w:rPr>
          <w:sz w:val="20"/>
          <w:szCs w:val="20"/>
        </w:rPr>
        <w:t xml:space="preserve"> </w:t>
      </w:r>
      <w:proofErr w:type="spellStart"/>
      <w:r>
        <w:rPr>
          <w:sz w:val="20"/>
          <w:szCs w:val="20"/>
        </w:rPr>
        <w:t>Care</w:t>
      </w:r>
      <w:proofErr w:type="spellEnd"/>
      <w:r>
        <w:rPr>
          <w:sz w:val="20"/>
          <w:szCs w:val="20"/>
        </w:rPr>
        <w:t xml:space="preserve"> </w:t>
      </w:r>
      <w:proofErr w:type="spellStart"/>
      <w:r>
        <w:rPr>
          <w:sz w:val="20"/>
          <w:szCs w:val="20"/>
        </w:rPr>
        <w:t>within</w:t>
      </w:r>
      <w:proofErr w:type="spellEnd"/>
      <w:r>
        <w:rPr>
          <w:sz w:val="20"/>
          <w:szCs w:val="20"/>
        </w:rPr>
        <w:t xml:space="preserve"> </w:t>
      </w:r>
      <w:proofErr w:type="spellStart"/>
      <w:r>
        <w:rPr>
          <w:sz w:val="20"/>
          <w:szCs w:val="20"/>
        </w:rPr>
        <w:t>Brazil’s</w:t>
      </w:r>
      <w:proofErr w:type="spellEnd"/>
      <w:r>
        <w:rPr>
          <w:sz w:val="20"/>
          <w:szCs w:val="20"/>
        </w:rPr>
        <w:t xml:space="preserve"> </w:t>
      </w:r>
      <w:proofErr w:type="spellStart"/>
      <w:r>
        <w:rPr>
          <w:sz w:val="20"/>
          <w:szCs w:val="20"/>
        </w:rPr>
        <w:t>Unified</w:t>
      </w:r>
      <w:proofErr w:type="spellEnd"/>
      <w:r>
        <w:rPr>
          <w:sz w:val="20"/>
          <w:szCs w:val="20"/>
        </w:rPr>
        <w:t xml:space="preserve"> Health System (SUS).</w:t>
      </w:r>
    </w:p>
    <w:p w14:paraId="32634B23" w14:textId="072ADE26" w:rsidR="00631E1E" w:rsidRDefault="00000000" w:rsidP="004F7E60">
      <w:pPr>
        <w:spacing w:line="240" w:lineRule="auto"/>
        <w:ind w:leftChars="1030" w:left="2268" w:hanging="2"/>
        <w:jc w:val="both"/>
        <w:rPr>
          <w:sz w:val="20"/>
          <w:szCs w:val="20"/>
        </w:rPr>
      </w:pPr>
      <w:proofErr w:type="spellStart"/>
      <w:r>
        <w:rPr>
          <w:b/>
          <w:sz w:val="20"/>
          <w:szCs w:val="20"/>
        </w:rPr>
        <w:t>Keywords</w:t>
      </w:r>
      <w:r>
        <w:rPr>
          <w:sz w:val="20"/>
          <w:szCs w:val="20"/>
        </w:rPr>
        <w:t>:</w:t>
      </w:r>
      <w:r>
        <w:rPr>
          <w:b/>
          <w:sz w:val="20"/>
          <w:szCs w:val="20"/>
        </w:rPr>
        <w:t>Keywords</w:t>
      </w:r>
      <w:proofErr w:type="spellEnd"/>
      <w:r>
        <w:rPr>
          <w:b/>
          <w:sz w:val="20"/>
          <w:szCs w:val="20"/>
        </w:rPr>
        <w:t>:</w:t>
      </w:r>
      <w:r>
        <w:rPr>
          <w:sz w:val="20"/>
          <w:szCs w:val="20"/>
        </w:rPr>
        <w:t xml:space="preserve"> </w:t>
      </w:r>
      <w:proofErr w:type="spellStart"/>
      <w:r>
        <w:rPr>
          <w:sz w:val="20"/>
          <w:szCs w:val="20"/>
        </w:rPr>
        <w:t>Imperialism</w:t>
      </w:r>
      <w:proofErr w:type="spellEnd"/>
      <w:r>
        <w:rPr>
          <w:sz w:val="20"/>
          <w:szCs w:val="20"/>
        </w:rPr>
        <w:t xml:space="preserve">; </w:t>
      </w:r>
      <w:proofErr w:type="spellStart"/>
      <w:r>
        <w:rPr>
          <w:sz w:val="20"/>
          <w:szCs w:val="20"/>
        </w:rPr>
        <w:t>Public</w:t>
      </w:r>
      <w:proofErr w:type="spellEnd"/>
      <w:r>
        <w:rPr>
          <w:sz w:val="20"/>
          <w:szCs w:val="20"/>
        </w:rPr>
        <w:t xml:space="preserve"> Budget;</w:t>
      </w:r>
      <w:r w:rsidR="00A972DB">
        <w:rPr>
          <w:sz w:val="20"/>
          <w:szCs w:val="20"/>
        </w:rPr>
        <w:t xml:space="preserve"> H</w:t>
      </w:r>
      <w:r w:rsidR="00A972DB" w:rsidRPr="00A972DB">
        <w:rPr>
          <w:sz w:val="20"/>
          <w:szCs w:val="20"/>
        </w:rPr>
        <w:t xml:space="preserve">ealth </w:t>
      </w:r>
      <w:proofErr w:type="spellStart"/>
      <w:r w:rsidR="00A972DB">
        <w:rPr>
          <w:sz w:val="20"/>
          <w:szCs w:val="20"/>
        </w:rPr>
        <w:t>P</w:t>
      </w:r>
      <w:r w:rsidR="00A972DB" w:rsidRPr="00A972DB">
        <w:rPr>
          <w:sz w:val="20"/>
          <w:szCs w:val="20"/>
        </w:rPr>
        <w:t>olicy</w:t>
      </w:r>
      <w:proofErr w:type="spellEnd"/>
      <w:r w:rsidR="00A972DB">
        <w:rPr>
          <w:sz w:val="20"/>
          <w:szCs w:val="20"/>
        </w:rPr>
        <w:t>.</w:t>
      </w:r>
    </w:p>
    <w:p w14:paraId="264659BB" w14:textId="77777777" w:rsidR="00631E1E" w:rsidRDefault="00631E1E">
      <w:pPr>
        <w:spacing w:line="240" w:lineRule="auto"/>
        <w:ind w:left="0" w:hanging="2"/>
        <w:jc w:val="both"/>
        <w:rPr>
          <w:b/>
          <w:sz w:val="24"/>
          <w:szCs w:val="24"/>
        </w:rPr>
      </w:pPr>
    </w:p>
    <w:p w14:paraId="73ED1081" w14:textId="77777777" w:rsidR="00631E1E" w:rsidRDefault="00631E1E">
      <w:pPr>
        <w:spacing w:line="240" w:lineRule="auto"/>
        <w:ind w:left="0" w:hanging="2"/>
        <w:jc w:val="both"/>
        <w:rPr>
          <w:b/>
          <w:sz w:val="24"/>
          <w:szCs w:val="24"/>
        </w:rPr>
      </w:pPr>
    </w:p>
    <w:p w14:paraId="689F2031" w14:textId="77777777" w:rsidR="00631E1E" w:rsidRDefault="00000000">
      <w:pPr>
        <w:spacing w:line="240" w:lineRule="auto"/>
        <w:ind w:left="0" w:hanging="2"/>
        <w:jc w:val="both"/>
        <w:rPr>
          <w:color w:val="0000FF"/>
          <w:sz w:val="24"/>
          <w:szCs w:val="24"/>
        </w:rPr>
      </w:pPr>
      <w:r>
        <w:rPr>
          <w:b/>
          <w:sz w:val="24"/>
          <w:szCs w:val="24"/>
        </w:rPr>
        <w:t>1 INTRODUÇÃO</w:t>
      </w:r>
    </w:p>
    <w:p w14:paraId="3BA2F767" w14:textId="77777777" w:rsidR="00631E1E" w:rsidRDefault="00631E1E">
      <w:pPr>
        <w:spacing w:line="240" w:lineRule="auto"/>
        <w:ind w:left="0" w:hanging="2"/>
        <w:jc w:val="both"/>
        <w:rPr>
          <w:sz w:val="24"/>
          <w:szCs w:val="24"/>
        </w:rPr>
      </w:pPr>
    </w:p>
    <w:p w14:paraId="75FA1111" w14:textId="670E3927" w:rsidR="00631E1E" w:rsidRDefault="00000000">
      <w:pPr>
        <w:spacing w:line="360" w:lineRule="auto"/>
        <w:ind w:left="0" w:hanging="2"/>
        <w:jc w:val="both"/>
        <w:rPr>
          <w:sz w:val="24"/>
          <w:szCs w:val="24"/>
        </w:rPr>
      </w:pPr>
      <w:r>
        <w:rPr>
          <w:sz w:val="24"/>
          <w:szCs w:val="24"/>
        </w:rPr>
        <w:tab/>
      </w:r>
      <w:r w:rsidR="004F7E60">
        <w:rPr>
          <w:sz w:val="24"/>
          <w:szCs w:val="24"/>
        </w:rPr>
        <w:tab/>
      </w:r>
      <w:r>
        <w:rPr>
          <w:sz w:val="24"/>
          <w:szCs w:val="24"/>
        </w:rPr>
        <w:t xml:space="preserve">Parte-se do pressuposto de que a política de saúde no Brasil, enquanto parte da seguridade social, enfrenta um persistente subfinanciamento que compromete sua efetivação. Embora a Constituição Federal de 1988 e o arcabouço jurídico do Sistema Único de Saúde (SUS), representam significativos avanços nos direitos sociais, não se traduzem em ganhos efetivos para a classe trabalhadora. </w:t>
      </w:r>
    </w:p>
    <w:p w14:paraId="156DB389" w14:textId="77777777" w:rsidR="00631E1E" w:rsidRDefault="00000000" w:rsidP="004F7E60">
      <w:pPr>
        <w:spacing w:line="360" w:lineRule="auto"/>
        <w:ind w:leftChars="0" w:left="0" w:firstLineChars="0" w:firstLine="720"/>
        <w:jc w:val="both"/>
        <w:rPr>
          <w:sz w:val="24"/>
          <w:szCs w:val="24"/>
        </w:rPr>
      </w:pPr>
      <w:r>
        <w:rPr>
          <w:sz w:val="24"/>
          <w:szCs w:val="24"/>
        </w:rPr>
        <w:t>Esse cenário se insere na lógica estrutural do imperialismo e do capitalismo dependente, marcada por relações desiguais e subordinadas entre países centrais e periféricos. Essa dinâmica se agrava com a crise estrutural do capital (Mészáros, 2011), impõe limites e direciona os gastos públicos em políticas sociais, enquanto mantém intocável o compromisso com o pagamento dos serviços da dívida pública.</w:t>
      </w:r>
    </w:p>
    <w:p w14:paraId="2C8D5A13" w14:textId="5A652A45" w:rsidR="00631E1E" w:rsidRDefault="00000000" w:rsidP="001C0CCA">
      <w:pPr>
        <w:spacing w:line="360" w:lineRule="auto"/>
        <w:ind w:leftChars="0" w:left="0" w:firstLineChars="0" w:firstLine="720"/>
        <w:jc w:val="both"/>
        <w:rPr>
          <w:strike/>
          <w:sz w:val="24"/>
          <w:szCs w:val="24"/>
        </w:rPr>
      </w:pPr>
      <w:r>
        <w:rPr>
          <w:sz w:val="24"/>
          <w:szCs w:val="24"/>
        </w:rPr>
        <w:t>Nessa seara, este artigo objetiva analisar as prioridades governamentais e gastos públicos direcionados para a Atenção Primária e a Atenção Especializada do</w:t>
      </w:r>
      <w:r w:rsidR="00DD4C63">
        <w:rPr>
          <w:sz w:val="24"/>
          <w:szCs w:val="24"/>
        </w:rPr>
        <w:t xml:space="preserve"> </w:t>
      </w:r>
      <w:r>
        <w:rPr>
          <w:sz w:val="24"/>
          <w:szCs w:val="24"/>
        </w:rPr>
        <w:t xml:space="preserve">SUS. Problematiza resultados parciais da pesquisa intitulada “As Tendências de Alocação do Fundo Público no Orçamento e Financiamento da Política de Saúde no Governo Lula (2023-2026)”.  </w:t>
      </w:r>
    </w:p>
    <w:p w14:paraId="45C5536F" w14:textId="3D2C2FAD" w:rsidR="00631E1E" w:rsidRDefault="00000000" w:rsidP="004F7E60">
      <w:pPr>
        <w:spacing w:line="360" w:lineRule="auto"/>
        <w:ind w:leftChars="0" w:left="0" w:firstLineChars="0" w:firstLine="720"/>
        <w:jc w:val="both"/>
        <w:rPr>
          <w:color w:val="0000FF"/>
          <w:sz w:val="24"/>
          <w:szCs w:val="24"/>
        </w:rPr>
      </w:pPr>
      <w:r>
        <w:rPr>
          <w:sz w:val="24"/>
          <w:szCs w:val="24"/>
        </w:rPr>
        <w:lastRenderedPageBreak/>
        <w:t>A investigação fundamenta-se no método crítico dialético e abarca um estudo de enfoque misto</w:t>
      </w:r>
      <w:r w:rsidR="00AF4845">
        <w:rPr>
          <w:sz w:val="24"/>
          <w:szCs w:val="24"/>
        </w:rPr>
        <w:t xml:space="preserve"> </w:t>
      </w:r>
      <w:r>
        <w:rPr>
          <w:sz w:val="24"/>
          <w:szCs w:val="24"/>
        </w:rPr>
        <w:t>articulando dados qualitativos e quantitativos. A revisão de literatura apoia-se em autores/as como: Brettas (2020), Fernandes (1973), Lênin (2021), Mendes e Carnut (2020), Netto (2012) e Salvador (2010). Na pesquisa documental, foram analisados o Plano Plurianual (PPA) da União (2024-2027) e a Resolução da 17ª Conferência Nacional de Saúde (2023), além dos dados do SIGA Brasil.</w:t>
      </w:r>
      <w:r>
        <w:rPr>
          <w:color w:val="0000FF"/>
          <w:sz w:val="24"/>
          <w:szCs w:val="24"/>
        </w:rPr>
        <w:t xml:space="preserve"> </w:t>
      </w:r>
    </w:p>
    <w:p w14:paraId="3E1E9C92" w14:textId="77777777" w:rsidR="00631E1E" w:rsidRDefault="00000000" w:rsidP="004F7E60">
      <w:pPr>
        <w:spacing w:line="360" w:lineRule="auto"/>
        <w:ind w:leftChars="0" w:left="0" w:firstLineChars="0" w:firstLine="720"/>
        <w:jc w:val="both"/>
        <w:rPr>
          <w:sz w:val="24"/>
          <w:szCs w:val="24"/>
        </w:rPr>
      </w:pPr>
      <w:r>
        <w:rPr>
          <w:sz w:val="24"/>
          <w:szCs w:val="24"/>
        </w:rPr>
        <w:t>Este trabalho se estrutura em 04 partes: a introdução; a problematização sobre o imperialismo, capitalismo dependente e neoliberalismo, enquanto expressão do projeto de dominação burguesa e resposta estratégica à crise do capital; a análise dos resultados e desempenho orçamentário da Atenção Primária e na Atenção Especializada do SUS e, por fim, as considerações finais, com reflexões e proposições.</w:t>
      </w:r>
    </w:p>
    <w:p w14:paraId="37695F50" w14:textId="77777777" w:rsidR="00631E1E" w:rsidRDefault="00631E1E">
      <w:pPr>
        <w:spacing w:line="360" w:lineRule="auto"/>
        <w:ind w:left="0" w:hanging="2"/>
        <w:jc w:val="both"/>
        <w:rPr>
          <w:sz w:val="24"/>
          <w:szCs w:val="24"/>
        </w:rPr>
      </w:pPr>
    </w:p>
    <w:p w14:paraId="607A4478" w14:textId="77777777" w:rsidR="00631E1E" w:rsidRDefault="00000000">
      <w:pPr>
        <w:spacing w:line="360" w:lineRule="auto"/>
        <w:ind w:left="0" w:hanging="2"/>
        <w:jc w:val="both"/>
        <w:rPr>
          <w:b/>
          <w:sz w:val="24"/>
          <w:szCs w:val="24"/>
        </w:rPr>
      </w:pPr>
      <w:r>
        <w:rPr>
          <w:b/>
          <w:sz w:val="24"/>
          <w:szCs w:val="24"/>
        </w:rPr>
        <w:t xml:space="preserve">2 IMPERIALISMO, CAPITALISMO DEPENDENTE E NEOLIBERALISMO: AS TEIAS DA DOMINAÇÃO E DEPENDÊNCIA BURGUESA </w:t>
      </w:r>
    </w:p>
    <w:p w14:paraId="4DA1A994" w14:textId="77777777" w:rsidR="00631E1E" w:rsidRDefault="00631E1E">
      <w:pPr>
        <w:spacing w:line="360" w:lineRule="auto"/>
        <w:ind w:left="0" w:hanging="2"/>
        <w:jc w:val="both"/>
        <w:rPr>
          <w:b/>
          <w:color w:val="0000FF"/>
          <w:sz w:val="24"/>
          <w:szCs w:val="24"/>
        </w:rPr>
      </w:pPr>
    </w:p>
    <w:p w14:paraId="4DF36184" w14:textId="77777777" w:rsidR="00631E1E" w:rsidRDefault="00000000" w:rsidP="004F7E60">
      <w:pPr>
        <w:spacing w:line="360" w:lineRule="auto"/>
        <w:ind w:leftChars="0" w:left="0" w:firstLineChars="0" w:firstLine="720"/>
        <w:jc w:val="both"/>
        <w:rPr>
          <w:sz w:val="24"/>
          <w:szCs w:val="24"/>
        </w:rPr>
      </w:pPr>
      <w:r>
        <w:rPr>
          <w:sz w:val="24"/>
          <w:szCs w:val="24"/>
        </w:rPr>
        <w:t>Lênin (2021), analisa o imperialismo como um estágio superior do capitalismo, caracterizado pela concentração da produção e do capital, o domínio dos monopólios, fusão entre capital industrial- originando o capital financeiro; a exportação do capital e a ampliação das zonas imperialistas, partilha do mundo entre grandes potências mundiais e sua tendência à estagnação e a decomposição.</w:t>
      </w:r>
    </w:p>
    <w:p w14:paraId="0CF0DB20" w14:textId="77777777" w:rsidR="00631E1E" w:rsidRDefault="00000000" w:rsidP="004F7E60">
      <w:pPr>
        <w:spacing w:line="360" w:lineRule="auto"/>
        <w:ind w:leftChars="0" w:left="0" w:firstLineChars="0" w:firstLine="720"/>
        <w:jc w:val="both"/>
        <w:rPr>
          <w:sz w:val="24"/>
          <w:szCs w:val="24"/>
        </w:rPr>
      </w:pPr>
      <w:r>
        <w:rPr>
          <w:sz w:val="24"/>
          <w:szCs w:val="24"/>
        </w:rPr>
        <w:t>Nesse contexto, ocorre a divisão entre países colônias e os colonizados, mas também entre países dependentes, embora formalmente e politicamente sejam independentes, permanecem subordinados por vínculos de dependência financeira e diplomática (Lênin, 2021). Essa condição determina a relação de subordinação, na qual as relações de produção das nações dependentes são reconfiguradas para garantir a reprodução ampliada da dependência (Marini, 2005).</w:t>
      </w:r>
    </w:p>
    <w:p w14:paraId="0F1309C2" w14:textId="3284CD0E" w:rsidR="00631E1E" w:rsidRDefault="00000000" w:rsidP="004F7E60">
      <w:pPr>
        <w:spacing w:line="360" w:lineRule="auto"/>
        <w:ind w:leftChars="0" w:left="0" w:firstLineChars="0" w:firstLine="720"/>
        <w:jc w:val="both"/>
        <w:rPr>
          <w:sz w:val="24"/>
          <w:szCs w:val="24"/>
        </w:rPr>
      </w:pPr>
      <w:r>
        <w:rPr>
          <w:sz w:val="24"/>
          <w:szCs w:val="24"/>
        </w:rPr>
        <w:t>Fernandes (1973), aponta que o capitalismo maduro internacional gera dois frutos centrais: imperialismo econômico e o capitalismo dependente, este</w:t>
      </w:r>
      <w:r w:rsidR="004F7E60">
        <w:rPr>
          <w:sz w:val="24"/>
          <w:szCs w:val="24"/>
        </w:rPr>
        <w:t xml:space="preserve"> </w:t>
      </w:r>
      <w:r>
        <w:rPr>
          <w:sz w:val="24"/>
          <w:szCs w:val="24"/>
        </w:rPr>
        <w:t xml:space="preserve">último, </w:t>
      </w:r>
      <w:r>
        <w:rPr>
          <w:sz w:val="24"/>
          <w:szCs w:val="24"/>
        </w:rPr>
        <w:lastRenderedPageBreak/>
        <w:t>consolidado na América Latina. Esse modelo combina elementos modernos e arcaicos, gerando atraso econômico e subdesenvolvimento social, cultural e político, ao promover simultaneamente a “</w:t>
      </w:r>
      <w:proofErr w:type="spellStart"/>
      <w:r>
        <w:rPr>
          <w:sz w:val="24"/>
          <w:szCs w:val="24"/>
        </w:rPr>
        <w:t>arcaização</w:t>
      </w:r>
      <w:proofErr w:type="spellEnd"/>
      <w:r>
        <w:rPr>
          <w:sz w:val="24"/>
          <w:szCs w:val="24"/>
        </w:rPr>
        <w:t xml:space="preserve"> do moderno” e a “modernização do arcaico”, sem romper com as estruturas tradicionais (Fernandes, 1973).</w:t>
      </w:r>
    </w:p>
    <w:p w14:paraId="686A149E" w14:textId="4D393171" w:rsidR="00631E1E" w:rsidRDefault="00000000">
      <w:pPr>
        <w:spacing w:line="360" w:lineRule="auto"/>
        <w:ind w:left="0" w:hanging="2"/>
        <w:jc w:val="both"/>
        <w:rPr>
          <w:sz w:val="24"/>
          <w:szCs w:val="24"/>
        </w:rPr>
      </w:pPr>
      <w:r>
        <w:rPr>
          <w:sz w:val="24"/>
          <w:szCs w:val="24"/>
        </w:rPr>
        <w:tab/>
      </w:r>
      <w:r w:rsidR="004F7E60">
        <w:rPr>
          <w:sz w:val="24"/>
          <w:szCs w:val="24"/>
        </w:rPr>
        <w:tab/>
      </w:r>
      <w:r>
        <w:rPr>
          <w:sz w:val="24"/>
          <w:szCs w:val="24"/>
        </w:rPr>
        <w:t>Os estudos de Marini (2005), evidenciam que a integração da América Latina na economia mundial, favoreceu a acumulação do capital nos países centrais, por meio da oferta de matérias primas e alimentos. Contudo, essa dinâmica impediu o desenvolvimento autônomo da região, consolidando a relação de dependência, marcada pela</w:t>
      </w:r>
      <w:r w:rsidR="004F7E60">
        <w:rPr>
          <w:sz w:val="24"/>
          <w:szCs w:val="24"/>
        </w:rPr>
        <w:t xml:space="preserve"> </w:t>
      </w:r>
      <w:r>
        <w:rPr>
          <w:sz w:val="24"/>
          <w:szCs w:val="24"/>
        </w:rPr>
        <w:t xml:space="preserve">superexploração do trabalho e pela reprodução ampliada da dependência (Marini, 2005). </w:t>
      </w:r>
    </w:p>
    <w:p w14:paraId="48A5D3A1" w14:textId="768C4C0A" w:rsidR="00631E1E" w:rsidRDefault="00000000">
      <w:pPr>
        <w:spacing w:line="360" w:lineRule="auto"/>
        <w:ind w:left="0" w:hanging="2"/>
        <w:jc w:val="both"/>
        <w:rPr>
          <w:sz w:val="24"/>
          <w:szCs w:val="24"/>
          <w:highlight w:val="yellow"/>
        </w:rPr>
      </w:pPr>
      <w:r>
        <w:rPr>
          <w:sz w:val="24"/>
          <w:szCs w:val="24"/>
        </w:rPr>
        <w:tab/>
      </w:r>
      <w:r w:rsidR="00E969C7">
        <w:rPr>
          <w:sz w:val="24"/>
          <w:szCs w:val="24"/>
        </w:rPr>
        <w:tab/>
      </w:r>
      <w:r>
        <w:rPr>
          <w:sz w:val="24"/>
          <w:szCs w:val="24"/>
        </w:rPr>
        <w:t>Brettas (2020), reitera que a dependência precisa ser analisada pelas relações desiguais de produção, onde países periféricos geram riqueza apropriada pelo exterior. Além disso, estruturam seus sistemas produtivos, econômicos, sociais, políticos e culturais, conforme as exigências externas, perpetuando internamente uma dinâmica de desigualdades (Brettas, 2020).</w:t>
      </w:r>
    </w:p>
    <w:p w14:paraId="1CB4A65A" w14:textId="18861377" w:rsidR="00631E1E" w:rsidRDefault="00000000">
      <w:pPr>
        <w:spacing w:line="360" w:lineRule="auto"/>
        <w:ind w:left="0" w:hanging="2"/>
        <w:jc w:val="both"/>
        <w:rPr>
          <w:strike/>
          <w:sz w:val="24"/>
          <w:szCs w:val="24"/>
        </w:rPr>
      </w:pPr>
      <w:r>
        <w:rPr>
          <w:sz w:val="24"/>
          <w:szCs w:val="24"/>
        </w:rPr>
        <w:tab/>
      </w:r>
      <w:r w:rsidR="00E969C7">
        <w:rPr>
          <w:sz w:val="24"/>
          <w:szCs w:val="24"/>
        </w:rPr>
        <w:tab/>
      </w:r>
      <w:r>
        <w:rPr>
          <w:sz w:val="24"/>
          <w:szCs w:val="24"/>
        </w:rPr>
        <w:t>Assim, o Estado atua atendendo tanto os interesses das classes dominantes dos países centrais, quanto às necessidades das elites</w:t>
      </w:r>
      <w:r w:rsidR="00E969C7">
        <w:rPr>
          <w:sz w:val="24"/>
          <w:szCs w:val="24"/>
        </w:rPr>
        <w:t xml:space="preserve"> </w:t>
      </w:r>
      <w:r>
        <w:rPr>
          <w:sz w:val="24"/>
          <w:szCs w:val="24"/>
        </w:rPr>
        <w:t>locais, numa relação contraditória de subordinação (Brettas, 2020). Ele regula o mercado e as relações entre capital e trabalho (Behring, 2018), especialmente, em crises de acumulação, quando aumentam as pressões para recompor a lucratividade do capital.</w:t>
      </w:r>
    </w:p>
    <w:p w14:paraId="595E7C85" w14:textId="77777777" w:rsidR="00631E1E" w:rsidRDefault="00000000" w:rsidP="00E969C7">
      <w:pPr>
        <w:spacing w:line="360" w:lineRule="auto"/>
        <w:ind w:leftChars="0" w:left="0" w:firstLineChars="0" w:firstLine="720"/>
        <w:jc w:val="both"/>
        <w:rPr>
          <w:sz w:val="24"/>
          <w:szCs w:val="24"/>
        </w:rPr>
      </w:pPr>
      <w:r>
        <w:rPr>
          <w:sz w:val="24"/>
          <w:szCs w:val="24"/>
        </w:rPr>
        <w:t>Nesse cenário, a financeirização surge como estratégia principal do projeto burguês, consolidando-se nos marcos do neoliberalismo, voltada para a recomposição da rentabilidade do capital (Brettas, 2020). É sustentada principalmente por investimentos financeiros, apropriação do fundo público e privatizações, impulsionada por uma série de medidas e ajustes estruturais vinculados às finanças e a reconfiguração do papel do Estado.</w:t>
      </w:r>
    </w:p>
    <w:p w14:paraId="18DBF281" w14:textId="6A33A7F9" w:rsidR="00631E1E" w:rsidRDefault="00000000" w:rsidP="00E969C7">
      <w:pPr>
        <w:spacing w:line="360" w:lineRule="auto"/>
        <w:ind w:leftChars="0" w:left="0" w:firstLineChars="0" w:firstLine="720"/>
        <w:jc w:val="both"/>
        <w:rPr>
          <w:sz w:val="24"/>
          <w:szCs w:val="24"/>
          <w:highlight w:val="white"/>
        </w:rPr>
      </w:pPr>
      <w:r>
        <w:rPr>
          <w:sz w:val="24"/>
          <w:szCs w:val="24"/>
        </w:rPr>
        <w:t xml:space="preserve">Desde os anos de 1990 no Brasil, as conquistas sociais se afirmam no plano legal, ao mesmo tempo em que ocorre a retração do Estado e o subfinanciamento das políticas sociais, alinhados ao ajuste fiscal e aos interesses do capital. O Estado se </w:t>
      </w:r>
      <w:r>
        <w:rPr>
          <w:sz w:val="24"/>
          <w:szCs w:val="24"/>
        </w:rPr>
        <w:lastRenderedPageBreak/>
        <w:t>reconfigura para dar sustentação ao capital financeiro via fundo público, aprofundando o desmonte das políticas sociais. Nesse contexto, os direitos são ameaçados, por mudanças</w:t>
      </w:r>
      <w:r>
        <w:rPr>
          <w:sz w:val="24"/>
          <w:szCs w:val="24"/>
          <w:highlight w:val="white"/>
        </w:rPr>
        <w:t xml:space="preserve"> legislativas e orçamentárias promovidas sob o pretexto de modernização e reorganização das contas públicas (Brettas, 2020).</w:t>
      </w:r>
    </w:p>
    <w:p w14:paraId="48F2FFD3" w14:textId="3074CAFD" w:rsidR="00631E1E" w:rsidRDefault="00000000" w:rsidP="00E969C7">
      <w:pPr>
        <w:spacing w:line="360" w:lineRule="auto"/>
        <w:ind w:leftChars="0" w:left="0" w:firstLineChars="0" w:firstLine="720"/>
        <w:jc w:val="both"/>
        <w:rPr>
          <w:strike/>
          <w:sz w:val="24"/>
          <w:szCs w:val="24"/>
        </w:rPr>
      </w:pPr>
      <w:r>
        <w:rPr>
          <w:sz w:val="24"/>
          <w:szCs w:val="24"/>
        </w:rPr>
        <w:t>Brettas (2020), assevera que o capital financeiro no Brasil possui características específicas, distintas dos países centrais. O mercado de capitais dos anos 1960 foi incapaz de sustentar as finanças e as privatizações dos 1990 não</w:t>
      </w:r>
      <w:r w:rsidR="00E969C7">
        <w:rPr>
          <w:sz w:val="24"/>
          <w:szCs w:val="24"/>
        </w:rPr>
        <w:t xml:space="preserve"> </w:t>
      </w:r>
      <w:r>
        <w:rPr>
          <w:sz w:val="24"/>
          <w:szCs w:val="24"/>
        </w:rPr>
        <w:t>consolidaram o capital financeiro. Seu avanço ocorreu com a atuação do Banco Nacional de Desenvolvimento Econômico e Social (BNDES), especialmente em 2008 e 2013, por meio da união entre instituições financeiras e industriais, classificada por Brettas (2020), uma visão não clássica do capital financeiro.</w:t>
      </w:r>
    </w:p>
    <w:p w14:paraId="339D53CC" w14:textId="0BD057B3" w:rsidR="00631E1E" w:rsidRPr="00AF4845" w:rsidRDefault="00000000" w:rsidP="00AF4845">
      <w:pPr>
        <w:spacing w:line="360" w:lineRule="auto"/>
        <w:ind w:leftChars="0" w:left="0" w:firstLineChars="0" w:firstLine="720"/>
        <w:jc w:val="both"/>
        <w:rPr>
          <w:sz w:val="24"/>
          <w:szCs w:val="24"/>
          <w:highlight w:val="white"/>
        </w:rPr>
      </w:pPr>
      <w:r>
        <w:rPr>
          <w:sz w:val="24"/>
          <w:szCs w:val="24"/>
        </w:rPr>
        <w:t xml:space="preserve">Sob a hegemonia financeira assentada no tripé </w:t>
      </w:r>
      <w:r>
        <w:rPr>
          <w:i/>
          <w:sz w:val="24"/>
          <w:szCs w:val="24"/>
        </w:rPr>
        <w:t xml:space="preserve">superávit </w:t>
      </w:r>
      <w:r>
        <w:rPr>
          <w:sz w:val="24"/>
          <w:szCs w:val="24"/>
        </w:rPr>
        <w:t xml:space="preserve">primário, câmbio flutuante e metas de inflação, o Brasil como economia dependente, intensifica </w:t>
      </w:r>
      <w:r>
        <w:rPr>
          <w:sz w:val="24"/>
          <w:szCs w:val="24"/>
          <w:highlight w:val="white"/>
        </w:rPr>
        <w:t xml:space="preserve">“sua capacidade de tornar lucrativas as ações privadas na prestação de serviços públicos, apontando caminhos para enfrentar as crises de acumulação e de hegemonia” (Brettas, 2020, p. 233). Assim, a privatização, a austeridade fiscal e cortes orçamentários, tornam-se mecanismos centrais de apropriação do fundo público </w:t>
      </w:r>
      <w:r w:rsidR="00AF4845">
        <w:rPr>
          <w:sz w:val="24"/>
          <w:szCs w:val="24"/>
          <w:highlight w:val="white"/>
        </w:rPr>
        <w:t xml:space="preserve">(Brettas, 2020) </w:t>
      </w:r>
      <w:r>
        <w:rPr>
          <w:sz w:val="24"/>
          <w:szCs w:val="24"/>
          <w:highlight w:val="white"/>
        </w:rPr>
        <w:t>pelo capital</w:t>
      </w:r>
      <w:r w:rsidR="00E969C7">
        <w:rPr>
          <w:sz w:val="24"/>
          <w:szCs w:val="24"/>
          <w:highlight w:val="white"/>
        </w:rPr>
        <w:t>.</w:t>
      </w:r>
      <w:r w:rsidR="00AF4845">
        <w:rPr>
          <w:sz w:val="24"/>
          <w:szCs w:val="24"/>
        </w:rPr>
        <w:t xml:space="preserve"> </w:t>
      </w:r>
      <w:r>
        <w:rPr>
          <w:sz w:val="24"/>
          <w:szCs w:val="24"/>
        </w:rPr>
        <w:t>Salvador (2010) destaca que o orçamento público é um espaço de disputa e luta política, onde se expressam as prioridades governamentais. Esse cenário impacta a política de saúde, pois, sob a lógica do ajuste fiscal, cortes e contingenciamentos impõem severas restrições aos gastos públicos com direitos da seguridade social (Salvador, 2010).</w:t>
      </w:r>
    </w:p>
    <w:p w14:paraId="35A49725" w14:textId="77777777" w:rsidR="00631E1E" w:rsidRDefault="00631E1E">
      <w:pPr>
        <w:spacing w:line="360" w:lineRule="auto"/>
        <w:ind w:left="0" w:hanging="2"/>
        <w:jc w:val="both"/>
        <w:rPr>
          <w:sz w:val="24"/>
          <w:szCs w:val="24"/>
        </w:rPr>
      </w:pPr>
    </w:p>
    <w:p w14:paraId="06473EB6" w14:textId="77777777" w:rsidR="00631E1E" w:rsidRDefault="00000000">
      <w:pPr>
        <w:spacing w:line="360" w:lineRule="auto"/>
        <w:ind w:left="0" w:hanging="2"/>
        <w:jc w:val="both"/>
        <w:rPr>
          <w:b/>
          <w:color w:val="0000FF"/>
          <w:sz w:val="24"/>
          <w:szCs w:val="24"/>
        </w:rPr>
      </w:pPr>
      <w:r>
        <w:rPr>
          <w:b/>
          <w:sz w:val="24"/>
          <w:szCs w:val="24"/>
        </w:rPr>
        <w:t>3 BALANÇO DA POLÍTICA DE SAÚDE: UMA ANÁLISE SOBRE A ATENÇÃO PRIMÁRIA E A ATENÇÃO ESPECIALIZADA NO PERÍODO 2023-2025</w:t>
      </w:r>
    </w:p>
    <w:p w14:paraId="763D7E8A" w14:textId="77777777" w:rsidR="00631E1E" w:rsidRDefault="00631E1E">
      <w:pPr>
        <w:spacing w:line="360" w:lineRule="auto"/>
        <w:ind w:left="0" w:hanging="2"/>
        <w:jc w:val="both"/>
        <w:rPr>
          <w:b/>
          <w:color w:val="0000FF"/>
          <w:sz w:val="24"/>
          <w:szCs w:val="24"/>
        </w:rPr>
      </w:pPr>
    </w:p>
    <w:p w14:paraId="302C7DB4" w14:textId="594DD5FA" w:rsidR="00631E1E" w:rsidRDefault="00000000" w:rsidP="00E969C7">
      <w:pPr>
        <w:spacing w:line="360" w:lineRule="auto"/>
        <w:ind w:leftChars="0" w:left="0" w:firstLineChars="0" w:firstLine="720"/>
        <w:jc w:val="both"/>
        <w:rPr>
          <w:sz w:val="24"/>
          <w:szCs w:val="24"/>
        </w:rPr>
      </w:pPr>
      <w:r>
        <w:rPr>
          <w:sz w:val="24"/>
          <w:szCs w:val="24"/>
        </w:rPr>
        <w:t>A Política de Saúde no Brasil, inserida nas teias da dominação e dependência e avanço neoliberal, enfrenta constantes disputas desde a criação do</w:t>
      </w:r>
      <w:r w:rsidR="00DD4C63">
        <w:rPr>
          <w:sz w:val="24"/>
          <w:szCs w:val="24"/>
        </w:rPr>
        <w:t xml:space="preserve"> </w:t>
      </w:r>
      <w:r>
        <w:rPr>
          <w:sz w:val="24"/>
          <w:szCs w:val="24"/>
        </w:rPr>
        <w:t xml:space="preserve">SUS, que comprometem a sua sustentabilidade financeira (Mendes; Carnut, 2020). Marcado por </w:t>
      </w:r>
      <w:r>
        <w:rPr>
          <w:sz w:val="24"/>
          <w:szCs w:val="24"/>
        </w:rPr>
        <w:lastRenderedPageBreak/>
        <w:t xml:space="preserve">uma lógica privatizante e sucessivas medidas de ajuste fiscal, o SUS nasce subfinanciado, mas com a Emenda Constitucional n° 95/2016 - que congela os gastos primários por 20 anos - assume o </w:t>
      </w:r>
      <w:r>
        <w:rPr>
          <w:i/>
          <w:sz w:val="24"/>
          <w:szCs w:val="24"/>
        </w:rPr>
        <w:t xml:space="preserve">status </w:t>
      </w:r>
      <w:r>
        <w:rPr>
          <w:sz w:val="24"/>
          <w:szCs w:val="24"/>
        </w:rPr>
        <w:t xml:space="preserve">de </w:t>
      </w:r>
      <w:proofErr w:type="spellStart"/>
      <w:r>
        <w:rPr>
          <w:sz w:val="24"/>
          <w:szCs w:val="24"/>
        </w:rPr>
        <w:t>desfinanciado</w:t>
      </w:r>
      <w:proofErr w:type="spellEnd"/>
      <w:r>
        <w:rPr>
          <w:sz w:val="24"/>
          <w:szCs w:val="24"/>
        </w:rPr>
        <w:t xml:space="preserve">. </w:t>
      </w:r>
    </w:p>
    <w:p w14:paraId="35DF28C0" w14:textId="07B68255" w:rsidR="00631E1E" w:rsidRDefault="00000000" w:rsidP="00E969C7">
      <w:pPr>
        <w:spacing w:line="360" w:lineRule="auto"/>
        <w:ind w:leftChars="0" w:left="0" w:firstLineChars="0" w:firstLine="720"/>
        <w:jc w:val="both"/>
        <w:rPr>
          <w:sz w:val="20"/>
          <w:szCs w:val="20"/>
        </w:rPr>
      </w:pPr>
      <w:r>
        <w:rPr>
          <w:sz w:val="24"/>
          <w:szCs w:val="24"/>
        </w:rPr>
        <w:t>Esse quadro se agravou com a ofensiva conservadora do governo Jair Messias Bolsonaro (2019-2022) - na época filiado ao Partido Social Liberal (PSL). Durante a pandemia da Covid-19, ficou evidente sua postura negacionista e de viés neofacista, marcada pela prevalência aos interesses econômicos em detrimento da defesa da vida. A escassez de recursos destinados para o enfrentamento do vírus, expôs ainda mais fragilidade financeira do Sistema Único de Saúde, caracterizada pela “insuficiência de recursos e do baixo volume de gastos com recursos públicos, indefinição de fontes próprias para a saúde e ausência de maior comprometimento do Estado brasileiro com alocação de recursos” (Mendes; Carnut, 2020, p. 24).</w:t>
      </w:r>
    </w:p>
    <w:p w14:paraId="4D2B16BB" w14:textId="7FB2B271" w:rsidR="00631E1E" w:rsidRDefault="00000000" w:rsidP="00E969C7">
      <w:pPr>
        <w:spacing w:line="360" w:lineRule="auto"/>
        <w:ind w:leftChars="0" w:left="0" w:firstLineChars="0" w:firstLine="720"/>
        <w:jc w:val="both"/>
        <w:rPr>
          <w:sz w:val="24"/>
          <w:szCs w:val="24"/>
        </w:rPr>
      </w:pPr>
      <w:r>
        <w:rPr>
          <w:sz w:val="24"/>
          <w:szCs w:val="24"/>
        </w:rPr>
        <w:t>Com a eleição do presidente Luiz Inácio Lula da Silva (2023-2026), pelo Partido dos Trabalhadores (PT), um suspiro de fôlego e esperança frente às ameaças ao Estado Democrático de Direito. Esperava-se nesse contexto, uma condução governamental comprometida com o fortalecimento da saúde pública e com um maior engajamento na destinação de recursos orçamentários para o SUS.</w:t>
      </w:r>
    </w:p>
    <w:p w14:paraId="0913DAA1" w14:textId="677B29AA" w:rsidR="00631E1E" w:rsidRDefault="00000000" w:rsidP="00E969C7">
      <w:pPr>
        <w:spacing w:line="360" w:lineRule="auto"/>
        <w:ind w:leftChars="0" w:left="0" w:firstLineChars="0" w:firstLine="720"/>
        <w:jc w:val="both"/>
        <w:rPr>
          <w:sz w:val="24"/>
          <w:szCs w:val="24"/>
          <w:highlight w:val="white"/>
        </w:rPr>
      </w:pPr>
      <w:r>
        <w:rPr>
          <w:sz w:val="24"/>
          <w:szCs w:val="24"/>
        </w:rPr>
        <w:t xml:space="preserve">No entanto, as medidas de ajuste fiscal continuam no terceiro mandato do presidente, com a substituição da Emenda Constitucional nº 95/2016, pelo Novo Arcabouço Fiscal (NAF). Segundo a Lei Complementar nº 200/2023, o NAF institui um regime fiscal sustentável, sob a prerrogativa de promover estabilidade </w:t>
      </w:r>
      <w:r>
        <w:rPr>
          <w:sz w:val="24"/>
          <w:szCs w:val="24"/>
          <w:highlight w:val="white"/>
        </w:rPr>
        <w:t xml:space="preserve">macroeconômica e criar condições para o crescimento econômico do país. Destaca que, “deverão ser contornados obstáculos como a fome, a pobreza, o desemprego, as dificuldades de acesso à saúde e educação pública, a baixa mobilidade social, além da profunda desigualdade de renda, raça e gênero” (Brasil, 2023, p.73). </w:t>
      </w:r>
    </w:p>
    <w:p w14:paraId="59B70C08" w14:textId="77777777" w:rsidR="00631E1E" w:rsidRDefault="00000000" w:rsidP="00E969C7">
      <w:pPr>
        <w:spacing w:line="360" w:lineRule="auto"/>
        <w:ind w:leftChars="0" w:left="0" w:firstLineChars="0" w:firstLine="720"/>
        <w:jc w:val="both"/>
        <w:rPr>
          <w:sz w:val="24"/>
          <w:szCs w:val="24"/>
        </w:rPr>
      </w:pPr>
      <w:r>
        <w:rPr>
          <w:sz w:val="24"/>
          <w:szCs w:val="24"/>
          <w:highlight w:val="white"/>
        </w:rPr>
        <w:t>O NAF, ao priorizar o pagamento dos serviços da dívida pública, atende aos interesses do capital, ao estabelecer o Regime Fiscal Sustentável exclusivamente para as despesas primárias dos orçamentos fiscal e da seguridade social da União.</w:t>
      </w:r>
      <w:r>
        <w:rPr>
          <w:sz w:val="24"/>
          <w:szCs w:val="24"/>
        </w:rPr>
        <w:t xml:space="preserve"> Embora mais flexível que a Emenda Constitucional n.º 95, “o NAF segue a política de </w:t>
      </w:r>
      <w:r>
        <w:rPr>
          <w:sz w:val="24"/>
          <w:szCs w:val="24"/>
        </w:rPr>
        <w:lastRenderedPageBreak/>
        <w:t>austeridade, ao impor entraves permanentes para o crescimento dos gastos públicos sociais” (Salvador, 2024, p.16).</w:t>
      </w:r>
    </w:p>
    <w:p w14:paraId="5E557BED" w14:textId="6D03AF9F" w:rsidR="00631E1E" w:rsidRDefault="00000000" w:rsidP="00E969C7">
      <w:pPr>
        <w:spacing w:line="360" w:lineRule="auto"/>
        <w:ind w:leftChars="0" w:left="0" w:firstLineChars="0" w:firstLine="720"/>
        <w:jc w:val="both"/>
        <w:rPr>
          <w:color w:val="0000FF"/>
          <w:sz w:val="24"/>
          <w:szCs w:val="24"/>
        </w:rPr>
      </w:pPr>
      <w:r>
        <w:rPr>
          <w:sz w:val="24"/>
          <w:szCs w:val="24"/>
        </w:rPr>
        <w:t>Nesse cenário de contradições e gestão sustentada por uma frente ampla para se manter no bloco de poder, as políticas de saúde são diretamente impactadas. Em um momento de reconstrução do país - lema adotado pelo governo federal - e de reafirmação da democracia, as Conferências Nacionais de Saúde se apresentam como espaços fundamentais para analisar o panorama da saúde, definir propostas e diretrizes, especialmente após o contexto da pandemia</w:t>
      </w:r>
      <w:r>
        <w:rPr>
          <w:color w:val="0000FF"/>
          <w:sz w:val="24"/>
          <w:szCs w:val="24"/>
        </w:rPr>
        <w:t>.</w:t>
      </w:r>
    </w:p>
    <w:p w14:paraId="108017F4" w14:textId="4DFC3A7F" w:rsidR="00631E1E" w:rsidRDefault="00000000" w:rsidP="00E969C7">
      <w:pPr>
        <w:spacing w:line="360" w:lineRule="auto"/>
        <w:ind w:leftChars="0" w:left="0" w:firstLineChars="0" w:firstLine="720"/>
        <w:jc w:val="both"/>
        <w:rPr>
          <w:sz w:val="24"/>
          <w:szCs w:val="24"/>
        </w:rPr>
      </w:pPr>
      <w:r>
        <w:rPr>
          <w:sz w:val="24"/>
          <w:szCs w:val="24"/>
        </w:rPr>
        <w:t xml:space="preserve">No ano de 2023, ocorreu a 17ª Conferência Nacional de Saúde (CNS), embasada pelo tema “Garantir Direitos e Defender o SUS, a Vida e a Democracia - Amanhã vai ser outro dia” e contou com ampla participação de diversos segmentos da população. Nesse espaço democrático foram </w:t>
      </w:r>
      <w:r w:rsidR="00E969C7">
        <w:rPr>
          <w:sz w:val="24"/>
          <w:szCs w:val="24"/>
        </w:rPr>
        <w:t>elaborados</w:t>
      </w:r>
      <w:r>
        <w:rPr>
          <w:sz w:val="24"/>
          <w:szCs w:val="24"/>
        </w:rPr>
        <w:t xml:space="preserve"> diretrizes e propostas para orientar e incorporar o Plano Nacional de Saúde e o Plano Plurianual do governo Lula (2024-2027). A análise da Resolução da 17ª CNS, revela a produção de 243 diretrizes e 980 propostas, evidenciando não só a importância da participação popular, mas também de espaços de controle social. Esses dados revelam a força do debate coletivo e o potencial para avanços no fortalecimento do SUS.</w:t>
      </w:r>
    </w:p>
    <w:p w14:paraId="1D23B1DA" w14:textId="605CFF23" w:rsidR="00631E1E" w:rsidRPr="00E969C7" w:rsidRDefault="00000000" w:rsidP="00E969C7">
      <w:pPr>
        <w:spacing w:line="360" w:lineRule="auto"/>
        <w:ind w:leftChars="0" w:left="0" w:firstLineChars="0" w:firstLine="720"/>
        <w:jc w:val="both"/>
        <w:rPr>
          <w:sz w:val="24"/>
          <w:szCs w:val="24"/>
        </w:rPr>
      </w:pPr>
      <w:r>
        <w:rPr>
          <w:sz w:val="24"/>
          <w:szCs w:val="24"/>
        </w:rPr>
        <w:t xml:space="preserve">Em contrapartida, no bojo do desmantelamento dos direitos sociais (Salvador, 2024), a saúde pública enfrenta diversos desafios, como a desigualdade na oferta de serviços, aumento das filas de espera e as barreiras de acesso à Atenção Primária à Saúde nos territórios, devido à oferta restrita de serviços. Assim, as diretrizes e propostas para a Atenção Especializada e a Atenção Primária, buscam ampliar o acesso da população à saúde pública de qualidade, fortalecendo o SUS e garantindo o </w:t>
      </w:r>
      <w:r w:rsidRPr="00E969C7">
        <w:rPr>
          <w:sz w:val="24"/>
          <w:szCs w:val="24"/>
        </w:rPr>
        <w:t>acesso integral e universal da população.</w:t>
      </w:r>
    </w:p>
    <w:p w14:paraId="7D6AB33C" w14:textId="6AB4DC38" w:rsidR="00631E1E" w:rsidRPr="00E969C7" w:rsidRDefault="00000000" w:rsidP="00E969C7">
      <w:pPr>
        <w:spacing w:line="360" w:lineRule="auto"/>
        <w:ind w:leftChars="0" w:left="0" w:firstLineChars="0" w:firstLine="720"/>
        <w:jc w:val="both"/>
        <w:rPr>
          <w:sz w:val="24"/>
          <w:szCs w:val="24"/>
        </w:rPr>
      </w:pPr>
      <w:r w:rsidRPr="00E969C7">
        <w:rPr>
          <w:sz w:val="24"/>
          <w:szCs w:val="24"/>
        </w:rPr>
        <w:t xml:space="preserve">No exercício de sua responsabilidade de garantir o direito à saúde, o governo reconhece e as demandas apresentadas na 17ª CNS e considera essencial assegurar à população o acesso a ações e serviços de saúde de qualidade, que incluam “a prevenção e a promoção da saúde, permitam diagnósticos mais precisos e ágeis, bem como o acesso a tratamentos adequados, com apoio de profissionais especializados” </w:t>
      </w:r>
      <w:r w:rsidRPr="00E969C7">
        <w:rPr>
          <w:sz w:val="24"/>
          <w:szCs w:val="24"/>
        </w:rPr>
        <w:lastRenderedPageBreak/>
        <w:t>(Brasil, 2023, p. 128). Assim, o PPA 2024-2027, que evidencia as prioridades e escolhas governamentais, contempla programas voltados para: Atenção Primária; Atenção Especializada; Gestão, Trabalho, Educação e Transformação digital na saúde; Pesquisa e Inovação na saúde; Assistência Farmacêutica; Vigilância em saúde e Saúde indígena.</w:t>
      </w:r>
    </w:p>
    <w:p w14:paraId="016B0A19" w14:textId="37714FDF" w:rsidR="00631E1E" w:rsidRPr="00E969C7" w:rsidRDefault="00000000" w:rsidP="00E969C7">
      <w:pPr>
        <w:spacing w:line="360" w:lineRule="auto"/>
        <w:ind w:leftChars="0" w:left="0" w:firstLineChars="0" w:firstLine="720"/>
        <w:jc w:val="both"/>
        <w:rPr>
          <w:sz w:val="24"/>
          <w:szCs w:val="24"/>
        </w:rPr>
      </w:pPr>
      <w:r w:rsidRPr="00E969C7">
        <w:rPr>
          <w:sz w:val="24"/>
          <w:szCs w:val="24"/>
        </w:rPr>
        <w:t xml:space="preserve">As prioridades governamentais definidas no PPA 2024-2027 buscam articular ações voltadas à justiça social com estratégias de crescimento econômico. Nesse viés, considerando as demandas da sociedade e a necessidade de reconstrução do país, o plano estabelece como agendas prioritárias: o combate à fome e redução das desigualdades; educação básica; saúde (atenção primária e especializada); </w:t>
      </w:r>
      <w:proofErr w:type="spellStart"/>
      <w:r w:rsidRPr="00E969C7">
        <w:rPr>
          <w:sz w:val="24"/>
          <w:szCs w:val="24"/>
        </w:rPr>
        <w:t>neoindustrialização</w:t>
      </w:r>
      <w:proofErr w:type="spellEnd"/>
      <w:r w:rsidRPr="00E969C7">
        <w:rPr>
          <w:sz w:val="24"/>
          <w:szCs w:val="24"/>
        </w:rPr>
        <w:t>, trabalho, emprego e renda; novo Programa de Aceleração do Crescimento (PAC); e combate ao desmatamento e enfrentamento da emergência climática. (Brasil, 2023).</w:t>
      </w:r>
    </w:p>
    <w:p w14:paraId="026F19F5" w14:textId="77777777" w:rsidR="00631E1E" w:rsidRPr="00E969C7" w:rsidRDefault="00000000" w:rsidP="00E969C7">
      <w:pPr>
        <w:spacing w:line="360" w:lineRule="auto"/>
        <w:ind w:leftChars="0" w:left="0" w:firstLineChars="0" w:firstLine="720"/>
        <w:jc w:val="both"/>
        <w:rPr>
          <w:sz w:val="24"/>
          <w:szCs w:val="24"/>
        </w:rPr>
      </w:pPr>
      <w:r w:rsidRPr="00E969C7">
        <w:rPr>
          <w:sz w:val="24"/>
          <w:szCs w:val="24"/>
        </w:rPr>
        <w:t xml:space="preserve">O programa da Atenção Primária, visa fortalecer e ampliar a cobertura da Estratégia Saúde da Família (ESF) e da saúde </w:t>
      </w:r>
      <w:r>
        <w:rPr>
          <w:sz w:val="24"/>
          <w:szCs w:val="24"/>
        </w:rPr>
        <w:t>bucal, buscando universalizar o acesso e garantir o cuidado integral. Já</w:t>
      </w:r>
      <w:r>
        <w:rPr>
          <w:color w:val="0000FF"/>
          <w:sz w:val="24"/>
          <w:szCs w:val="24"/>
        </w:rPr>
        <w:t xml:space="preserve"> </w:t>
      </w:r>
      <w:r>
        <w:rPr>
          <w:sz w:val="24"/>
          <w:szCs w:val="24"/>
        </w:rPr>
        <w:t xml:space="preserve">no programa da Atenção Especializada busca ampliar a oferta e o acesso aos serviços especializados, considerando as necessidades da população, para </w:t>
      </w:r>
      <w:r w:rsidRPr="00E969C7">
        <w:rPr>
          <w:sz w:val="24"/>
          <w:szCs w:val="24"/>
        </w:rPr>
        <w:t>reduzir as desigualdades de raça/etnia, de gênero, regionais e sociais, além de promover a integralidade do cuidado (Brasil, 2023).</w:t>
      </w:r>
    </w:p>
    <w:p w14:paraId="7B437A4F" w14:textId="1111FDB3" w:rsidR="00631E1E" w:rsidRPr="00E969C7" w:rsidRDefault="00000000" w:rsidP="00E969C7">
      <w:pPr>
        <w:spacing w:line="360" w:lineRule="auto"/>
        <w:ind w:leftChars="0" w:left="0" w:firstLineChars="0" w:firstLine="720"/>
        <w:jc w:val="both"/>
        <w:rPr>
          <w:sz w:val="24"/>
          <w:szCs w:val="24"/>
        </w:rPr>
      </w:pPr>
      <w:r w:rsidRPr="00E969C7">
        <w:rPr>
          <w:sz w:val="24"/>
          <w:szCs w:val="24"/>
        </w:rPr>
        <w:t xml:space="preserve">Diante dos vazios assistenciais na oferta de ações e serviços de saúde, que se aprofundaram no contexto da pandemia, o Programa da Atenção Especializada busca reduzir as filas de espera de procedimentos eletivos.  Para isso, o governo criou recentemente o programa “Agora Tem Especialistas” com objetivo de cumprir uma das metas inscritas na Atenção Especializada, ampliando o acesso da população a consultas, exames e cirurgias por meio do credenciamento de clínicas, hospitais filantrópicos e privados para atendimento pelo SUS. A medida, embora atende às demandas, também reforça o comprometimento do Estado com o setor privado, conferindo à Atenção Especializada um caráter cada vez mais lucrativo do SUS. Nesse escopo, ressalta-se que a Atenção Especializada é um dos programas com </w:t>
      </w:r>
      <w:r w:rsidRPr="00E969C7">
        <w:rPr>
          <w:sz w:val="24"/>
          <w:szCs w:val="24"/>
        </w:rPr>
        <w:lastRenderedPageBreak/>
        <w:t>maior destinação orçamentária, devido ao alto custeio dos equipamentos de alta densidade tecnológica e as parcerias público-privadas.</w:t>
      </w:r>
    </w:p>
    <w:p w14:paraId="66B817C7" w14:textId="2AFBB73B" w:rsidR="00631E1E" w:rsidRPr="00E969C7" w:rsidRDefault="00000000" w:rsidP="00E969C7">
      <w:pPr>
        <w:spacing w:line="360" w:lineRule="auto"/>
        <w:ind w:leftChars="0" w:left="0" w:firstLineChars="0" w:firstLine="720"/>
        <w:jc w:val="both"/>
        <w:rPr>
          <w:sz w:val="24"/>
          <w:szCs w:val="24"/>
        </w:rPr>
      </w:pPr>
      <w:r w:rsidRPr="00E969C7">
        <w:rPr>
          <w:sz w:val="24"/>
          <w:szCs w:val="24"/>
        </w:rPr>
        <w:t>No Quadro 01 é possível observar a evolução orçamentária da função saúde, bem como, dos programas de Atenção Primária à Saúde e Atenção Especializada à Saúde, no período de 2023 a 2025.</w:t>
      </w:r>
    </w:p>
    <w:p w14:paraId="3F750E2D" w14:textId="77777777" w:rsidR="00631E1E" w:rsidRDefault="00631E1E">
      <w:pPr>
        <w:spacing w:line="360" w:lineRule="auto"/>
        <w:ind w:left="0" w:hanging="2"/>
        <w:jc w:val="both"/>
        <w:rPr>
          <w:sz w:val="24"/>
          <w:szCs w:val="24"/>
        </w:rPr>
      </w:pPr>
    </w:p>
    <w:p w14:paraId="08ADA8DF" w14:textId="18F5DBBE" w:rsidR="00631E1E" w:rsidRDefault="00000000">
      <w:pPr>
        <w:spacing w:line="360" w:lineRule="auto"/>
        <w:ind w:left="0" w:hanging="2"/>
        <w:jc w:val="center"/>
        <w:rPr>
          <w:sz w:val="24"/>
          <w:szCs w:val="24"/>
        </w:rPr>
      </w:pPr>
      <w:r>
        <w:rPr>
          <w:b/>
          <w:sz w:val="24"/>
          <w:szCs w:val="24"/>
        </w:rPr>
        <w:t>Quadro 01</w:t>
      </w:r>
      <w:r>
        <w:rPr>
          <w:sz w:val="24"/>
          <w:szCs w:val="24"/>
        </w:rPr>
        <w:t xml:space="preserve"> - Valores autorizados e pagos da Função Saúde e dos Programas Atenção Primária à Saúde e Atenção Especializada à Saúde (2023-2025)</w:t>
      </w:r>
    </w:p>
    <w:sdt>
      <w:sdtPr>
        <w:tag w:val="goog_rdk_0"/>
        <w:id w:val="242358571"/>
        <w:lock w:val="contentLocked"/>
      </w:sdtPr>
      <w:sdtContent>
        <w:tbl>
          <w:tblPr>
            <w:tblStyle w:val="a"/>
            <w:tblW w:w="898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2850"/>
            <w:gridCol w:w="2835"/>
            <w:gridCol w:w="2400"/>
          </w:tblGrid>
          <w:tr w:rsidR="00631E1E" w14:paraId="7254E915" w14:textId="77777777">
            <w:tc>
              <w:tcPr>
                <w:tcW w:w="900" w:type="dxa"/>
                <w:shd w:val="clear" w:color="auto" w:fill="auto"/>
                <w:tcMar>
                  <w:top w:w="100" w:type="dxa"/>
                  <w:left w:w="100" w:type="dxa"/>
                  <w:bottom w:w="100" w:type="dxa"/>
                  <w:right w:w="100" w:type="dxa"/>
                </w:tcMar>
              </w:tcPr>
              <w:p w14:paraId="0934224C" w14:textId="77777777" w:rsidR="00631E1E" w:rsidRDefault="00000000">
                <w:pPr>
                  <w:widowControl w:val="0"/>
                  <w:spacing w:line="240" w:lineRule="auto"/>
                  <w:ind w:left="0" w:hanging="2"/>
                  <w:jc w:val="center"/>
                  <w:rPr>
                    <w:b/>
                    <w:sz w:val="24"/>
                    <w:szCs w:val="24"/>
                  </w:rPr>
                </w:pPr>
                <w:r>
                  <w:rPr>
                    <w:b/>
                    <w:sz w:val="24"/>
                    <w:szCs w:val="24"/>
                  </w:rPr>
                  <w:t>Ano</w:t>
                </w:r>
              </w:p>
            </w:tc>
            <w:tc>
              <w:tcPr>
                <w:tcW w:w="2850" w:type="dxa"/>
                <w:shd w:val="clear" w:color="auto" w:fill="auto"/>
                <w:tcMar>
                  <w:top w:w="100" w:type="dxa"/>
                  <w:left w:w="100" w:type="dxa"/>
                  <w:bottom w:w="100" w:type="dxa"/>
                  <w:right w:w="100" w:type="dxa"/>
                </w:tcMar>
              </w:tcPr>
              <w:p w14:paraId="30146253" w14:textId="77777777" w:rsidR="00631E1E" w:rsidRDefault="00000000">
                <w:pPr>
                  <w:widowControl w:val="0"/>
                  <w:spacing w:line="240" w:lineRule="auto"/>
                  <w:ind w:left="0" w:hanging="2"/>
                  <w:jc w:val="center"/>
                  <w:rPr>
                    <w:b/>
                    <w:sz w:val="24"/>
                    <w:szCs w:val="24"/>
                  </w:rPr>
                </w:pPr>
                <w:r>
                  <w:rPr>
                    <w:b/>
                    <w:sz w:val="24"/>
                    <w:szCs w:val="24"/>
                  </w:rPr>
                  <w:t>Função e Programa</w:t>
                </w:r>
              </w:p>
            </w:tc>
            <w:tc>
              <w:tcPr>
                <w:tcW w:w="2835" w:type="dxa"/>
                <w:shd w:val="clear" w:color="auto" w:fill="auto"/>
                <w:tcMar>
                  <w:top w:w="100" w:type="dxa"/>
                  <w:left w:w="100" w:type="dxa"/>
                  <w:bottom w:w="100" w:type="dxa"/>
                  <w:right w:w="100" w:type="dxa"/>
                </w:tcMar>
              </w:tcPr>
              <w:p w14:paraId="190CE425" w14:textId="77777777" w:rsidR="00631E1E" w:rsidRDefault="00000000">
                <w:pPr>
                  <w:widowControl w:val="0"/>
                  <w:spacing w:line="240" w:lineRule="auto"/>
                  <w:ind w:left="0" w:hanging="2"/>
                  <w:jc w:val="center"/>
                  <w:rPr>
                    <w:b/>
                    <w:sz w:val="24"/>
                    <w:szCs w:val="24"/>
                  </w:rPr>
                </w:pPr>
                <w:r>
                  <w:rPr>
                    <w:b/>
                    <w:sz w:val="24"/>
                    <w:szCs w:val="24"/>
                  </w:rPr>
                  <w:t>Autorizado em Bilhões</w:t>
                </w:r>
              </w:p>
            </w:tc>
            <w:tc>
              <w:tcPr>
                <w:tcW w:w="2400" w:type="dxa"/>
                <w:shd w:val="clear" w:color="auto" w:fill="auto"/>
                <w:tcMar>
                  <w:top w:w="100" w:type="dxa"/>
                  <w:left w:w="100" w:type="dxa"/>
                  <w:bottom w:w="100" w:type="dxa"/>
                  <w:right w:w="100" w:type="dxa"/>
                </w:tcMar>
              </w:tcPr>
              <w:p w14:paraId="1E9918B0" w14:textId="77777777" w:rsidR="00631E1E" w:rsidRDefault="00000000">
                <w:pPr>
                  <w:widowControl w:val="0"/>
                  <w:spacing w:line="240" w:lineRule="auto"/>
                  <w:ind w:left="0" w:hanging="2"/>
                  <w:jc w:val="center"/>
                  <w:rPr>
                    <w:b/>
                    <w:sz w:val="24"/>
                    <w:szCs w:val="24"/>
                  </w:rPr>
                </w:pPr>
                <w:r>
                  <w:rPr>
                    <w:b/>
                    <w:sz w:val="24"/>
                    <w:szCs w:val="24"/>
                  </w:rPr>
                  <w:t xml:space="preserve">Pago em Bilhões </w:t>
                </w:r>
              </w:p>
            </w:tc>
          </w:tr>
          <w:tr w:rsidR="00631E1E" w14:paraId="41B69677" w14:textId="77777777">
            <w:trPr>
              <w:trHeight w:val="500"/>
            </w:trPr>
            <w:tc>
              <w:tcPr>
                <w:tcW w:w="900" w:type="dxa"/>
                <w:vMerge w:val="restart"/>
                <w:shd w:val="clear" w:color="auto" w:fill="auto"/>
                <w:tcMar>
                  <w:top w:w="100" w:type="dxa"/>
                  <w:left w:w="100" w:type="dxa"/>
                  <w:bottom w:w="100" w:type="dxa"/>
                  <w:right w:w="100" w:type="dxa"/>
                </w:tcMar>
              </w:tcPr>
              <w:p w14:paraId="3E7EBFF8" w14:textId="77777777" w:rsidR="00631E1E" w:rsidRDefault="00631E1E">
                <w:pPr>
                  <w:widowControl w:val="0"/>
                  <w:spacing w:line="240" w:lineRule="auto"/>
                  <w:ind w:left="0" w:hanging="2"/>
                  <w:jc w:val="center"/>
                  <w:rPr>
                    <w:sz w:val="24"/>
                    <w:szCs w:val="24"/>
                  </w:rPr>
                </w:pPr>
              </w:p>
              <w:p w14:paraId="1F9751F5" w14:textId="77777777" w:rsidR="00631E1E" w:rsidRDefault="00631E1E">
                <w:pPr>
                  <w:widowControl w:val="0"/>
                  <w:spacing w:line="240" w:lineRule="auto"/>
                  <w:ind w:left="0" w:hanging="2"/>
                  <w:jc w:val="center"/>
                  <w:rPr>
                    <w:sz w:val="24"/>
                    <w:szCs w:val="24"/>
                  </w:rPr>
                </w:pPr>
              </w:p>
              <w:p w14:paraId="0B2FD4B6" w14:textId="77777777" w:rsidR="00631E1E" w:rsidRDefault="00000000">
                <w:pPr>
                  <w:widowControl w:val="0"/>
                  <w:spacing w:line="240" w:lineRule="auto"/>
                  <w:ind w:left="0" w:hanging="2"/>
                  <w:jc w:val="center"/>
                  <w:rPr>
                    <w:sz w:val="24"/>
                    <w:szCs w:val="24"/>
                  </w:rPr>
                </w:pPr>
                <w:r>
                  <w:rPr>
                    <w:sz w:val="24"/>
                    <w:szCs w:val="24"/>
                  </w:rPr>
                  <w:t>2023</w:t>
                </w:r>
              </w:p>
            </w:tc>
            <w:tc>
              <w:tcPr>
                <w:tcW w:w="2850" w:type="dxa"/>
                <w:shd w:val="clear" w:color="auto" w:fill="auto"/>
                <w:tcMar>
                  <w:top w:w="100" w:type="dxa"/>
                  <w:left w:w="100" w:type="dxa"/>
                  <w:bottom w:w="100" w:type="dxa"/>
                  <w:right w:w="100" w:type="dxa"/>
                </w:tcMar>
              </w:tcPr>
              <w:p w14:paraId="45000024" w14:textId="77777777" w:rsidR="00631E1E" w:rsidRDefault="00000000">
                <w:pPr>
                  <w:widowControl w:val="0"/>
                  <w:spacing w:line="240" w:lineRule="auto"/>
                  <w:ind w:left="0" w:hanging="2"/>
                  <w:jc w:val="center"/>
                  <w:rPr>
                    <w:sz w:val="24"/>
                    <w:szCs w:val="24"/>
                  </w:rPr>
                </w:pPr>
                <w:r>
                  <w:rPr>
                    <w:sz w:val="24"/>
                    <w:szCs w:val="24"/>
                  </w:rPr>
                  <w:t>Saúde</w:t>
                </w:r>
              </w:p>
            </w:tc>
            <w:tc>
              <w:tcPr>
                <w:tcW w:w="2835" w:type="dxa"/>
                <w:shd w:val="clear" w:color="auto" w:fill="auto"/>
                <w:tcMar>
                  <w:top w:w="100" w:type="dxa"/>
                  <w:left w:w="100" w:type="dxa"/>
                  <w:bottom w:w="100" w:type="dxa"/>
                  <w:right w:w="100" w:type="dxa"/>
                </w:tcMar>
              </w:tcPr>
              <w:p w14:paraId="2C123D7F" w14:textId="77777777" w:rsidR="00631E1E" w:rsidRDefault="00000000">
                <w:pPr>
                  <w:widowControl w:val="0"/>
                  <w:spacing w:line="240" w:lineRule="auto"/>
                  <w:ind w:left="0" w:hanging="2"/>
                  <w:jc w:val="center"/>
                  <w:rPr>
                    <w:sz w:val="24"/>
                    <w:szCs w:val="24"/>
                  </w:rPr>
                </w:pPr>
                <w:r>
                  <w:rPr>
                    <w:sz w:val="24"/>
                    <w:szCs w:val="24"/>
                  </w:rPr>
                  <w:t>R$ 208.5</w:t>
                </w:r>
              </w:p>
            </w:tc>
            <w:tc>
              <w:tcPr>
                <w:tcW w:w="2400" w:type="dxa"/>
                <w:shd w:val="clear" w:color="auto" w:fill="auto"/>
                <w:tcMar>
                  <w:top w:w="100" w:type="dxa"/>
                  <w:left w:w="100" w:type="dxa"/>
                  <w:bottom w:w="100" w:type="dxa"/>
                  <w:right w:w="100" w:type="dxa"/>
                </w:tcMar>
              </w:tcPr>
              <w:p w14:paraId="52CDF180" w14:textId="77777777" w:rsidR="00631E1E" w:rsidRDefault="00000000">
                <w:pPr>
                  <w:widowControl w:val="0"/>
                  <w:spacing w:line="240" w:lineRule="auto"/>
                  <w:ind w:left="0" w:hanging="2"/>
                  <w:jc w:val="center"/>
                  <w:rPr>
                    <w:sz w:val="24"/>
                    <w:szCs w:val="24"/>
                  </w:rPr>
                </w:pPr>
                <w:r>
                  <w:rPr>
                    <w:sz w:val="24"/>
                    <w:szCs w:val="24"/>
                  </w:rPr>
                  <w:t>R$ 176.7</w:t>
                </w:r>
              </w:p>
            </w:tc>
          </w:tr>
          <w:tr w:rsidR="00631E1E" w14:paraId="1F300626" w14:textId="77777777">
            <w:trPr>
              <w:trHeight w:val="420"/>
            </w:trPr>
            <w:tc>
              <w:tcPr>
                <w:tcW w:w="900" w:type="dxa"/>
                <w:vMerge/>
                <w:shd w:val="clear" w:color="auto" w:fill="auto"/>
                <w:tcMar>
                  <w:top w:w="100" w:type="dxa"/>
                  <w:left w:w="100" w:type="dxa"/>
                  <w:bottom w:w="100" w:type="dxa"/>
                  <w:right w:w="100" w:type="dxa"/>
                </w:tcMar>
              </w:tcPr>
              <w:p w14:paraId="14B71A57" w14:textId="77777777" w:rsidR="00631E1E" w:rsidRDefault="00631E1E">
                <w:pPr>
                  <w:widowControl w:val="0"/>
                  <w:spacing w:line="240" w:lineRule="auto"/>
                  <w:ind w:left="0" w:hanging="2"/>
                  <w:rPr>
                    <w:rFonts w:ascii="Cambria" w:eastAsia="Cambria" w:hAnsi="Cambria" w:cs="Cambria"/>
                  </w:rPr>
                </w:pPr>
              </w:p>
            </w:tc>
            <w:tc>
              <w:tcPr>
                <w:tcW w:w="2850" w:type="dxa"/>
                <w:shd w:val="clear" w:color="auto" w:fill="auto"/>
                <w:tcMar>
                  <w:top w:w="100" w:type="dxa"/>
                  <w:left w:w="100" w:type="dxa"/>
                  <w:bottom w:w="100" w:type="dxa"/>
                  <w:right w:w="100" w:type="dxa"/>
                </w:tcMar>
              </w:tcPr>
              <w:p w14:paraId="4F7A3D8B" w14:textId="77777777" w:rsidR="00631E1E" w:rsidRDefault="00000000">
                <w:pPr>
                  <w:widowControl w:val="0"/>
                  <w:spacing w:line="240" w:lineRule="auto"/>
                  <w:ind w:left="0" w:hanging="2"/>
                  <w:jc w:val="center"/>
                  <w:rPr>
                    <w:sz w:val="24"/>
                    <w:szCs w:val="24"/>
                  </w:rPr>
                </w:pPr>
                <w:r>
                  <w:rPr>
                    <w:sz w:val="24"/>
                    <w:szCs w:val="24"/>
                  </w:rPr>
                  <w:t>Atenção Primária</w:t>
                </w:r>
              </w:p>
            </w:tc>
            <w:tc>
              <w:tcPr>
                <w:tcW w:w="2835" w:type="dxa"/>
                <w:shd w:val="clear" w:color="auto" w:fill="auto"/>
                <w:tcMar>
                  <w:top w:w="100" w:type="dxa"/>
                  <w:left w:w="100" w:type="dxa"/>
                  <w:bottom w:w="100" w:type="dxa"/>
                  <w:right w:w="100" w:type="dxa"/>
                </w:tcMar>
              </w:tcPr>
              <w:p w14:paraId="1F97D158" w14:textId="77777777" w:rsidR="00631E1E" w:rsidRDefault="00000000">
                <w:pPr>
                  <w:widowControl w:val="0"/>
                  <w:spacing w:line="240" w:lineRule="auto"/>
                  <w:ind w:left="0" w:hanging="2"/>
                  <w:jc w:val="center"/>
                  <w:rPr>
                    <w:sz w:val="24"/>
                    <w:szCs w:val="24"/>
                  </w:rPr>
                </w:pPr>
                <w:r>
                  <w:rPr>
                    <w:sz w:val="24"/>
                    <w:szCs w:val="24"/>
                  </w:rPr>
                  <w:t>R$ 46.3</w:t>
                </w:r>
              </w:p>
            </w:tc>
            <w:tc>
              <w:tcPr>
                <w:tcW w:w="2400" w:type="dxa"/>
                <w:shd w:val="clear" w:color="auto" w:fill="auto"/>
                <w:tcMar>
                  <w:top w:w="100" w:type="dxa"/>
                  <w:left w:w="100" w:type="dxa"/>
                  <w:bottom w:w="100" w:type="dxa"/>
                  <w:right w:w="100" w:type="dxa"/>
                </w:tcMar>
              </w:tcPr>
              <w:p w14:paraId="1E46DA43" w14:textId="77777777" w:rsidR="00631E1E" w:rsidRDefault="00000000">
                <w:pPr>
                  <w:widowControl w:val="0"/>
                  <w:spacing w:line="240" w:lineRule="auto"/>
                  <w:ind w:left="0" w:hanging="2"/>
                  <w:jc w:val="center"/>
                  <w:rPr>
                    <w:sz w:val="24"/>
                    <w:szCs w:val="24"/>
                  </w:rPr>
                </w:pPr>
                <w:r>
                  <w:rPr>
                    <w:sz w:val="24"/>
                    <w:szCs w:val="24"/>
                  </w:rPr>
                  <w:t>R$ 42.8</w:t>
                </w:r>
              </w:p>
            </w:tc>
          </w:tr>
          <w:tr w:rsidR="00631E1E" w14:paraId="48F2579D" w14:textId="77777777">
            <w:trPr>
              <w:trHeight w:val="420"/>
            </w:trPr>
            <w:tc>
              <w:tcPr>
                <w:tcW w:w="900" w:type="dxa"/>
                <w:vMerge/>
                <w:shd w:val="clear" w:color="auto" w:fill="auto"/>
                <w:tcMar>
                  <w:top w:w="100" w:type="dxa"/>
                  <w:left w:w="100" w:type="dxa"/>
                  <w:bottom w:w="100" w:type="dxa"/>
                  <w:right w:w="100" w:type="dxa"/>
                </w:tcMar>
              </w:tcPr>
              <w:p w14:paraId="10689010" w14:textId="77777777" w:rsidR="00631E1E" w:rsidRDefault="00631E1E">
                <w:pPr>
                  <w:widowControl w:val="0"/>
                  <w:spacing w:line="240" w:lineRule="auto"/>
                  <w:ind w:left="0" w:hanging="2"/>
                  <w:rPr>
                    <w:rFonts w:ascii="Cambria" w:eastAsia="Cambria" w:hAnsi="Cambria" w:cs="Cambria"/>
                  </w:rPr>
                </w:pPr>
              </w:p>
            </w:tc>
            <w:tc>
              <w:tcPr>
                <w:tcW w:w="2850" w:type="dxa"/>
                <w:shd w:val="clear" w:color="auto" w:fill="auto"/>
                <w:tcMar>
                  <w:top w:w="100" w:type="dxa"/>
                  <w:left w:w="100" w:type="dxa"/>
                  <w:bottom w:w="100" w:type="dxa"/>
                  <w:right w:w="100" w:type="dxa"/>
                </w:tcMar>
              </w:tcPr>
              <w:p w14:paraId="166B6864" w14:textId="77777777" w:rsidR="00631E1E" w:rsidRDefault="00000000">
                <w:pPr>
                  <w:widowControl w:val="0"/>
                  <w:spacing w:line="240" w:lineRule="auto"/>
                  <w:ind w:left="0" w:hanging="2"/>
                  <w:jc w:val="center"/>
                  <w:rPr>
                    <w:sz w:val="24"/>
                    <w:szCs w:val="24"/>
                  </w:rPr>
                </w:pPr>
                <w:r>
                  <w:rPr>
                    <w:sz w:val="24"/>
                    <w:szCs w:val="24"/>
                  </w:rPr>
                  <w:t>Atenção Especializada</w:t>
                </w:r>
              </w:p>
            </w:tc>
            <w:tc>
              <w:tcPr>
                <w:tcW w:w="2835" w:type="dxa"/>
                <w:shd w:val="clear" w:color="auto" w:fill="auto"/>
                <w:tcMar>
                  <w:top w:w="100" w:type="dxa"/>
                  <w:left w:w="100" w:type="dxa"/>
                  <w:bottom w:w="100" w:type="dxa"/>
                  <w:right w:w="100" w:type="dxa"/>
                </w:tcMar>
              </w:tcPr>
              <w:p w14:paraId="31908F1C" w14:textId="77777777" w:rsidR="00631E1E" w:rsidRDefault="00000000">
                <w:pPr>
                  <w:widowControl w:val="0"/>
                  <w:spacing w:line="240" w:lineRule="auto"/>
                  <w:ind w:left="0" w:hanging="2"/>
                  <w:jc w:val="center"/>
                  <w:rPr>
                    <w:sz w:val="24"/>
                    <w:szCs w:val="24"/>
                  </w:rPr>
                </w:pPr>
                <w:r>
                  <w:rPr>
                    <w:sz w:val="24"/>
                    <w:szCs w:val="24"/>
                  </w:rPr>
                  <w:t>R$ 94.5</w:t>
                </w:r>
              </w:p>
            </w:tc>
            <w:tc>
              <w:tcPr>
                <w:tcW w:w="2400" w:type="dxa"/>
                <w:shd w:val="clear" w:color="auto" w:fill="auto"/>
                <w:tcMar>
                  <w:top w:w="100" w:type="dxa"/>
                  <w:left w:w="100" w:type="dxa"/>
                  <w:bottom w:w="100" w:type="dxa"/>
                  <w:right w:w="100" w:type="dxa"/>
                </w:tcMar>
              </w:tcPr>
              <w:p w14:paraId="11CEE34A" w14:textId="77777777" w:rsidR="00631E1E" w:rsidRDefault="00000000">
                <w:pPr>
                  <w:widowControl w:val="0"/>
                  <w:spacing w:line="240" w:lineRule="auto"/>
                  <w:ind w:left="0" w:hanging="2"/>
                  <w:jc w:val="center"/>
                  <w:rPr>
                    <w:sz w:val="24"/>
                    <w:szCs w:val="24"/>
                  </w:rPr>
                </w:pPr>
                <w:r>
                  <w:rPr>
                    <w:sz w:val="24"/>
                    <w:szCs w:val="24"/>
                  </w:rPr>
                  <w:t>R$ 82.3</w:t>
                </w:r>
              </w:p>
            </w:tc>
          </w:tr>
          <w:tr w:rsidR="00631E1E" w14:paraId="1A76DC52" w14:textId="77777777">
            <w:trPr>
              <w:trHeight w:val="440"/>
            </w:trPr>
            <w:tc>
              <w:tcPr>
                <w:tcW w:w="900" w:type="dxa"/>
                <w:vMerge w:val="restart"/>
                <w:shd w:val="clear" w:color="auto" w:fill="auto"/>
                <w:tcMar>
                  <w:top w:w="100" w:type="dxa"/>
                  <w:left w:w="100" w:type="dxa"/>
                  <w:bottom w:w="100" w:type="dxa"/>
                  <w:right w:w="100" w:type="dxa"/>
                </w:tcMar>
              </w:tcPr>
              <w:p w14:paraId="1417F1B0" w14:textId="77777777" w:rsidR="00631E1E" w:rsidRDefault="00631E1E">
                <w:pPr>
                  <w:widowControl w:val="0"/>
                  <w:spacing w:line="240" w:lineRule="auto"/>
                  <w:ind w:left="0" w:hanging="2"/>
                  <w:jc w:val="center"/>
                  <w:rPr>
                    <w:sz w:val="24"/>
                    <w:szCs w:val="24"/>
                  </w:rPr>
                </w:pPr>
              </w:p>
              <w:p w14:paraId="759FA3A2" w14:textId="77777777" w:rsidR="00631E1E" w:rsidRDefault="00631E1E">
                <w:pPr>
                  <w:widowControl w:val="0"/>
                  <w:spacing w:line="240" w:lineRule="auto"/>
                  <w:ind w:left="0" w:hanging="2"/>
                  <w:jc w:val="center"/>
                  <w:rPr>
                    <w:sz w:val="24"/>
                    <w:szCs w:val="24"/>
                  </w:rPr>
                </w:pPr>
              </w:p>
              <w:p w14:paraId="08556E9F" w14:textId="77777777" w:rsidR="00631E1E" w:rsidRDefault="00000000">
                <w:pPr>
                  <w:widowControl w:val="0"/>
                  <w:spacing w:line="240" w:lineRule="auto"/>
                  <w:ind w:left="0" w:hanging="2"/>
                  <w:jc w:val="center"/>
                  <w:rPr>
                    <w:sz w:val="24"/>
                    <w:szCs w:val="24"/>
                  </w:rPr>
                </w:pPr>
                <w:r>
                  <w:rPr>
                    <w:sz w:val="24"/>
                    <w:szCs w:val="24"/>
                  </w:rPr>
                  <w:t>2024</w:t>
                </w:r>
              </w:p>
            </w:tc>
            <w:tc>
              <w:tcPr>
                <w:tcW w:w="2850" w:type="dxa"/>
                <w:shd w:val="clear" w:color="auto" w:fill="auto"/>
                <w:tcMar>
                  <w:top w:w="100" w:type="dxa"/>
                  <w:left w:w="100" w:type="dxa"/>
                  <w:bottom w:w="100" w:type="dxa"/>
                  <w:right w:w="100" w:type="dxa"/>
                </w:tcMar>
              </w:tcPr>
              <w:p w14:paraId="50818B79" w14:textId="77777777" w:rsidR="00631E1E" w:rsidRDefault="00000000">
                <w:pPr>
                  <w:widowControl w:val="0"/>
                  <w:spacing w:line="240" w:lineRule="auto"/>
                  <w:ind w:left="0" w:hanging="2"/>
                  <w:jc w:val="center"/>
                  <w:rPr>
                    <w:sz w:val="24"/>
                    <w:szCs w:val="24"/>
                  </w:rPr>
                </w:pPr>
                <w:r>
                  <w:rPr>
                    <w:sz w:val="24"/>
                    <w:szCs w:val="24"/>
                  </w:rPr>
                  <w:t>Saúde</w:t>
                </w:r>
              </w:p>
            </w:tc>
            <w:tc>
              <w:tcPr>
                <w:tcW w:w="2835" w:type="dxa"/>
                <w:shd w:val="clear" w:color="auto" w:fill="auto"/>
                <w:tcMar>
                  <w:top w:w="100" w:type="dxa"/>
                  <w:left w:w="100" w:type="dxa"/>
                  <w:bottom w:w="100" w:type="dxa"/>
                  <w:right w:w="100" w:type="dxa"/>
                </w:tcMar>
              </w:tcPr>
              <w:p w14:paraId="14D08643" w14:textId="77777777" w:rsidR="00631E1E" w:rsidRDefault="00000000">
                <w:pPr>
                  <w:widowControl w:val="0"/>
                  <w:spacing w:line="240" w:lineRule="auto"/>
                  <w:ind w:left="0" w:hanging="2"/>
                  <w:jc w:val="center"/>
                  <w:rPr>
                    <w:sz w:val="24"/>
                    <w:szCs w:val="24"/>
                  </w:rPr>
                </w:pPr>
                <w:r>
                  <w:rPr>
                    <w:sz w:val="24"/>
                    <w:szCs w:val="24"/>
                  </w:rPr>
                  <w:t>R$ 238.5</w:t>
                </w:r>
              </w:p>
            </w:tc>
            <w:tc>
              <w:tcPr>
                <w:tcW w:w="2400" w:type="dxa"/>
                <w:shd w:val="clear" w:color="auto" w:fill="auto"/>
                <w:tcMar>
                  <w:top w:w="100" w:type="dxa"/>
                  <w:left w:w="100" w:type="dxa"/>
                  <w:bottom w:w="100" w:type="dxa"/>
                  <w:right w:w="100" w:type="dxa"/>
                </w:tcMar>
              </w:tcPr>
              <w:p w14:paraId="1EBB81FF" w14:textId="77777777" w:rsidR="00631E1E" w:rsidRDefault="00000000">
                <w:pPr>
                  <w:widowControl w:val="0"/>
                  <w:spacing w:line="240" w:lineRule="auto"/>
                  <w:ind w:left="0" w:hanging="2"/>
                  <w:jc w:val="center"/>
                  <w:rPr>
                    <w:sz w:val="24"/>
                    <w:szCs w:val="24"/>
                  </w:rPr>
                </w:pPr>
                <w:r>
                  <w:rPr>
                    <w:sz w:val="24"/>
                    <w:szCs w:val="24"/>
                  </w:rPr>
                  <w:t>R$ 203.4</w:t>
                </w:r>
              </w:p>
            </w:tc>
          </w:tr>
          <w:tr w:rsidR="00631E1E" w14:paraId="534D8D60" w14:textId="77777777">
            <w:trPr>
              <w:trHeight w:val="440"/>
            </w:trPr>
            <w:tc>
              <w:tcPr>
                <w:tcW w:w="900" w:type="dxa"/>
                <w:vMerge/>
                <w:shd w:val="clear" w:color="auto" w:fill="auto"/>
                <w:tcMar>
                  <w:top w:w="100" w:type="dxa"/>
                  <w:left w:w="100" w:type="dxa"/>
                  <w:bottom w:w="100" w:type="dxa"/>
                  <w:right w:w="100" w:type="dxa"/>
                </w:tcMar>
              </w:tcPr>
              <w:p w14:paraId="5CEEF09B" w14:textId="77777777" w:rsidR="00631E1E" w:rsidRDefault="00631E1E">
                <w:pPr>
                  <w:widowControl w:val="0"/>
                  <w:spacing w:line="240" w:lineRule="auto"/>
                  <w:ind w:left="0" w:hanging="2"/>
                  <w:jc w:val="center"/>
                  <w:rPr>
                    <w:sz w:val="24"/>
                    <w:szCs w:val="24"/>
                  </w:rPr>
                </w:pPr>
              </w:p>
            </w:tc>
            <w:tc>
              <w:tcPr>
                <w:tcW w:w="2850" w:type="dxa"/>
                <w:shd w:val="clear" w:color="auto" w:fill="auto"/>
                <w:tcMar>
                  <w:top w:w="100" w:type="dxa"/>
                  <w:left w:w="100" w:type="dxa"/>
                  <w:bottom w:w="100" w:type="dxa"/>
                  <w:right w:w="100" w:type="dxa"/>
                </w:tcMar>
              </w:tcPr>
              <w:p w14:paraId="55915AB3" w14:textId="77777777" w:rsidR="00631E1E" w:rsidRDefault="00000000">
                <w:pPr>
                  <w:widowControl w:val="0"/>
                  <w:spacing w:line="240" w:lineRule="auto"/>
                  <w:ind w:left="0" w:hanging="2"/>
                  <w:jc w:val="center"/>
                  <w:rPr>
                    <w:sz w:val="24"/>
                    <w:szCs w:val="24"/>
                  </w:rPr>
                </w:pPr>
                <w:r>
                  <w:rPr>
                    <w:sz w:val="24"/>
                    <w:szCs w:val="24"/>
                  </w:rPr>
                  <w:t>Atenção Primária</w:t>
                </w:r>
              </w:p>
            </w:tc>
            <w:tc>
              <w:tcPr>
                <w:tcW w:w="2835" w:type="dxa"/>
                <w:shd w:val="clear" w:color="auto" w:fill="auto"/>
                <w:tcMar>
                  <w:top w:w="100" w:type="dxa"/>
                  <w:left w:w="100" w:type="dxa"/>
                  <w:bottom w:w="100" w:type="dxa"/>
                  <w:right w:w="100" w:type="dxa"/>
                </w:tcMar>
              </w:tcPr>
              <w:p w14:paraId="4451708D" w14:textId="77777777" w:rsidR="00631E1E" w:rsidRDefault="00000000">
                <w:pPr>
                  <w:widowControl w:val="0"/>
                  <w:spacing w:line="240" w:lineRule="auto"/>
                  <w:ind w:left="0" w:hanging="2"/>
                  <w:jc w:val="center"/>
                  <w:rPr>
                    <w:sz w:val="24"/>
                    <w:szCs w:val="24"/>
                  </w:rPr>
                </w:pPr>
                <w:r>
                  <w:rPr>
                    <w:sz w:val="24"/>
                    <w:szCs w:val="24"/>
                  </w:rPr>
                  <w:t>R$ 55.7</w:t>
                </w:r>
              </w:p>
            </w:tc>
            <w:tc>
              <w:tcPr>
                <w:tcW w:w="2400" w:type="dxa"/>
                <w:shd w:val="clear" w:color="auto" w:fill="auto"/>
                <w:tcMar>
                  <w:top w:w="100" w:type="dxa"/>
                  <w:left w:w="100" w:type="dxa"/>
                  <w:bottom w:w="100" w:type="dxa"/>
                  <w:right w:w="100" w:type="dxa"/>
                </w:tcMar>
              </w:tcPr>
              <w:p w14:paraId="03579DCE" w14:textId="77777777" w:rsidR="00631E1E" w:rsidRDefault="00000000">
                <w:pPr>
                  <w:widowControl w:val="0"/>
                  <w:spacing w:line="240" w:lineRule="auto"/>
                  <w:ind w:left="0" w:hanging="2"/>
                  <w:jc w:val="center"/>
                  <w:rPr>
                    <w:sz w:val="24"/>
                    <w:szCs w:val="24"/>
                  </w:rPr>
                </w:pPr>
                <w:r>
                  <w:rPr>
                    <w:sz w:val="24"/>
                    <w:szCs w:val="24"/>
                  </w:rPr>
                  <w:t>R$ 50.2</w:t>
                </w:r>
              </w:p>
            </w:tc>
          </w:tr>
          <w:tr w:rsidR="00631E1E" w14:paraId="4056E18B" w14:textId="77777777">
            <w:trPr>
              <w:trHeight w:val="440"/>
            </w:trPr>
            <w:tc>
              <w:tcPr>
                <w:tcW w:w="900" w:type="dxa"/>
                <w:vMerge/>
                <w:shd w:val="clear" w:color="auto" w:fill="auto"/>
                <w:tcMar>
                  <w:top w:w="100" w:type="dxa"/>
                  <w:left w:w="100" w:type="dxa"/>
                  <w:bottom w:w="100" w:type="dxa"/>
                  <w:right w:w="100" w:type="dxa"/>
                </w:tcMar>
              </w:tcPr>
              <w:p w14:paraId="613575CA" w14:textId="77777777" w:rsidR="00631E1E" w:rsidRDefault="00631E1E">
                <w:pPr>
                  <w:widowControl w:val="0"/>
                  <w:spacing w:line="240" w:lineRule="auto"/>
                  <w:ind w:left="0" w:hanging="2"/>
                  <w:jc w:val="center"/>
                  <w:rPr>
                    <w:sz w:val="24"/>
                    <w:szCs w:val="24"/>
                  </w:rPr>
                </w:pPr>
              </w:p>
            </w:tc>
            <w:tc>
              <w:tcPr>
                <w:tcW w:w="2850" w:type="dxa"/>
                <w:shd w:val="clear" w:color="auto" w:fill="auto"/>
                <w:tcMar>
                  <w:top w:w="100" w:type="dxa"/>
                  <w:left w:w="100" w:type="dxa"/>
                  <w:bottom w:w="100" w:type="dxa"/>
                  <w:right w:w="100" w:type="dxa"/>
                </w:tcMar>
              </w:tcPr>
              <w:p w14:paraId="5AF49F06" w14:textId="77777777" w:rsidR="00631E1E" w:rsidRDefault="00000000">
                <w:pPr>
                  <w:widowControl w:val="0"/>
                  <w:spacing w:line="240" w:lineRule="auto"/>
                  <w:ind w:left="0" w:hanging="2"/>
                  <w:jc w:val="center"/>
                  <w:rPr>
                    <w:sz w:val="24"/>
                    <w:szCs w:val="24"/>
                  </w:rPr>
                </w:pPr>
                <w:r>
                  <w:rPr>
                    <w:sz w:val="24"/>
                    <w:szCs w:val="24"/>
                  </w:rPr>
                  <w:t>Atenção Especializada</w:t>
                </w:r>
              </w:p>
            </w:tc>
            <w:tc>
              <w:tcPr>
                <w:tcW w:w="2835" w:type="dxa"/>
                <w:shd w:val="clear" w:color="auto" w:fill="auto"/>
                <w:tcMar>
                  <w:top w:w="100" w:type="dxa"/>
                  <w:left w:w="100" w:type="dxa"/>
                  <w:bottom w:w="100" w:type="dxa"/>
                  <w:right w:w="100" w:type="dxa"/>
                </w:tcMar>
              </w:tcPr>
              <w:p w14:paraId="75857E72" w14:textId="77777777" w:rsidR="00631E1E" w:rsidRDefault="00000000">
                <w:pPr>
                  <w:widowControl w:val="0"/>
                  <w:spacing w:line="240" w:lineRule="auto"/>
                  <w:ind w:left="0" w:hanging="2"/>
                  <w:jc w:val="center"/>
                  <w:rPr>
                    <w:sz w:val="24"/>
                    <w:szCs w:val="24"/>
                  </w:rPr>
                </w:pPr>
                <w:r>
                  <w:rPr>
                    <w:sz w:val="24"/>
                    <w:szCs w:val="24"/>
                  </w:rPr>
                  <w:t>R$ 105.5</w:t>
                </w:r>
              </w:p>
            </w:tc>
            <w:tc>
              <w:tcPr>
                <w:tcW w:w="2400" w:type="dxa"/>
                <w:shd w:val="clear" w:color="auto" w:fill="auto"/>
                <w:tcMar>
                  <w:top w:w="100" w:type="dxa"/>
                  <w:left w:w="100" w:type="dxa"/>
                  <w:bottom w:w="100" w:type="dxa"/>
                  <w:right w:w="100" w:type="dxa"/>
                </w:tcMar>
              </w:tcPr>
              <w:p w14:paraId="1D50D061" w14:textId="77777777" w:rsidR="00631E1E" w:rsidRDefault="00000000">
                <w:pPr>
                  <w:widowControl w:val="0"/>
                  <w:spacing w:line="240" w:lineRule="auto"/>
                  <w:ind w:left="0" w:hanging="2"/>
                  <w:jc w:val="center"/>
                  <w:rPr>
                    <w:sz w:val="24"/>
                    <w:szCs w:val="24"/>
                  </w:rPr>
                </w:pPr>
                <w:r>
                  <w:rPr>
                    <w:sz w:val="24"/>
                    <w:szCs w:val="24"/>
                  </w:rPr>
                  <w:t>R$ 91.3</w:t>
                </w:r>
              </w:p>
            </w:tc>
          </w:tr>
          <w:tr w:rsidR="00631E1E" w14:paraId="2ECA34D7" w14:textId="77777777">
            <w:trPr>
              <w:trHeight w:val="440"/>
            </w:trPr>
            <w:tc>
              <w:tcPr>
                <w:tcW w:w="900" w:type="dxa"/>
                <w:vMerge w:val="restart"/>
                <w:shd w:val="clear" w:color="auto" w:fill="auto"/>
                <w:tcMar>
                  <w:top w:w="100" w:type="dxa"/>
                  <w:left w:w="100" w:type="dxa"/>
                  <w:bottom w:w="100" w:type="dxa"/>
                  <w:right w:w="100" w:type="dxa"/>
                </w:tcMar>
              </w:tcPr>
              <w:p w14:paraId="60177633" w14:textId="77777777" w:rsidR="00631E1E" w:rsidRDefault="00631E1E">
                <w:pPr>
                  <w:widowControl w:val="0"/>
                  <w:spacing w:line="240" w:lineRule="auto"/>
                  <w:ind w:left="0" w:hanging="2"/>
                  <w:jc w:val="center"/>
                  <w:rPr>
                    <w:sz w:val="24"/>
                    <w:szCs w:val="24"/>
                  </w:rPr>
                </w:pPr>
              </w:p>
              <w:p w14:paraId="7F1E6129" w14:textId="77777777" w:rsidR="00631E1E" w:rsidRDefault="00000000">
                <w:pPr>
                  <w:widowControl w:val="0"/>
                  <w:spacing w:line="240" w:lineRule="auto"/>
                  <w:ind w:left="0" w:hanging="2"/>
                  <w:jc w:val="center"/>
                  <w:rPr>
                    <w:sz w:val="24"/>
                    <w:szCs w:val="24"/>
                  </w:rPr>
                </w:pPr>
                <w:r>
                  <w:rPr>
                    <w:sz w:val="24"/>
                    <w:szCs w:val="24"/>
                  </w:rPr>
                  <w:t>2025</w:t>
                </w:r>
              </w:p>
            </w:tc>
            <w:tc>
              <w:tcPr>
                <w:tcW w:w="2850" w:type="dxa"/>
                <w:shd w:val="clear" w:color="auto" w:fill="auto"/>
                <w:tcMar>
                  <w:top w:w="100" w:type="dxa"/>
                  <w:left w:w="100" w:type="dxa"/>
                  <w:bottom w:w="100" w:type="dxa"/>
                  <w:right w:w="100" w:type="dxa"/>
                </w:tcMar>
              </w:tcPr>
              <w:p w14:paraId="4B824B8B" w14:textId="77777777" w:rsidR="00631E1E" w:rsidRDefault="00000000">
                <w:pPr>
                  <w:widowControl w:val="0"/>
                  <w:spacing w:line="240" w:lineRule="auto"/>
                  <w:ind w:left="0" w:hanging="2"/>
                  <w:jc w:val="center"/>
                  <w:rPr>
                    <w:sz w:val="24"/>
                    <w:szCs w:val="24"/>
                  </w:rPr>
                </w:pPr>
                <w:r>
                  <w:rPr>
                    <w:sz w:val="24"/>
                    <w:szCs w:val="24"/>
                  </w:rPr>
                  <w:t>Saúde</w:t>
                </w:r>
              </w:p>
            </w:tc>
            <w:tc>
              <w:tcPr>
                <w:tcW w:w="2835" w:type="dxa"/>
                <w:shd w:val="clear" w:color="auto" w:fill="auto"/>
                <w:tcMar>
                  <w:top w:w="100" w:type="dxa"/>
                  <w:left w:w="100" w:type="dxa"/>
                  <w:bottom w:w="100" w:type="dxa"/>
                  <w:right w:w="100" w:type="dxa"/>
                </w:tcMar>
              </w:tcPr>
              <w:p w14:paraId="6098F1D4" w14:textId="77777777" w:rsidR="00631E1E" w:rsidRDefault="00000000">
                <w:pPr>
                  <w:widowControl w:val="0"/>
                  <w:spacing w:line="240" w:lineRule="auto"/>
                  <w:ind w:left="0" w:hanging="2"/>
                  <w:jc w:val="center"/>
                  <w:rPr>
                    <w:sz w:val="24"/>
                    <w:szCs w:val="24"/>
                  </w:rPr>
                </w:pPr>
                <w:r>
                  <w:rPr>
                    <w:sz w:val="24"/>
                    <w:szCs w:val="24"/>
                  </w:rPr>
                  <w:t>R$ 240.8</w:t>
                </w:r>
              </w:p>
            </w:tc>
            <w:tc>
              <w:tcPr>
                <w:tcW w:w="2400" w:type="dxa"/>
                <w:shd w:val="clear" w:color="auto" w:fill="auto"/>
                <w:tcMar>
                  <w:top w:w="100" w:type="dxa"/>
                  <w:left w:w="100" w:type="dxa"/>
                  <w:bottom w:w="100" w:type="dxa"/>
                  <w:right w:w="100" w:type="dxa"/>
                </w:tcMar>
              </w:tcPr>
              <w:p w14:paraId="66824627" w14:textId="77777777" w:rsidR="00631E1E" w:rsidRDefault="00000000">
                <w:pPr>
                  <w:widowControl w:val="0"/>
                  <w:spacing w:line="240" w:lineRule="auto"/>
                  <w:ind w:left="0" w:hanging="2"/>
                  <w:jc w:val="center"/>
                  <w:rPr>
                    <w:sz w:val="24"/>
                    <w:szCs w:val="24"/>
                  </w:rPr>
                </w:pPr>
                <w:r>
                  <w:rPr>
                    <w:sz w:val="24"/>
                    <w:szCs w:val="24"/>
                  </w:rPr>
                  <w:t>R$ 83.0</w:t>
                </w:r>
              </w:p>
            </w:tc>
          </w:tr>
          <w:tr w:rsidR="00631E1E" w14:paraId="006B7698" w14:textId="77777777">
            <w:trPr>
              <w:trHeight w:val="440"/>
            </w:trPr>
            <w:tc>
              <w:tcPr>
                <w:tcW w:w="900" w:type="dxa"/>
                <w:vMerge/>
                <w:shd w:val="clear" w:color="auto" w:fill="auto"/>
                <w:tcMar>
                  <w:top w:w="100" w:type="dxa"/>
                  <w:left w:w="100" w:type="dxa"/>
                  <w:bottom w:w="100" w:type="dxa"/>
                  <w:right w:w="100" w:type="dxa"/>
                </w:tcMar>
              </w:tcPr>
              <w:p w14:paraId="1E59DA73" w14:textId="77777777" w:rsidR="00631E1E" w:rsidRDefault="00631E1E">
                <w:pPr>
                  <w:widowControl w:val="0"/>
                  <w:spacing w:line="240" w:lineRule="auto"/>
                  <w:ind w:left="0" w:hanging="2"/>
                  <w:jc w:val="center"/>
                  <w:rPr>
                    <w:sz w:val="24"/>
                    <w:szCs w:val="24"/>
                  </w:rPr>
                </w:pPr>
              </w:p>
            </w:tc>
            <w:tc>
              <w:tcPr>
                <w:tcW w:w="2850" w:type="dxa"/>
                <w:shd w:val="clear" w:color="auto" w:fill="auto"/>
                <w:tcMar>
                  <w:top w:w="100" w:type="dxa"/>
                  <w:left w:w="100" w:type="dxa"/>
                  <w:bottom w:w="100" w:type="dxa"/>
                  <w:right w:w="100" w:type="dxa"/>
                </w:tcMar>
              </w:tcPr>
              <w:p w14:paraId="781E260C" w14:textId="77777777" w:rsidR="00631E1E" w:rsidRDefault="00000000">
                <w:pPr>
                  <w:widowControl w:val="0"/>
                  <w:spacing w:line="240" w:lineRule="auto"/>
                  <w:ind w:left="0" w:hanging="2"/>
                  <w:jc w:val="center"/>
                  <w:rPr>
                    <w:sz w:val="24"/>
                    <w:szCs w:val="24"/>
                  </w:rPr>
                </w:pPr>
                <w:r>
                  <w:rPr>
                    <w:sz w:val="24"/>
                    <w:szCs w:val="24"/>
                  </w:rPr>
                  <w:t>Atenção Primária</w:t>
                </w:r>
              </w:p>
            </w:tc>
            <w:tc>
              <w:tcPr>
                <w:tcW w:w="2835" w:type="dxa"/>
                <w:shd w:val="clear" w:color="auto" w:fill="auto"/>
                <w:tcMar>
                  <w:top w:w="100" w:type="dxa"/>
                  <w:left w:w="100" w:type="dxa"/>
                  <w:bottom w:w="100" w:type="dxa"/>
                  <w:right w:w="100" w:type="dxa"/>
                </w:tcMar>
              </w:tcPr>
              <w:p w14:paraId="37A68402" w14:textId="77777777" w:rsidR="00631E1E" w:rsidRDefault="00000000">
                <w:pPr>
                  <w:widowControl w:val="0"/>
                  <w:spacing w:line="240" w:lineRule="auto"/>
                  <w:ind w:left="0" w:hanging="2"/>
                  <w:jc w:val="center"/>
                  <w:rPr>
                    <w:sz w:val="24"/>
                    <w:szCs w:val="24"/>
                  </w:rPr>
                </w:pPr>
                <w:r>
                  <w:rPr>
                    <w:sz w:val="24"/>
                    <w:szCs w:val="24"/>
                  </w:rPr>
                  <w:t>R$ 59.2</w:t>
                </w:r>
              </w:p>
            </w:tc>
            <w:tc>
              <w:tcPr>
                <w:tcW w:w="2400" w:type="dxa"/>
                <w:shd w:val="clear" w:color="auto" w:fill="auto"/>
                <w:tcMar>
                  <w:top w:w="100" w:type="dxa"/>
                  <w:left w:w="100" w:type="dxa"/>
                  <w:bottom w:w="100" w:type="dxa"/>
                  <w:right w:w="100" w:type="dxa"/>
                </w:tcMar>
              </w:tcPr>
              <w:p w14:paraId="0A231F11" w14:textId="77777777" w:rsidR="00631E1E" w:rsidRDefault="00000000">
                <w:pPr>
                  <w:widowControl w:val="0"/>
                  <w:spacing w:line="240" w:lineRule="auto"/>
                  <w:ind w:left="0" w:hanging="2"/>
                  <w:jc w:val="center"/>
                  <w:rPr>
                    <w:sz w:val="24"/>
                    <w:szCs w:val="24"/>
                  </w:rPr>
                </w:pPr>
                <w:r>
                  <w:rPr>
                    <w:sz w:val="24"/>
                    <w:szCs w:val="24"/>
                  </w:rPr>
                  <w:t>R$ 21.3</w:t>
                </w:r>
              </w:p>
            </w:tc>
          </w:tr>
          <w:tr w:rsidR="00631E1E" w14:paraId="491DC2F2" w14:textId="77777777">
            <w:trPr>
              <w:trHeight w:val="440"/>
            </w:trPr>
            <w:tc>
              <w:tcPr>
                <w:tcW w:w="900" w:type="dxa"/>
                <w:vMerge/>
                <w:shd w:val="clear" w:color="auto" w:fill="auto"/>
                <w:tcMar>
                  <w:top w:w="100" w:type="dxa"/>
                  <w:left w:w="100" w:type="dxa"/>
                  <w:bottom w:w="100" w:type="dxa"/>
                  <w:right w:w="100" w:type="dxa"/>
                </w:tcMar>
              </w:tcPr>
              <w:p w14:paraId="35B1472A" w14:textId="77777777" w:rsidR="00631E1E" w:rsidRDefault="00631E1E">
                <w:pPr>
                  <w:widowControl w:val="0"/>
                  <w:spacing w:line="240" w:lineRule="auto"/>
                  <w:ind w:left="0" w:hanging="2"/>
                  <w:jc w:val="center"/>
                  <w:rPr>
                    <w:sz w:val="24"/>
                    <w:szCs w:val="24"/>
                  </w:rPr>
                </w:pPr>
              </w:p>
            </w:tc>
            <w:tc>
              <w:tcPr>
                <w:tcW w:w="2850" w:type="dxa"/>
                <w:shd w:val="clear" w:color="auto" w:fill="auto"/>
                <w:tcMar>
                  <w:top w:w="100" w:type="dxa"/>
                  <w:left w:w="100" w:type="dxa"/>
                  <w:bottom w:w="100" w:type="dxa"/>
                  <w:right w:w="100" w:type="dxa"/>
                </w:tcMar>
              </w:tcPr>
              <w:p w14:paraId="6D03D499" w14:textId="77777777" w:rsidR="00631E1E" w:rsidRDefault="00000000">
                <w:pPr>
                  <w:widowControl w:val="0"/>
                  <w:spacing w:line="240" w:lineRule="auto"/>
                  <w:ind w:left="0" w:hanging="2"/>
                  <w:jc w:val="center"/>
                  <w:rPr>
                    <w:sz w:val="24"/>
                    <w:szCs w:val="24"/>
                  </w:rPr>
                </w:pPr>
                <w:r>
                  <w:rPr>
                    <w:sz w:val="24"/>
                    <w:szCs w:val="24"/>
                  </w:rPr>
                  <w:t>Atenção Especializada</w:t>
                </w:r>
              </w:p>
            </w:tc>
            <w:tc>
              <w:tcPr>
                <w:tcW w:w="2835" w:type="dxa"/>
                <w:shd w:val="clear" w:color="auto" w:fill="auto"/>
                <w:tcMar>
                  <w:top w:w="100" w:type="dxa"/>
                  <w:left w:w="100" w:type="dxa"/>
                  <w:bottom w:w="100" w:type="dxa"/>
                  <w:right w:w="100" w:type="dxa"/>
                </w:tcMar>
              </w:tcPr>
              <w:p w14:paraId="46FFDBAE" w14:textId="77777777" w:rsidR="00631E1E" w:rsidRDefault="00000000">
                <w:pPr>
                  <w:widowControl w:val="0"/>
                  <w:spacing w:line="240" w:lineRule="auto"/>
                  <w:ind w:left="0" w:hanging="2"/>
                  <w:jc w:val="center"/>
                  <w:rPr>
                    <w:sz w:val="24"/>
                    <w:szCs w:val="24"/>
                  </w:rPr>
                </w:pPr>
                <w:r>
                  <w:rPr>
                    <w:sz w:val="24"/>
                    <w:szCs w:val="24"/>
                  </w:rPr>
                  <w:t>R$ 101.2</w:t>
                </w:r>
              </w:p>
            </w:tc>
            <w:tc>
              <w:tcPr>
                <w:tcW w:w="2400" w:type="dxa"/>
                <w:shd w:val="clear" w:color="auto" w:fill="auto"/>
                <w:tcMar>
                  <w:top w:w="100" w:type="dxa"/>
                  <w:left w:w="100" w:type="dxa"/>
                  <w:bottom w:w="100" w:type="dxa"/>
                  <w:right w:w="100" w:type="dxa"/>
                </w:tcMar>
              </w:tcPr>
              <w:p w14:paraId="609B83D7" w14:textId="77777777" w:rsidR="00631E1E" w:rsidRDefault="00000000">
                <w:pPr>
                  <w:widowControl w:val="0"/>
                  <w:spacing w:line="240" w:lineRule="auto"/>
                  <w:ind w:left="0" w:hanging="2"/>
                  <w:jc w:val="center"/>
                  <w:rPr>
                    <w:sz w:val="24"/>
                    <w:szCs w:val="24"/>
                  </w:rPr>
                </w:pPr>
                <w:r>
                  <w:rPr>
                    <w:sz w:val="24"/>
                    <w:szCs w:val="24"/>
                  </w:rPr>
                  <w:t>R$ 37.5</w:t>
                </w:r>
              </w:p>
            </w:tc>
          </w:tr>
        </w:tbl>
      </w:sdtContent>
    </w:sdt>
    <w:p w14:paraId="15CC90B6" w14:textId="77777777" w:rsidR="00631E1E" w:rsidRDefault="00000000">
      <w:pPr>
        <w:spacing w:line="360" w:lineRule="auto"/>
        <w:ind w:left="0" w:hanging="2"/>
        <w:jc w:val="both"/>
        <w:rPr>
          <w:sz w:val="20"/>
          <w:szCs w:val="20"/>
        </w:rPr>
      </w:pPr>
      <w:r>
        <w:rPr>
          <w:sz w:val="20"/>
          <w:szCs w:val="20"/>
        </w:rPr>
        <w:t xml:space="preserve">Fonte: Elaboração Própria, com base nos dados do  Siga Brasil. Valores deflacionados pelo IPCA, </w:t>
      </w:r>
      <w:proofErr w:type="spellStart"/>
      <w:r>
        <w:rPr>
          <w:sz w:val="20"/>
          <w:szCs w:val="20"/>
        </w:rPr>
        <w:t>jun</w:t>
      </w:r>
      <w:proofErr w:type="spellEnd"/>
      <w:r>
        <w:rPr>
          <w:sz w:val="20"/>
          <w:szCs w:val="20"/>
        </w:rPr>
        <w:t>/2025 (em bilhões).</w:t>
      </w:r>
    </w:p>
    <w:p w14:paraId="63D864F1" w14:textId="77777777" w:rsidR="00631E1E" w:rsidRDefault="00631E1E">
      <w:pPr>
        <w:spacing w:line="360" w:lineRule="auto"/>
        <w:ind w:left="0" w:hanging="2"/>
        <w:jc w:val="both"/>
        <w:rPr>
          <w:color w:val="0000FF"/>
          <w:sz w:val="24"/>
          <w:szCs w:val="24"/>
        </w:rPr>
      </w:pPr>
    </w:p>
    <w:p w14:paraId="7FA54EAF" w14:textId="15B1168C" w:rsidR="00631E1E" w:rsidRDefault="00000000" w:rsidP="00E969C7">
      <w:pPr>
        <w:spacing w:line="360" w:lineRule="auto"/>
        <w:ind w:leftChars="0" w:left="0" w:firstLineChars="0" w:firstLine="720"/>
        <w:jc w:val="both"/>
        <w:rPr>
          <w:sz w:val="24"/>
          <w:szCs w:val="24"/>
        </w:rPr>
      </w:pPr>
      <w:r>
        <w:rPr>
          <w:sz w:val="24"/>
          <w:szCs w:val="24"/>
        </w:rPr>
        <w:t xml:space="preserve">Em 2023, primeiro ano analisado, a função saúde segue enfrentando os desafios na alocação dos recursos orçamentários, o que impacta diretamente na </w:t>
      </w:r>
      <w:r>
        <w:rPr>
          <w:sz w:val="24"/>
          <w:szCs w:val="24"/>
        </w:rPr>
        <w:lastRenderedPageBreak/>
        <w:t>execução dos programas da atenção primária e especializada. Behring e Souza (2022, p.86), destacam que, “desde o ingresso no ciclo ultraneoliberal, o orçamento da Seguridade vem apresentando estagnação, e no caso da saúde uma queda no planejamento orçamentário” (Behring; Souza, 2022, p. 86). Evidenciados na diferença entre o quantitativo autorizado e os valores efetivamente pagos.</w:t>
      </w:r>
    </w:p>
    <w:p w14:paraId="03C88750" w14:textId="5855A4D6" w:rsidR="00631E1E" w:rsidRPr="00E969C7" w:rsidRDefault="00000000" w:rsidP="00E969C7">
      <w:pPr>
        <w:spacing w:line="360" w:lineRule="auto"/>
        <w:ind w:leftChars="0" w:left="0" w:firstLineChars="0" w:firstLine="720"/>
        <w:jc w:val="both"/>
        <w:rPr>
          <w:sz w:val="24"/>
          <w:szCs w:val="24"/>
        </w:rPr>
      </w:pPr>
      <w:r>
        <w:rPr>
          <w:sz w:val="24"/>
          <w:szCs w:val="24"/>
        </w:rPr>
        <w:t xml:space="preserve">Com a vigência do PPA 2024-2027, observa-se um aumento no valor autorizado para a saúde, resultado da revogação da EC 95/2016 e do restabelecimento do piso constitucional, que determina a União aplicar no mínimo 15% das receitas correntes líquidas para ações e serviços públicos de saúde (Salvador, 2024). No entanto, apesar do incremento orçamentário, a histórica divergência entre os valores </w:t>
      </w:r>
      <w:r w:rsidRPr="00E969C7">
        <w:rPr>
          <w:sz w:val="24"/>
          <w:szCs w:val="24"/>
        </w:rPr>
        <w:t>autorizados e os efetivamente pagos, persistem, refletindo nas disputas em torno do orçamento público. Conforme o Quadro 01, entre os anos de 2023-2025, foram pagos R$211.1 bilhões para a Atenção Especializada, valor quase duas vezes superior ao destinado para o Programa da Atenção Básica, que recebeu R$114.3 bilhões no mesmo período. Essa discrepância revela o significativo favorecimento do setor privado na prestação de serviços de saúde.</w:t>
      </w:r>
    </w:p>
    <w:p w14:paraId="3EFBC5BB" w14:textId="77777777" w:rsidR="00631E1E" w:rsidRDefault="00000000" w:rsidP="00E969C7">
      <w:pPr>
        <w:spacing w:line="360" w:lineRule="auto"/>
        <w:ind w:leftChars="0" w:left="0" w:firstLineChars="0" w:firstLine="720"/>
        <w:jc w:val="both"/>
        <w:rPr>
          <w:sz w:val="24"/>
          <w:szCs w:val="24"/>
        </w:rPr>
      </w:pPr>
      <w:r w:rsidRPr="00E969C7">
        <w:rPr>
          <w:sz w:val="24"/>
          <w:szCs w:val="24"/>
        </w:rPr>
        <w:t xml:space="preserve">Pensar a pequena evolução destinada à saúde, não exime o compromisso de </w:t>
      </w:r>
      <w:r>
        <w:rPr>
          <w:sz w:val="24"/>
          <w:szCs w:val="24"/>
        </w:rPr>
        <w:t>uma análise crítica, ao considerar que o mesmo ainda se expressa em face de um crescimento vegetativo. Reflexo de permanentes medidas de ajuste fiscal que favorecem o enfraquecimento das disputas dos movimentos sociais e segmentos da classe trabalhadora por uma política de saúde que para além de universal, seja gratuita.</w:t>
      </w:r>
    </w:p>
    <w:p w14:paraId="5BDD5D37" w14:textId="77777777" w:rsidR="00631E1E" w:rsidRDefault="00631E1E">
      <w:pPr>
        <w:spacing w:line="360" w:lineRule="auto"/>
        <w:ind w:left="0" w:hanging="2"/>
        <w:jc w:val="both"/>
        <w:rPr>
          <w:sz w:val="24"/>
          <w:szCs w:val="24"/>
        </w:rPr>
      </w:pPr>
    </w:p>
    <w:p w14:paraId="564DEF5B" w14:textId="77777777" w:rsidR="00631E1E" w:rsidRDefault="00000000">
      <w:pPr>
        <w:spacing w:line="360" w:lineRule="auto"/>
        <w:ind w:left="0" w:hanging="2"/>
        <w:jc w:val="both"/>
        <w:rPr>
          <w:b/>
          <w:sz w:val="24"/>
          <w:szCs w:val="24"/>
        </w:rPr>
      </w:pPr>
      <w:r>
        <w:rPr>
          <w:b/>
          <w:sz w:val="24"/>
          <w:szCs w:val="24"/>
        </w:rPr>
        <w:t xml:space="preserve">4 CONCLUSÃO </w:t>
      </w:r>
    </w:p>
    <w:p w14:paraId="06E450E0" w14:textId="77777777" w:rsidR="00631E1E" w:rsidRDefault="00631E1E">
      <w:pPr>
        <w:spacing w:line="360" w:lineRule="auto"/>
        <w:ind w:left="0" w:hanging="2"/>
        <w:jc w:val="both"/>
        <w:rPr>
          <w:b/>
          <w:sz w:val="24"/>
          <w:szCs w:val="24"/>
        </w:rPr>
      </w:pPr>
    </w:p>
    <w:p w14:paraId="7FFF5A8B" w14:textId="0A6EE0FD" w:rsidR="00631E1E" w:rsidRDefault="00000000" w:rsidP="00E969C7">
      <w:pPr>
        <w:spacing w:line="360" w:lineRule="auto"/>
        <w:ind w:leftChars="0" w:left="0" w:firstLineChars="0" w:firstLine="720"/>
        <w:jc w:val="both"/>
        <w:rPr>
          <w:sz w:val="24"/>
          <w:szCs w:val="24"/>
        </w:rPr>
      </w:pPr>
      <w:r>
        <w:rPr>
          <w:sz w:val="24"/>
          <w:szCs w:val="24"/>
        </w:rPr>
        <w:t>Este artigo analisou as prioridades orçamentárias do governo federal na saúde entre 2023 e a primeira metade de 2025, início da atual gestão.  Embora PPA (2024-2027) traga avanços sociais e políticos, observa-se a continuidade da</w:t>
      </w:r>
      <w:r w:rsidR="00E969C7">
        <w:rPr>
          <w:sz w:val="24"/>
          <w:szCs w:val="24"/>
        </w:rPr>
        <w:t xml:space="preserve"> </w:t>
      </w:r>
      <w:r>
        <w:rPr>
          <w:sz w:val="24"/>
          <w:szCs w:val="24"/>
        </w:rPr>
        <w:t xml:space="preserve">tendência de privatização e mercantilização do SUS, por meio das parcerias público-privadas, sem </w:t>
      </w:r>
      <w:r>
        <w:rPr>
          <w:sz w:val="24"/>
          <w:szCs w:val="24"/>
        </w:rPr>
        <w:lastRenderedPageBreak/>
        <w:t>ruptura desse modelo. Nessa direção, o NAF, ao priorizar o equilíbrio fiscal e os interesses do capital financeiro, revela-se incompatível com a ampliação de direitos, o fortalecimento do SUS e a melhoria das condições de saúde. Essa contradição se acentua no cenário pós-pandêmico, que exige mais investimentos públicos, e não novos limites orçamentários.</w:t>
      </w:r>
    </w:p>
    <w:p w14:paraId="0241770B" w14:textId="089C18DE" w:rsidR="00631E1E" w:rsidRDefault="00000000" w:rsidP="00E969C7">
      <w:pPr>
        <w:spacing w:line="360" w:lineRule="auto"/>
        <w:ind w:leftChars="0" w:left="0" w:firstLineChars="0" w:firstLine="720"/>
        <w:jc w:val="both"/>
        <w:rPr>
          <w:sz w:val="24"/>
          <w:szCs w:val="24"/>
        </w:rPr>
      </w:pPr>
      <w:r>
        <w:rPr>
          <w:sz w:val="24"/>
          <w:szCs w:val="24"/>
        </w:rPr>
        <w:t xml:space="preserve">Outrossim, é importante destacar que o orçamento à saúde foi restabelecido ao piso constitucional, garantindo a aplicação dos 15% das RCL. Paralelamente, as proposições do PPA e da 17ª Conferência Nacional de Saúde, revelam-se alinhadas aos princípios democráticos e apresentam um fôlego incipiente às demandas da população usuária. No entanto, é preciso reconhecer que as propostas incorporadas ao atual PPA não contemplam integralmente as deliberações da Conferência, o que limita seu alcance diante das necessidades. </w:t>
      </w:r>
    </w:p>
    <w:p w14:paraId="24808DE1" w14:textId="77777777" w:rsidR="00631E1E" w:rsidRDefault="00000000" w:rsidP="00E969C7">
      <w:pPr>
        <w:spacing w:line="360" w:lineRule="auto"/>
        <w:ind w:leftChars="0" w:left="0" w:firstLineChars="0" w:firstLine="720"/>
        <w:jc w:val="both"/>
        <w:rPr>
          <w:sz w:val="24"/>
          <w:szCs w:val="24"/>
        </w:rPr>
      </w:pPr>
      <w:r>
        <w:rPr>
          <w:sz w:val="24"/>
          <w:szCs w:val="24"/>
        </w:rPr>
        <w:t>Por fim, ainda que o Estado seja um instrumento regulador de classes sociais antagônicas, a luta política por direitos sociais potencializa e objetiva sua efetivação. Considerando que os dados aqui apresentados, tratam de resultados parciais de pesquisa, destaca-se a importância de dar continuidade à produção científica comprometida com o fortalecimento da crítica social e da luta coletiva por justiça.</w:t>
      </w:r>
    </w:p>
    <w:p w14:paraId="72CFC302" w14:textId="77777777" w:rsidR="00631E1E" w:rsidRDefault="00631E1E">
      <w:pPr>
        <w:spacing w:line="360" w:lineRule="auto"/>
        <w:ind w:left="0" w:hanging="2"/>
        <w:jc w:val="both"/>
        <w:rPr>
          <w:sz w:val="24"/>
          <w:szCs w:val="24"/>
        </w:rPr>
      </w:pPr>
    </w:p>
    <w:p w14:paraId="27792581" w14:textId="77777777" w:rsidR="00631E1E" w:rsidRDefault="00000000">
      <w:pPr>
        <w:spacing w:line="360" w:lineRule="auto"/>
        <w:ind w:left="0" w:hanging="2"/>
        <w:jc w:val="both"/>
        <w:rPr>
          <w:sz w:val="24"/>
          <w:szCs w:val="24"/>
        </w:rPr>
      </w:pPr>
      <w:r>
        <w:rPr>
          <w:b/>
          <w:sz w:val="24"/>
          <w:szCs w:val="24"/>
        </w:rPr>
        <w:t xml:space="preserve">REFERÊNCIAS </w:t>
      </w:r>
    </w:p>
    <w:p w14:paraId="6DA0906A" w14:textId="77777777" w:rsidR="00631E1E" w:rsidRDefault="00631E1E">
      <w:pPr>
        <w:spacing w:line="360" w:lineRule="auto"/>
        <w:ind w:left="0" w:hanging="2"/>
        <w:jc w:val="both"/>
        <w:rPr>
          <w:sz w:val="24"/>
          <w:szCs w:val="24"/>
        </w:rPr>
      </w:pPr>
    </w:p>
    <w:p w14:paraId="43D12872" w14:textId="77777777" w:rsidR="00631E1E" w:rsidRDefault="00000000">
      <w:pPr>
        <w:spacing w:line="240" w:lineRule="auto"/>
        <w:ind w:left="0" w:hanging="2"/>
        <w:jc w:val="both"/>
        <w:rPr>
          <w:sz w:val="24"/>
          <w:szCs w:val="24"/>
        </w:rPr>
      </w:pPr>
      <w:r>
        <w:rPr>
          <w:sz w:val="24"/>
          <w:szCs w:val="24"/>
          <w:highlight w:val="white"/>
        </w:rPr>
        <w:t xml:space="preserve">BEHRING, Elaine Rossetti. Estado no capitalismo: notas para uma leitura crítica do Brasil recente. </w:t>
      </w:r>
      <w:r>
        <w:rPr>
          <w:i/>
          <w:sz w:val="24"/>
          <w:szCs w:val="24"/>
          <w:highlight w:val="white"/>
        </w:rPr>
        <w:t>In:</w:t>
      </w:r>
      <w:r>
        <w:rPr>
          <w:sz w:val="24"/>
          <w:szCs w:val="24"/>
          <w:highlight w:val="white"/>
        </w:rPr>
        <w:t xml:space="preserve"> BOSCHETTI, Ivanete; BEHRING, Elaine Rossetti; LIMA, Rita de Lourdes De. </w:t>
      </w:r>
      <w:r>
        <w:rPr>
          <w:b/>
          <w:sz w:val="24"/>
          <w:szCs w:val="24"/>
          <w:highlight w:val="white"/>
        </w:rPr>
        <w:t>Marxismo, política social e direitos</w:t>
      </w:r>
      <w:r>
        <w:rPr>
          <w:sz w:val="24"/>
          <w:szCs w:val="24"/>
          <w:highlight w:val="white"/>
        </w:rPr>
        <w:t>. 1. ed. São Paulo: Cortez, 2018. Sem volume, p. 39-72.</w:t>
      </w:r>
    </w:p>
    <w:p w14:paraId="4A0973A8" w14:textId="77777777" w:rsidR="00631E1E" w:rsidRDefault="00000000">
      <w:pPr>
        <w:spacing w:before="240" w:after="240" w:line="240" w:lineRule="auto"/>
        <w:ind w:left="0" w:hanging="2"/>
        <w:jc w:val="both"/>
        <w:rPr>
          <w:sz w:val="24"/>
          <w:szCs w:val="24"/>
        </w:rPr>
      </w:pPr>
      <w:r>
        <w:rPr>
          <w:sz w:val="24"/>
          <w:szCs w:val="24"/>
        </w:rPr>
        <w:t xml:space="preserve">BEHRING, Elaine Rossetti; SOUZA, Giselle. Notas sobre o orçamento da saúde e da assistência social no governo Bolsonaro: a mediação pandêmica. </w:t>
      </w:r>
      <w:r>
        <w:rPr>
          <w:i/>
          <w:sz w:val="24"/>
          <w:szCs w:val="24"/>
        </w:rPr>
        <w:t>In</w:t>
      </w:r>
      <w:r>
        <w:rPr>
          <w:sz w:val="24"/>
          <w:szCs w:val="24"/>
        </w:rPr>
        <w:t>: SANTOS, T. V. C; SILVA, L. B; MACHADO, T. O. (</w:t>
      </w:r>
      <w:proofErr w:type="spellStart"/>
      <w:r>
        <w:rPr>
          <w:sz w:val="24"/>
          <w:szCs w:val="24"/>
        </w:rPr>
        <w:t>Orgs</w:t>
      </w:r>
      <w:proofErr w:type="spellEnd"/>
      <w:r>
        <w:rPr>
          <w:sz w:val="24"/>
          <w:szCs w:val="24"/>
        </w:rPr>
        <w:t xml:space="preserve">). </w:t>
      </w:r>
      <w:r>
        <w:rPr>
          <w:b/>
          <w:sz w:val="24"/>
          <w:szCs w:val="24"/>
        </w:rPr>
        <w:t>Trabalho e Saúde: diálogos críticos sobre crise. Rio de Janeiro</w:t>
      </w:r>
      <w:r>
        <w:rPr>
          <w:sz w:val="24"/>
          <w:szCs w:val="24"/>
        </w:rPr>
        <w:t>: Mórula, 2022.</w:t>
      </w:r>
    </w:p>
    <w:p w14:paraId="67A6D07E" w14:textId="77777777" w:rsidR="00631E1E" w:rsidRDefault="00000000">
      <w:pPr>
        <w:spacing w:line="240" w:lineRule="auto"/>
        <w:ind w:left="0" w:hanging="2"/>
        <w:jc w:val="both"/>
        <w:rPr>
          <w:sz w:val="24"/>
          <w:szCs w:val="24"/>
        </w:rPr>
      </w:pPr>
      <w:r>
        <w:rPr>
          <w:sz w:val="24"/>
          <w:szCs w:val="24"/>
        </w:rPr>
        <w:t xml:space="preserve">BRASIL. Lei complementar nº 200. </w:t>
      </w:r>
      <w:r>
        <w:rPr>
          <w:b/>
          <w:sz w:val="24"/>
          <w:szCs w:val="24"/>
        </w:rPr>
        <w:t xml:space="preserve">Institui regime fiscal sustentável para garantir a estabilidade macroeconômica do País e criar as condições adequadas ao crescimento socioeconômico, com fundamento no art. 6º da Emenda </w:t>
      </w:r>
      <w:r>
        <w:rPr>
          <w:b/>
          <w:sz w:val="24"/>
          <w:szCs w:val="24"/>
        </w:rPr>
        <w:lastRenderedPageBreak/>
        <w:t>Constitucional nº 126, de 21 de dezembro de 2022, e no inciso VIII do caput e no parágrafo único do art. 163 da Constituição Federal; e altera a Lei Complementar nº 101, de 4 de maio de 2000 (Lei de Responsabilidade Fiscal)</w:t>
      </w:r>
      <w:r>
        <w:rPr>
          <w:sz w:val="24"/>
          <w:szCs w:val="24"/>
        </w:rPr>
        <w:t>. Diário Oficial da União, Brasília (DF), 31 ago. 2023.</w:t>
      </w:r>
    </w:p>
    <w:p w14:paraId="05995129" w14:textId="77777777" w:rsidR="00631E1E" w:rsidRDefault="00000000">
      <w:pPr>
        <w:spacing w:before="240" w:after="240" w:line="240" w:lineRule="auto"/>
        <w:ind w:left="0" w:hanging="2"/>
        <w:jc w:val="both"/>
        <w:rPr>
          <w:sz w:val="24"/>
          <w:szCs w:val="24"/>
        </w:rPr>
      </w:pPr>
      <w:r>
        <w:rPr>
          <w:sz w:val="24"/>
          <w:szCs w:val="24"/>
        </w:rPr>
        <w:t xml:space="preserve">Brasil. Ministério do Planejamento e Orçamento. Secretaria Nacional de Planejamento. </w:t>
      </w:r>
      <w:r>
        <w:rPr>
          <w:b/>
          <w:sz w:val="24"/>
          <w:szCs w:val="24"/>
        </w:rPr>
        <w:t xml:space="preserve">Plano plurianual 2024-2027: mensagem presidencial </w:t>
      </w:r>
      <w:r>
        <w:rPr>
          <w:sz w:val="24"/>
          <w:szCs w:val="24"/>
        </w:rPr>
        <w:t>/ Ministério do Planejamento e Orçamento, Secretaria Nacional de Planejamento. - Brasília: Secretaria Nacional de Planejamento/MPO, 2023. 240 p.: il.</w:t>
      </w:r>
    </w:p>
    <w:p w14:paraId="65CB4E23" w14:textId="77777777" w:rsidR="00631E1E" w:rsidRDefault="00000000">
      <w:pPr>
        <w:spacing w:line="240" w:lineRule="auto"/>
        <w:ind w:left="0" w:hanging="2"/>
        <w:jc w:val="both"/>
        <w:rPr>
          <w:sz w:val="24"/>
          <w:szCs w:val="24"/>
        </w:rPr>
      </w:pPr>
      <w:r>
        <w:rPr>
          <w:sz w:val="24"/>
          <w:szCs w:val="24"/>
        </w:rPr>
        <w:t xml:space="preserve">BRASIL. Senado Federal. </w:t>
      </w:r>
      <w:r>
        <w:rPr>
          <w:b/>
          <w:sz w:val="24"/>
          <w:szCs w:val="24"/>
        </w:rPr>
        <w:t>Portal Siga Brasil</w:t>
      </w:r>
      <w:r>
        <w:rPr>
          <w:sz w:val="24"/>
          <w:szCs w:val="24"/>
        </w:rPr>
        <w:t>. Disponível em: &lt;https://www12.senado.leg.br/</w:t>
      </w:r>
      <w:proofErr w:type="spellStart"/>
      <w:r>
        <w:rPr>
          <w:sz w:val="24"/>
          <w:szCs w:val="24"/>
        </w:rPr>
        <w:t>orcamento</w:t>
      </w:r>
      <w:proofErr w:type="spellEnd"/>
      <w:r>
        <w:rPr>
          <w:sz w:val="24"/>
          <w:szCs w:val="24"/>
        </w:rPr>
        <w:t>/</w:t>
      </w:r>
      <w:proofErr w:type="spellStart"/>
      <w:r>
        <w:rPr>
          <w:sz w:val="24"/>
          <w:szCs w:val="24"/>
        </w:rPr>
        <w:t>sigabrasil</w:t>
      </w:r>
      <w:proofErr w:type="spellEnd"/>
      <w:r>
        <w:rPr>
          <w:sz w:val="24"/>
          <w:szCs w:val="24"/>
        </w:rPr>
        <w:t>&gt;. Acesso em: 25 de Jun. 2025.</w:t>
      </w:r>
    </w:p>
    <w:p w14:paraId="4381700D" w14:textId="77777777" w:rsidR="00631E1E" w:rsidRDefault="00631E1E">
      <w:pPr>
        <w:pBdr>
          <w:top w:val="none" w:sz="0" w:space="0" w:color="000000"/>
          <w:bottom w:val="none" w:sz="0" w:space="0" w:color="000000"/>
          <w:right w:val="none" w:sz="0" w:space="0" w:color="000000"/>
          <w:between w:val="none" w:sz="0" w:space="0" w:color="000000"/>
        </w:pBdr>
        <w:shd w:val="clear" w:color="auto" w:fill="FFFFFF"/>
        <w:spacing w:line="240" w:lineRule="auto"/>
        <w:ind w:left="0" w:hanging="2"/>
        <w:jc w:val="both"/>
        <w:rPr>
          <w:sz w:val="24"/>
          <w:szCs w:val="24"/>
        </w:rPr>
      </w:pPr>
    </w:p>
    <w:p w14:paraId="57B48CAC" w14:textId="77777777" w:rsidR="00631E1E" w:rsidRDefault="00000000">
      <w:pPr>
        <w:pBdr>
          <w:top w:val="none" w:sz="0" w:space="0" w:color="000000"/>
          <w:bottom w:val="none" w:sz="0" w:space="0" w:color="000000"/>
          <w:right w:val="none" w:sz="0" w:space="0" w:color="000000"/>
          <w:between w:val="none" w:sz="0" w:space="0" w:color="000000"/>
        </w:pBdr>
        <w:shd w:val="clear" w:color="auto" w:fill="FFFFFF"/>
        <w:spacing w:line="240" w:lineRule="auto"/>
        <w:ind w:left="0" w:hanging="2"/>
        <w:jc w:val="both"/>
        <w:rPr>
          <w:sz w:val="24"/>
          <w:szCs w:val="24"/>
        </w:rPr>
      </w:pPr>
      <w:r>
        <w:rPr>
          <w:sz w:val="24"/>
          <w:szCs w:val="24"/>
        </w:rPr>
        <w:t xml:space="preserve">BRETTAS, Tatiana. </w:t>
      </w:r>
      <w:r>
        <w:rPr>
          <w:b/>
          <w:sz w:val="24"/>
          <w:szCs w:val="24"/>
        </w:rPr>
        <w:t>Capitalismo dependente, neoliberalismo e financeirização das políticas sociais no Brasil</w:t>
      </w:r>
      <w:r>
        <w:rPr>
          <w:sz w:val="24"/>
          <w:szCs w:val="24"/>
        </w:rPr>
        <w:t xml:space="preserve">. Rio de Janeiro: Consequência, 2020. </w:t>
      </w:r>
    </w:p>
    <w:p w14:paraId="4485762E" w14:textId="77777777" w:rsidR="00631E1E" w:rsidRDefault="00631E1E">
      <w:pPr>
        <w:pBdr>
          <w:top w:val="none" w:sz="0" w:space="0" w:color="000000"/>
          <w:bottom w:val="none" w:sz="0" w:space="0" w:color="000000"/>
          <w:right w:val="none" w:sz="0" w:space="0" w:color="000000"/>
          <w:between w:val="none" w:sz="0" w:space="0" w:color="000000"/>
        </w:pBdr>
        <w:shd w:val="clear" w:color="auto" w:fill="FFFFFF"/>
        <w:spacing w:line="240" w:lineRule="auto"/>
        <w:ind w:left="0" w:hanging="2"/>
        <w:jc w:val="both"/>
        <w:rPr>
          <w:sz w:val="24"/>
          <w:szCs w:val="24"/>
        </w:rPr>
      </w:pPr>
    </w:p>
    <w:p w14:paraId="4F13986E" w14:textId="77777777" w:rsidR="00631E1E" w:rsidRDefault="00000000">
      <w:pPr>
        <w:spacing w:line="240" w:lineRule="auto"/>
        <w:ind w:left="0" w:hanging="2"/>
        <w:jc w:val="both"/>
        <w:rPr>
          <w:color w:val="0000FF"/>
          <w:sz w:val="24"/>
          <w:szCs w:val="24"/>
        </w:rPr>
      </w:pPr>
      <w:r>
        <w:rPr>
          <w:sz w:val="24"/>
          <w:szCs w:val="24"/>
        </w:rPr>
        <w:t xml:space="preserve">Conselho Nacional de Saúde. </w:t>
      </w:r>
      <w:r>
        <w:rPr>
          <w:b/>
          <w:sz w:val="24"/>
          <w:szCs w:val="24"/>
        </w:rPr>
        <w:t>Resolução n° 719, de 17 de agosto de 2023</w:t>
      </w:r>
      <w:r>
        <w:rPr>
          <w:sz w:val="24"/>
          <w:szCs w:val="24"/>
        </w:rPr>
        <w:t>. Brasília, 2023.</w:t>
      </w:r>
    </w:p>
    <w:p w14:paraId="3DCB8602" w14:textId="77777777" w:rsidR="00631E1E" w:rsidRDefault="00631E1E">
      <w:pPr>
        <w:spacing w:line="240" w:lineRule="auto"/>
        <w:ind w:left="0" w:hanging="2"/>
        <w:jc w:val="both"/>
        <w:rPr>
          <w:color w:val="0000FF"/>
          <w:sz w:val="24"/>
          <w:szCs w:val="24"/>
        </w:rPr>
      </w:pPr>
    </w:p>
    <w:p w14:paraId="43E0D098" w14:textId="77777777" w:rsidR="00631E1E" w:rsidRDefault="00000000">
      <w:pPr>
        <w:spacing w:line="240" w:lineRule="auto"/>
        <w:ind w:left="0" w:hanging="2"/>
        <w:jc w:val="both"/>
        <w:rPr>
          <w:sz w:val="24"/>
          <w:szCs w:val="24"/>
        </w:rPr>
      </w:pPr>
      <w:r>
        <w:rPr>
          <w:sz w:val="24"/>
          <w:szCs w:val="24"/>
        </w:rPr>
        <w:t xml:space="preserve">FERNANDES, Florestan. </w:t>
      </w:r>
      <w:r>
        <w:rPr>
          <w:b/>
          <w:sz w:val="24"/>
          <w:szCs w:val="24"/>
        </w:rPr>
        <w:t>Capitalismo dependente e classes sociais na América Latina</w:t>
      </w:r>
      <w:r>
        <w:rPr>
          <w:sz w:val="24"/>
          <w:szCs w:val="24"/>
        </w:rPr>
        <w:t>. 2 ed. Rio de Janeiro: Zahar Editores, 1973.</w:t>
      </w:r>
    </w:p>
    <w:p w14:paraId="22AF3734" w14:textId="77777777" w:rsidR="00631E1E" w:rsidRDefault="00631E1E">
      <w:pPr>
        <w:spacing w:line="240" w:lineRule="auto"/>
        <w:ind w:left="0" w:hanging="2"/>
        <w:jc w:val="both"/>
        <w:rPr>
          <w:sz w:val="24"/>
          <w:szCs w:val="24"/>
        </w:rPr>
      </w:pPr>
    </w:p>
    <w:p w14:paraId="36E59384" w14:textId="77777777" w:rsidR="00631E1E" w:rsidRDefault="00000000">
      <w:pPr>
        <w:spacing w:line="240" w:lineRule="auto"/>
        <w:ind w:left="0" w:hanging="2"/>
        <w:jc w:val="both"/>
        <w:rPr>
          <w:sz w:val="24"/>
          <w:szCs w:val="24"/>
        </w:rPr>
      </w:pPr>
      <w:r>
        <w:rPr>
          <w:sz w:val="24"/>
          <w:szCs w:val="24"/>
        </w:rPr>
        <w:t xml:space="preserve">LÊNIN, </w:t>
      </w:r>
      <w:proofErr w:type="spellStart"/>
      <w:r>
        <w:rPr>
          <w:sz w:val="24"/>
          <w:szCs w:val="24"/>
        </w:rPr>
        <w:t>Vladímir</w:t>
      </w:r>
      <w:proofErr w:type="spellEnd"/>
      <w:r>
        <w:rPr>
          <w:sz w:val="24"/>
          <w:szCs w:val="24"/>
        </w:rPr>
        <w:t xml:space="preserve"> </w:t>
      </w:r>
      <w:proofErr w:type="spellStart"/>
      <w:r>
        <w:rPr>
          <w:sz w:val="24"/>
          <w:szCs w:val="24"/>
        </w:rPr>
        <w:t>Ilitch</w:t>
      </w:r>
      <w:proofErr w:type="spellEnd"/>
      <w:r>
        <w:rPr>
          <w:sz w:val="24"/>
          <w:szCs w:val="24"/>
        </w:rPr>
        <w:t xml:space="preserve">. </w:t>
      </w:r>
      <w:r>
        <w:rPr>
          <w:b/>
          <w:sz w:val="24"/>
          <w:szCs w:val="24"/>
        </w:rPr>
        <w:t>Imperialismo, estágio superior do capitalismo</w:t>
      </w:r>
      <w:r>
        <w:rPr>
          <w:sz w:val="24"/>
          <w:szCs w:val="24"/>
        </w:rPr>
        <w:t xml:space="preserve"> [recurso eletrônico]: 1. ed. São Paulo: Boitempo, 2021.</w:t>
      </w:r>
    </w:p>
    <w:p w14:paraId="20590FB0" w14:textId="77777777" w:rsidR="00631E1E" w:rsidRDefault="00631E1E">
      <w:pPr>
        <w:spacing w:line="240" w:lineRule="auto"/>
        <w:ind w:left="0" w:hanging="2"/>
        <w:jc w:val="both"/>
        <w:rPr>
          <w:sz w:val="24"/>
          <w:szCs w:val="24"/>
        </w:rPr>
      </w:pPr>
    </w:p>
    <w:p w14:paraId="13BB9986" w14:textId="77777777" w:rsidR="00631E1E" w:rsidRDefault="00000000">
      <w:pPr>
        <w:spacing w:line="240" w:lineRule="auto"/>
        <w:ind w:left="0" w:hanging="2"/>
        <w:jc w:val="both"/>
        <w:rPr>
          <w:sz w:val="24"/>
          <w:szCs w:val="24"/>
        </w:rPr>
      </w:pPr>
      <w:r>
        <w:rPr>
          <w:sz w:val="24"/>
          <w:szCs w:val="24"/>
        </w:rPr>
        <w:t>MARINI, Ruy Mauro. Dialética da dependência. In: TRASPADINI, Roberta; STEDILE, João Pedro (</w:t>
      </w:r>
      <w:proofErr w:type="spellStart"/>
      <w:r>
        <w:rPr>
          <w:sz w:val="24"/>
          <w:szCs w:val="24"/>
        </w:rPr>
        <w:t>orgs</w:t>
      </w:r>
      <w:proofErr w:type="spellEnd"/>
      <w:r>
        <w:rPr>
          <w:sz w:val="24"/>
          <w:szCs w:val="24"/>
        </w:rPr>
        <w:t xml:space="preserve">.). Ruy Mauro Marini: </w:t>
      </w:r>
      <w:r>
        <w:rPr>
          <w:b/>
          <w:sz w:val="24"/>
          <w:szCs w:val="24"/>
        </w:rPr>
        <w:t>“Dialética da dependência” e outros escritos</w:t>
      </w:r>
      <w:r>
        <w:rPr>
          <w:sz w:val="24"/>
          <w:szCs w:val="24"/>
        </w:rPr>
        <w:t>. 2. ed. São Paulo: Expressão Popular, [1973] 2005.</w:t>
      </w:r>
    </w:p>
    <w:p w14:paraId="1EFD6134" w14:textId="77777777" w:rsidR="00631E1E" w:rsidRDefault="00631E1E">
      <w:pPr>
        <w:spacing w:line="240" w:lineRule="auto"/>
        <w:ind w:left="0" w:hanging="2"/>
        <w:jc w:val="both"/>
        <w:rPr>
          <w:sz w:val="24"/>
          <w:szCs w:val="24"/>
        </w:rPr>
      </w:pPr>
    </w:p>
    <w:p w14:paraId="7986D237" w14:textId="77777777" w:rsidR="00631E1E" w:rsidRDefault="00000000">
      <w:pPr>
        <w:spacing w:line="240" w:lineRule="auto"/>
        <w:ind w:left="0" w:hanging="2"/>
        <w:jc w:val="both"/>
        <w:rPr>
          <w:sz w:val="24"/>
          <w:szCs w:val="24"/>
        </w:rPr>
      </w:pPr>
      <w:r>
        <w:rPr>
          <w:sz w:val="24"/>
          <w:szCs w:val="24"/>
        </w:rPr>
        <w:t xml:space="preserve">MENDES, </w:t>
      </w:r>
      <w:proofErr w:type="spellStart"/>
      <w:r>
        <w:rPr>
          <w:sz w:val="24"/>
          <w:szCs w:val="24"/>
        </w:rPr>
        <w:t>Áquilas</w:t>
      </w:r>
      <w:proofErr w:type="spellEnd"/>
      <w:r>
        <w:rPr>
          <w:sz w:val="24"/>
          <w:szCs w:val="24"/>
        </w:rPr>
        <w:t xml:space="preserve">; CARNUT, Leonardo. Capital, Estado, crise e a saúde pública brasileira: golpe e desfinanciamento. </w:t>
      </w:r>
      <w:r>
        <w:rPr>
          <w:b/>
          <w:sz w:val="24"/>
          <w:szCs w:val="24"/>
        </w:rPr>
        <w:t>Ser Social</w:t>
      </w:r>
      <w:r>
        <w:rPr>
          <w:sz w:val="24"/>
          <w:szCs w:val="24"/>
        </w:rPr>
        <w:t xml:space="preserve">, Brasília, v.22, n.46, </w:t>
      </w:r>
      <w:proofErr w:type="spellStart"/>
      <w:r>
        <w:rPr>
          <w:sz w:val="24"/>
          <w:szCs w:val="24"/>
        </w:rPr>
        <w:t>jan.jun</w:t>
      </w:r>
      <w:proofErr w:type="spellEnd"/>
      <w:r>
        <w:rPr>
          <w:sz w:val="24"/>
          <w:szCs w:val="24"/>
        </w:rPr>
        <w:t>. 2020.</w:t>
      </w:r>
    </w:p>
    <w:p w14:paraId="443B8F60" w14:textId="77777777" w:rsidR="00631E1E" w:rsidRDefault="00631E1E">
      <w:pPr>
        <w:spacing w:line="240" w:lineRule="auto"/>
        <w:ind w:left="0" w:hanging="2"/>
        <w:jc w:val="both"/>
        <w:rPr>
          <w:sz w:val="24"/>
          <w:szCs w:val="24"/>
        </w:rPr>
      </w:pPr>
    </w:p>
    <w:p w14:paraId="3BF83868" w14:textId="77777777" w:rsidR="00631E1E" w:rsidRDefault="00000000">
      <w:pPr>
        <w:spacing w:line="240" w:lineRule="auto"/>
        <w:ind w:left="0" w:hanging="2"/>
        <w:jc w:val="both"/>
        <w:rPr>
          <w:sz w:val="24"/>
          <w:szCs w:val="24"/>
        </w:rPr>
      </w:pPr>
      <w:r>
        <w:rPr>
          <w:sz w:val="24"/>
          <w:szCs w:val="24"/>
        </w:rPr>
        <w:t xml:space="preserve">SALVADOR, Evilásio. Fundo público e políticas sociais na crise do capitalismo. </w:t>
      </w:r>
      <w:r>
        <w:rPr>
          <w:b/>
          <w:sz w:val="24"/>
          <w:szCs w:val="24"/>
        </w:rPr>
        <w:t>Serviço Social e Sociedade</w:t>
      </w:r>
      <w:r>
        <w:rPr>
          <w:sz w:val="24"/>
          <w:szCs w:val="24"/>
        </w:rPr>
        <w:t>, São Paulo, n. 104, p. 605-631, out./dez. 2010.</w:t>
      </w:r>
    </w:p>
    <w:p w14:paraId="3C98C227" w14:textId="77777777" w:rsidR="00631E1E" w:rsidRDefault="00631E1E">
      <w:pPr>
        <w:spacing w:line="240" w:lineRule="auto"/>
        <w:ind w:left="0" w:hanging="2"/>
        <w:jc w:val="both"/>
        <w:rPr>
          <w:sz w:val="24"/>
          <w:szCs w:val="24"/>
        </w:rPr>
      </w:pPr>
    </w:p>
    <w:p w14:paraId="4B5D19E0" w14:textId="77777777" w:rsidR="00631E1E" w:rsidRDefault="00000000">
      <w:pPr>
        <w:spacing w:line="240" w:lineRule="auto"/>
        <w:ind w:left="0" w:hanging="2"/>
        <w:jc w:val="both"/>
        <w:rPr>
          <w:sz w:val="24"/>
          <w:szCs w:val="24"/>
        </w:rPr>
      </w:pPr>
      <w:r>
        <w:rPr>
          <w:sz w:val="24"/>
          <w:szCs w:val="24"/>
        </w:rPr>
        <w:t xml:space="preserve">SALVADOR, Evilásio. O arcabouço fiscal e as implicações no financiamento das políticas sociais. </w:t>
      </w:r>
      <w:proofErr w:type="spellStart"/>
      <w:r>
        <w:rPr>
          <w:b/>
          <w:sz w:val="24"/>
          <w:szCs w:val="24"/>
        </w:rPr>
        <w:t>Argumentum</w:t>
      </w:r>
      <w:proofErr w:type="spellEnd"/>
      <w:r>
        <w:rPr>
          <w:sz w:val="24"/>
          <w:szCs w:val="24"/>
        </w:rPr>
        <w:t>, Vitória, v.16, n.1, p. 6-19, 2024.</w:t>
      </w:r>
    </w:p>
    <w:sectPr w:rsidR="00631E1E" w:rsidSect="00AF4845">
      <w:headerReference w:type="default" r:id="rId7"/>
      <w:footerReference w:type="default" r:id="rId8"/>
      <w:pgSz w:w="11909" w:h="16834"/>
      <w:pgMar w:top="1701" w:right="1134" w:bottom="1134" w:left="1701" w:header="34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7D5DD" w14:textId="77777777" w:rsidR="00CA25AB" w:rsidRDefault="00CA25AB">
      <w:pPr>
        <w:spacing w:line="240" w:lineRule="auto"/>
        <w:ind w:left="0" w:hanging="2"/>
      </w:pPr>
      <w:r>
        <w:separator/>
      </w:r>
    </w:p>
  </w:endnote>
  <w:endnote w:type="continuationSeparator" w:id="0">
    <w:p w14:paraId="37C4DCA1" w14:textId="77777777" w:rsidR="00CA25AB" w:rsidRDefault="00CA25A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C8B57B7-1EFE-4A6C-BA61-74B3FCC52AC8}"/>
    <w:embedItalic r:id="rId2" w:fontKey="{C72EF66E-75ED-4A3C-AE1D-5CFFB862E923}"/>
  </w:font>
  <w:font w:name="Roboto">
    <w:charset w:val="00"/>
    <w:family w:val="auto"/>
    <w:pitch w:val="variable"/>
    <w:sig w:usb0="E0000AFF" w:usb1="5000217F" w:usb2="00000021" w:usb3="00000000" w:csb0="0000019F" w:csb1="00000000"/>
    <w:embedRegular r:id="rId3" w:fontKey="{9C064703-778B-40CA-9D97-29E099A62EF8}"/>
  </w:font>
  <w:font w:name="Cambria">
    <w:panose1 w:val="02040503050406030204"/>
    <w:charset w:val="00"/>
    <w:family w:val="roman"/>
    <w:pitch w:val="variable"/>
    <w:sig w:usb0="E00006FF" w:usb1="420024FF" w:usb2="02000000" w:usb3="00000000" w:csb0="0000019F" w:csb1="00000000"/>
    <w:embedRegular r:id="rId4" w:fontKey="{C610570C-FF4B-445C-A2EB-EFA0052CE810}"/>
  </w:font>
  <w:font w:name="Calibri">
    <w:panose1 w:val="020F0502020204030204"/>
    <w:charset w:val="00"/>
    <w:family w:val="swiss"/>
    <w:pitch w:val="variable"/>
    <w:sig w:usb0="E4002EFF" w:usb1="C200247B" w:usb2="00000009" w:usb3="00000000" w:csb0="000001FF" w:csb1="00000000"/>
    <w:embedRegular r:id="rId5" w:fontKey="{0DE280B2-0C9C-41C2-964C-6E043FC247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F3582" w14:textId="77777777" w:rsidR="00631E1E" w:rsidRDefault="00631E1E">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F0C2F" w14:textId="77777777" w:rsidR="00CA25AB" w:rsidRDefault="00CA25AB">
      <w:pPr>
        <w:spacing w:line="240" w:lineRule="auto"/>
        <w:ind w:left="0" w:hanging="2"/>
      </w:pPr>
      <w:r>
        <w:separator/>
      </w:r>
    </w:p>
  </w:footnote>
  <w:footnote w:type="continuationSeparator" w:id="0">
    <w:p w14:paraId="2E01B4D8" w14:textId="77777777" w:rsidR="00CA25AB" w:rsidRDefault="00CA25AB">
      <w:pPr>
        <w:spacing w:line="240" w:lineRule="auto"/>
        <w:ind w:left="0" w:hanging="2"/>
      </w:pPr>
      <w:r>
        <w:continuationSeparator/>
      </w:r>
    </w:p>
  </w:footnote>
  <w:footnote w:id="1">
    <w:p w14:paraId="4D6EF683" w14:textId="532A4E2E" w:rsidR="00631E1E" w:rsidRDefault="00000000">
      <w:pPr>
        <w:spacing w:line="240" w:lineRule="auto"/>
        <w:ind w:left="0" w:hanging="2"/>
        <w:jc w:val="both"/>
        <w:rPr>
          <w:sz w:val="20"/>
          <w:szCs w:val="20"/>
        </w:rPr>
      </w:pPr>
      <w:r>
        <w:rPr>
          <w:vertAlign w:val="superscript"/>
        </w:rPr>
        <w:footnoteRef/>
      </w:r>
      <w:r>
        <w:rPr>
          <w:sz w:val="20"/>
          <w:szCs w:val="20"/>
        </w:rPr>
        <w:t xml:space="preserve"> Assistente Social. Doutora em Serviço Social (PPGSS/PUCRS).</w:t>
      </w:r>
      <w:r w:rsidR="004F7E60">
        <w:rPr>
          <w:sz w:val="20"/>
          <w:szCs w:val="20"/>
        </w:rPr>
        <w:t xml:space="preserve"> </w:t>
      </w:r>
      <w:r>
        <w:rPr>
          <w:sz w:val="20"/>
          <w:szCs w:val="20"/>
        </w:rPr>
        <w:t xml:space="preserve">Professora do Departamento de Serviço Social e do Programa de Pós-Graduação em Serviço Social da Universidade Federal do Rio Grande do Norte (UFRN). Líder do Grupo de Estudos e Pesquisa em Questão Social, Política Social e Serviço Social (GEP-QPSOCIAL). E-mail: edla.hoffmann@ufrn.br </w:t>
      </w:r>
    </w:p>
  </w:footnote>
  <w:footnote w:id="2">
    <w:p w14:paraId="34F3E81E" w14:textId="1CBF09F3" w:rsidR="00631E1E" w:rsidRDefault="00000000">
      <w:pPr>
        <w:spacing w:line="240" w:lineRule="auto"/>
        <w:ind w:left="0" w:hanging="2"/>
        <w:jc w:val="both"/>
        <w:rPr>
          <w:sz w:val="20"/>
          <w:szCs w:val="20"/>
        </w:rPr>
      </w:pPr>
      <w:r>
        <w:rPr>
          <w:vertAlign w:val="superscript"/>
        </w:rPr>
        <w:footnoteRef/>
      </w:r>
      <w:r>
        <w:rPr>
          <w:sz w:val="20"/>
          <w:szCs w:val="20"/>
        </w:rPr>
        <w:t xml:space="preserve"> Mestranda em Serviço Social pelo Programa de Pós Graduação em Serviço Social (PPGSS) da Universidade Federal do Rio Grande do Norte (UFRN). Bacharel em Serviço Social pela UFRN. Integrante do Grupo de Estudos e Pesquisa em Questão Social, Política Social e Serviço Social (GEP-QPSOCIAL). E-mail: lyzete.freitas.701@ufrn.edu.br </w:t>
      </w:r>
    </w:p>
  </w:footnote>
  <w:footnote w:id="3">
    <w:p w14:paraId="0C1C894A" w14:textId="77777777" w:rsidR="00631E1E" w:rsidRDefault="00000000">
      <w:pPr>
        <w:spacing w:line="240" w:lineRule="auto"/>
        <w:ind w:left="0" w:hanging="2"/>
        <w:jc w:val="both"/>
        <w:rPr>
          <w:sz w:val="20"/>
          <w:szCs w:val="20"/>
        </w:rPr>
      </w:pPr>
      <w:r>
        <w:rPr>
          <w:vertAlign w:val="superscript"/>
        </w:rPr>
        <w:footnoteRef/>
      </w:r>
      <w:r>
        <w:rPr>
          <w:sz w:val="20"/>
          <w:szCs w:val="20"/>
        </w:rPr>
        <w:t xml:space="preserve"> Graduanda em Serviço Social pela Universidade Federal do Rio Grande do Norte (UFRN). Integrante do Grupo de Estudos e Pesquisa em Questão Social, Política Social e Serviço Social (GEP-QPSOCIAL). E-mail: aline.dantas.144@ufrn.edu.br</w:t>
      </w:r>
    </w:p>
  </w:footnote>
  <w:footnote w:id="4">
    <w:p w14:paraId="3DCB8CD0" w14:textId="77777777" w:rsidR="00631E1E" w:rsidRDefault="00000000">
      <w:pPr>
        <w:spacing w:line="240" w:lineRule="auto"/>
        <w:ind w:left="0" w:hanging="2"/>
        <w:jc w:val="both"/>
        <w:rPr>
          <w:sz w:val="20"/>
          <w:szCs w:val="20"/>
        </w:rPr>
      </w:pPr>
      <w:r>
        <w:rPr>
          <w:vertAlign w:val="superscript"/>
        </w:rPr>
        <w:footnoteRef/>
      </w:r>
      <w:r>
        <w:rPr>
          <w:sz w:val="20"/>
          <w:szCs w:val="20"/>
        </w:rPr>
        <w:t xml:space="preserve"> Graduanda em Serviço Social pela Universidade Federal do Rio Grande do Norte (UFRN). Integrante do Grupo de Estudos e Pesquisa em Questão Social, Política Social e Serviço Social (GEP-QPSOCIAL). E-mail: </w:t>
      </w:r>
      <w:r>
        <w:rPr>
          <w:rFonts w:ascii="Roboto" w:eastAsia="Roboto" w:hAnsi="Roboto" w:cs="Roboto"/>
          <w:color w:val="1F1F1F"/>
          <w:sz w:val="21"/>
          <w:szCs w:val="21"/>
          <w:highlight w:val="white"/>
        </w:rPr>
        <w:t>ana.silva.132@ufrn.edu.br</w:t>
      </w:r>
    </w:p>
    <w:p w14:paraId="44E5D27E" w14:textId="77777777" w:rsidR="00631E1E" w:rsidRDefault="00631E1E">
      <w:pPr>
        <w:spacing w:line="240" w:lineRule="auto"/>
        <w:ind w:left="0" w:hanging="2"/>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F9A7B" w14:textId="77777777" w:rsidR="00631E1E" w:rsidRDefault="00000000">
    <w:pPr>
      <w:ind w:left="0" w:hanging="2"/>
    </w:pPr>
    <w:r>
      <w:rPr>
        <w:noProof/>
      </w:rPr>
      <w:drawing>
        <wp:anchor distT="0" distB="0" distL="0" distR="0" simplePos="0" relativeHeight="251658240" behindDoc="1" locked="0" layoutInCell="1" hidden="0" allowOverlap="1" wp14:anchorId="0208825E" wp14:editId="1B7E0ABF">
          <wp:simplePos x="0" y="0"/>
          <wp:positionH relativeFrom="page">
            <wp:posOffset>-14287</wp:posOffset>
          </wp:positionH>
          <wp:positionV relativeFrom="page">
            <wp:posOffset>-4762</wp:posOffset>
          </wp:positionV>
          <wp:extent cx="7601292" cy="10706100"/>
          <wp:effectExtent l="0" t="0" r="0" b="0"/>
          <wp:wrapNone/>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1292" cy="107061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E1E"/>
    <w:rsid w:val="001C0CCA"/>
    <w:rsid w:val="00362199"/>
    <w:rsid w:val="00493AD7"/>
    <w:rsid w:val="004F7E60"/>
    <w:rsid w:val="00631E1E"/>
    <w:rsid w:val="006D7E4C"/>
    <w:rsid w:val="00A972DB"/>
    <w:rsid w:val="00AF4845"/>
    <w:rsid w:val="00CA25AB"/>
    <w:rsid w:val="00DD4C63"/>
    <w:rsid w:val="00E74421"/>
    <w:rsid w:val="00E969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5C243"/>
  <w15:docId w15:val="{B8500788-0643-48F6-9956-C6FE1BD2F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keepLines/>
      <w:spacing w:before="400" w:after="12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pacing w:line="240" w:lineRule="auto"/>
    </w:p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pacing w:line="240" w:lineRule="auto"/>
    </w:pPr>
  </w:style>
  <w:style w:type="character" w:customStyle="1" w:styleId="RodapChar">
    <w:name w:val="Rodapé Char"/>
    <w:basedOn w:val="Fontepargpadro"/>
    <w:rPr>
      <w:w w:val="100"/>
      <w:position w:val="-1"/>
      <w:effect w:val="none"/>
      <w:vertAlign w:val="baseline"/>
      <w:cs w:val="0"/>
      <w:em w:val="none"/>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rYLvwfJPAQi5lYyB+3Ix9oD4Eg==">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12</Pages>
  <Words>3667</Words>
  <Characters>19804</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Quitéria Xavier</cp:lastModifiedBy>
  <cp:revision>4</cp:revision>
  <dcterms:created xsi:type="dcterms:W3CDTF">2025-02-17T16:43:00Z</dcterms:created>
  <dcterms:modified xsi:type="dcterms:W3CDTF">2025-07-03T21:47:00Z</dcterms:modified>
</cp:coreProperties>
</file>