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2E7" w:rsidRDefault="00FB54CF">
      <w:pPr>
        <w:spacing w:line="360" w:lineRule="auto"/>
        <w:jc w:val="center"/>
        <w:rPr>
          <w:sz w:val="24"/>
          <w:szCs w:val="24"/>
        </w:rPr>
      </w:pPr>
      <w:r>
        <w:rPr>
          <w:b/>
          <w:sz w:val="24"/>
          <w:szCs w:val="24"/>
        </w:rPr>
        <w:t>ESTRUTURAS DE DOMINAÇÃO E EXCLUSÃO:</w:t>
      </w:r>
      <w:r>
        <w:rPr>
          <w:sz w:val="24"/>
          <w:szCs w:val="24"/>
        </w:rPr>
        <w:t xml:space="preserve"> racismo, gênero e classe no conto Ana </w:t>
      </w:r>
      <w:proofErr w:type="spellStart"/>
      <w:r>
        <w:rPr>
          <w:sz w:val="24"/>
          <w:szCs w:val="24"/>
        </w:rPr>
        <w:t>Davenga</w:t>
      </w:r>
      <w:proofErr w:type="spellEnd"/>
      <w:r>
        <w:rPr>
          <w:sz w:val="24"/>
          <w:szCs w:val="24"/>
        </w:rPr>
        <w:t>, de Conceição Evaristo</w:t>
      </w:r>
    </w:p>
    <w:p w:rsidR="001D72E7" w:rsidRDefault="00FB54CF">
      <w:pPr>
        <w:spacing w:line="240" w:lineRule="auto"/>
        <w:jc w:val="right"/>
        <w:rPr>
          <w:sz w:val="24"/>
          <w:szCs w:val="24"/>
        </w:rPr>
      </w:pPr>
      <w:r>
        <w:rPr>
          <w:sz w:val="24"/>
          <w:szCs w:val="24"/>
        </w:rPr>
        <w:t>Clarice dos Anjos Batista</w:t>
      </w:r>
      <w:r>
        <w:rPr>
          <w:sz w:val="24"/>
          <w:szCs w:val="24"/>
          <w:vertAlign w:val="superscript"/>
        </w:rPr>
        <w:footnoteReference w:id="1"/>
      </w:r>
    </w:p>
    <w:p w:rsidR="001D72E7" w:rsidRDefault="00FB54CF">
      <w:pPr>
        <w:spacing w:line="240" w:lineRule="auto"/>
        <w:jc w:val="right"/>
        <w:rPr>
          <w:sz w:val="24"/>
          <w:szCs w:val="24"/>
          <w:vertAlign w:val="superscript"/>
        </w:rPr>
      </w:pPr>
      <w:proofErr w:type="spellStart"/>
      <w:r>
        <w:rPr>
          <w:sz w:val="24"/>
          <w:szCs w:val="24"/>
        </w:rPr>
        <w:t>Evelín</w:t>
      </w:r>
      <w:proofErr w:type="spellEnd"/>
      <w:r>
        <w:rPr>
          <w:sz w:val="24"/>
          <w:szCs w:val="24"/>
        </w:rPr>
        <w:t xml:space="preserve"> Alves da Silva</w:t>
      </w:r>
      <w:r>
        <w:rPr>
          <w:sz w:val="24"/>
          <w:szCs w:val="24"/>
          <w:vertAlign w:val="superscript"/>
        </w:rPr>
        <w:footnoteReference w:id="2"/>
      </w:r>
    </w:p>
    <w:p w:rsidR="001D72E7" w:rsidRDefault="001D72E7">
      <w:pPr>
        <w:spacing w:line="240" w:lineRule="auto"/>
        <w:ind w:left="2835"/>
        <w:jc w:val="both"/>
        <w:rPr>
          <w:sz w:val="20"/>
          <w:szCs w:val="20"/>
        </w:rPr>
      </w:pPr>
    </w:p>
    <w:p w:rsidR="00852EBB" w:rsidRDefault="00852EBB">
      <w:pPr>
        <w:spacing w:line="240" w:lineRule="auto"/>
        <w:ind w:left="2835"/>
        <w:jc w:val="both"/>
        <w:rPr>
          <w:sz w:val="20"/>
          <w:szCs w:val="20"/>
        </w:rPr>
      </w:pPr>
      <w:bookmarkStart w:id="0" w:name="_GoBack"/>
      <w:bookmarkEnd w:id="0"/>
    </w:p>
    <w:p w:rsidR="001D72E7" w:rsidRDefault="00FB54CF">
      <w:pPr>
        <w:spacing w:line="240" w:lineRule="auto"/>
        <w:ind w:left="2835"/>
        <w:jc w:val="both"/>
        <w:rPr>
          <w:sz w:val="20"/>
          <w:szCs w:val="20"/>
        </w:rPr>
      </w:pPr>
      <w:r>
        <w:rPr>
          <w:b/>
          <w:sz w:val="20"/>
          <w:szCs w:val="20"/>
        </w:rPr>
        <w:t>Resumo</w:t>
      </w:r>
    </w:p>
    <w:p w:rsidR="001D72E7" w:rsidRDefault="00FB54CF">
      <w:pPr>
        <w:spacing w:line="240" w:lineRule="auto"/>
        <w:ind w:left="2835"/>
        <w:jc w:val="both"/>
        <w:rPr>
          <w:color w:val="FF0000"/>
          <w:sz w:val="20"/>
          <w:szCs w:val="20"/>
        </w:rPr>
      </w:pPr>
      <w:r>
        <w:rPr>
          <w:sz w:val="20"/>
          <w:szCs w:val="20"/>
        </w:rPr>
        <w:t xml:space="preserve">Este trabalho tem por objetivo analisar criticamente o conto “Ana </w:t>
      </w:r>
      <w:proofErr w:type="spellStart"/>
      <w:r>
        <w:rPr>
          <w:sz w:val="20"/>
          <w:szCs w:val="20"/>
        </w:rPr>
        <w:t>Davenga</w:t>
      </w:r>
      <w:proofErr w:type="spellEnd"/>
      <w:r>
        <w:rPr>
          <w:sz w:val="20"/>
          <w:szCs w:val="20"/>
        </w:rPr>
        <w:t xml:space="preserve">”, da obra Olhos D’Água de Conceição Evaristo, à luz de referenciais teóricos que possibilitam compreender as violências estruturais que incidem sobre corpos negros, periféricos e femininos. A metodologia adotada é de abordagem qualitativa, fundamentada na análise interpretativa da obra literária, articulada a conceitos como racismo estrutural, necropolítica e acumulação por espoliação, com base nos estudos de Silvio Almeida, </w:t>
      </w:r>
      <w:proofErr w:type="spellStart"/>
      <w:r>
        <w:rPr>
          <w:sz w:val="20"/>
          <w:szCs w:val="20"/>
        </w:rPr>
        <w:t>Achille</w:t>
      </w:r>
      <w:proofErr w:type="spellEnd"/>
      <w:r>
        <w:rPr>
          <w:sz w:val="20"/>
          <w:szCs w:val="20"/>
        </w:rPr>
        <w:t xml:space="preserve"> </w:t>
      </w:r>
      <w:proofErr w:type="spellStart"/>
      <w:r>
        <w:rPr>
          <w:sz w:val="20"/>
          <w:szCs w:val="20"/>
        </w:rPr>
        <w:t>Mbembe</w:t>
      </w:r>
      <w:proofErr w:type="spellEnd"/>
      <w:r>
        <w:rPr>
          <w:sz w:val="20"/>
          <w:szCs w:val="20"/>
        </w:rPr>
        <w:t xml:space="preserve">, </w:t>
      </w:r>
      <w:proofErr w:type="spellStart"/>
      <w:r>
        <w:rPr>
          <w:sz w:val="20"/>
          <w:szCs w:val="20"/>
        </w:rPr>
        <w:t>Patricia</w:t>
      </w:r>
      <w:proofErr w:type="spellEnd"/>
      <w:r>
        <w:rPr>
          <w:sz w:val="20"/>
          <w:szCs w:val="20"/>
        </w:rPr>
        <w:t xml:space="preserve"> Hill Collins, Grada </w:t>
      </w:r>
      <w:proofErr w:type="spellStart"/>
      <w:r>
        <w:rPr>
          <w:sz w:val="20"/>
          <w:szCs w:val="20"/>
        </w:rPr>
        <w:t>Kilomba</w:t>
      </w:r>
      <w:proofErr w:type="spellEnd"/>
      <w:r>
        <w:rPr>
          <w:sz w:val="20"/>
          <w:szCs w:val="20"/>
        </w:rPr>
        <w:t xml:space="preserve"> e David Harvey. Posto isto, a discussão evidencia como as trajetórias de Ana e </w:t>
      </w:r>
      <w:proofErr w:type="spellStart"/>
      <w:r>
        <w:rPr>
          <w:sz w:val="20"/>
          <w:szCs w:val="20"/>
        </w:rPr>
        <w:t>Davenga</w:t>
      </w:r>
      <w:proofErr w:type="spellEnd"/>
      <w:r>
        <w:rPr>
          <w:sz w:val="20"/>
          <w:szCs w:val="20"/>
        </w:rPr>
        <w:t xml:space="preserve"> são determinadas por processos históricos e sociais que naturalizam a violência e a exclusão, ao passo que reforça a necessidade de políticas públicas emancipatórias. Conclui-se que, a literatura de Evaristo constitui uma ferramenta fundamental de denúncia, memória e resistência, impulsionando a luta antirracista, </w:t>
      </w:r>
      <w:proofErr w:type="spellStart"/>
      <w:r>
        <w:rPr>
          <w:sz w:val="20"/>
          <w:szCs w:val="20"/>
        </w:rPr>
        <w:t>antipatriarcal</w:t>
      </w:r>
      <w:proofErr w:type="spellEnd"/>
      <w:r>
        <w:rPr>
          <w:sz w:val="20"/>
          <w:szCs w:val="20"/>
        </w:rPr>
        <w:t xml:space="preserve"> e anticapitalista.</w:t>
      </w:r>
    </w:p>
    <w:p w:rsidR="001D72E7" w:rsidRDefault="00FB54CF">
      <w:pPr>
        <w:spacing w:line="240" w:lineRule="auto"/>
        <w:ind w:left="2835"/>
        <w:jc w:val="both"/>
        <w:rPr>
          <w:sz w:val="20"/>
          <w:szCs w:val="20"/>
        </w:rPr>
      </w:pPr>
      <w:r>
        <w:rPr>
          <w:b/>
          <w:sz w:val="20"/>
          <w:szCs w:val="20"/>
        </w:rPr>
        <w:t>Palavras-chave</w:t>
      </w:r>
      <w:r>
        <w:rPr>
          <w:sz w:val="20"/>
          <w:szCs w:val="20"/>
        </w:rPr>
        <w:t>: Racismo estrutural; Necropolítica; Interseccionalidade.</w:t>
      </w:r>
    </w:p>
    <w:p w:rsidR="001D72E7" w:rsidRDefault="001D72E7">
      <w:pPr>
        <w:spacing w:line="240" w:lineRule="auto"/>
        <w:ind w:left="2835"/>
        <w:jc w:val="both"/>
        <w:rPr>
          <w:sz w:val="20"/>
          <w:szCs w:val="20"/>
        </w:rPr>
      </w:pPr>
    </w:p>
    <w:p w:rsidR="001D72E7" w:rsidRDefault="00FB54CF">
      <w:pPr>
        <w:spacing w:line="240" w:lineRule="auto"/>
        <w:ind w:left="2835"/>
        <w:jc w:val="both"/>
        <w:rPr>
          <w:sz w:val="20"/>
          <w:szCs w:val="20"/>
        </w:rPr>
      </w:pPr>
      <w:r>
        <w:rPr>
          <w:b/>
          <w:sz w:val="20"/>
          <w:szCs w:val="20"/>
        </w:rPr>
        <w:t>Abstract</w:t>
      </w:r>
    </w:p>
    <w:p w:rsidR="001D72E7" w:rsidRDefault="00FB54CF">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critically</w:t>
      </w:r>
      <w:proofErr w:type="spellEnd"/>
      <w:r>
        <w:rPr>
          <w:sz w:val="20"/>
          <w:szCs w:val="20"/>
        </w:rPr>
        <w:t xml:space="preserve"> </w:t>
      </w:r>
      <w:proofErr w:type="spellStart"/>
      <w:r>
        <w:rPr>
          <w:sz w:val="20"/>
          <w:szCs w:val="20"/>
        </w:rPr>
        <w:t>analyze</w:t>
      </w:r>
      <w:proofErr w:type="spellEnd"/>
      <w:r>
        <w:rPr>
          <w:sz w:val="20"/>
          <w:szCs w:val="20"/>
        </w:rPr>
        <w:t xml:space="preserve"> </w:t>
      </w:r>
      <w:proofErr w:type="spellStart"/>
      <w:r>
        <w:rPr>
          <w:sz w:val="20"/>
          <w:szCs w:val="20"/>
        </w:rPr>
        <w:t>the</w:t>
      </w:r>
      <w:proofErr w:type="spellEnd"/>
      <w:r>
        <w:rPr>
          <w:sz w:val="20"/>
          <w:szCs w:val="20"/>
        </w:rPr>
        <w:t xml:space="preserve"> short </w:t>
      </w:r>
      <w:proofErr w:type="spellStart"/>
      <w:r>
        <w:rPr>
          <w:sz w:val="20"/>
          <w:szCs w:val="20"/>
        </w:rPr>
        <w:t>story</w:t>
      </w:r>
      <w:proofErr w:type="spellEnd"/>
      <w:r>
        <w:rPr>
          <w:sz w:val="20"/>
          <w:szCs w:val="20"/>
        </w:rPr>
        <w:t xml:space="preserve"> </w:t>
      </w:r>
      <w:r>
        <w:rPr>
          <w:i/>
          <w:sz w:val="20"/>
          <w:szCs w:val="20"/>
        </w:rPr>
        <w:t xml:space="preserve">“Ana </w:t>
      </w:r>
      <w:proofErr w:type="spellStart"/>
      <w:r>
        <w:rPr>
          <w:i/>
          <w:sz w:val="20"/>
          <w:szCs w:val="20"/>
        </w:rPr>
        <w:t>Davenga</w:t>
      </w:r>
      <w:proofErr w:type="spellEnd"/>
      <w:r>
        <w:rPr>
          <w:i/>
          <w:sz w:val="20"/>
          <w:szCs w:val="20"/>
        </w:rPr>
        <w:t>”</w:t>
      </w:r>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book Olhos D’Água </w:t>
      </w:r>
      <w:proofErr w:type="spellStart"/>
      <w:r>
        <w:rPr>
          <w:sz w:val="20"/>
          <w:szCs w:val="20"/>
        </w:rPr>
        <w:t>by</w:t>
      </w:r>
      <w:proofErr w:type="spellEnd"/>
      <w:r>
        <w:rPr>
          <w:sz w:val="20"/>
          <w:szCs w:val="20"/>
        </w:rPr>
        <w:t xml:space="preserve"> Conceição Evaristo, </w:t>
      </w:r>
      <w:proofErr w:type="spellStart"/>
      <w:r>
        <w:rPr>
          <w:sz w:val="20"/>
          <w:szCs w:val="20"/>
        </w:rPr>
        <w:t>through</w:t>
      </w:r>
      <w:proofErr w:type="spellEnd"/>
      <w:r>
        <w:rPr>
          <w:sz w:val="20"/>
          <w:szCs w:val="20"/>
        </w:rPr>
        <w:t xml:space="preserve"> </w:t>
      </w:r>
      <w:proofErr w:type="spellStart"/>
      <w:r>
        <w:rPr>
          <w:sz w:val="20"/>
          <w:szCs w:val="20"/>
        </w:rPr>
        <w:t>theoretical</w:t>
      </w:r>
      <w:proofErr w:type="spellEnd"/>
      <w:r>
        <w:rPr>
          <w:sz w:val="20"/>
          <w:szCs w:val="20"/>
        </w:rPr>
        <w:t xml:space="preserve"> frameworks </w:t>
      </w:r>
      <w:proofErr w:type="spellStart"/>
      <w:r>
        <w:rPr>
          <w:sz w:val="20"/>
          <w:szCs w:val="20"/>
        </w:rPr>
        <w:t>that</w:t>
      </w:r>
      <w:proofErr w:type="spellEnd"/>
      <w:r>
        <w:rPr>
          <w:sz w:val="20"/>
          <w:szCs w:val="20"/>
        </w:rPr>
        <w:t xml:space="preserve"> </w:t>
      </w:r>
      <w:proofErr w:type="spellStart"/>
      <w:r>
        <w:rPr>
          <w:sz w:val="20"/>
          <w:szCs w:val="20"/>
        </w:rPr>
        <w:t>enable</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understanding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violence</w:t>
      </w:r>
      <w:proofErr w:type="spellEnd"/>
      <w:r>
        <w:rPr>
          <w:sz w:val="20"/>
          <w:szCs w:val="20"/>
        </w:rPr>
        <w:t xml:space="preserve"> </w:t>
      </w:r>
      <w:proofErr w:type="spellStart"/>
      <w:r>
        <w:rPr>
          <w:sz w:val="20"/>
          <w:szCs w:val="20"/>
        </w:rPr>
        <w:t>imposed</w:t>
      </w:r>
      <w:proofErr w:type="spellEnd"/>
      <w:r>
        <w:rPr>
          <w:sz w:val="20"/>
          <w:szCs w:val="20"/>
        </w:rPr>
        <w:t xml:space="preserve"> </w:t>
      </w:r>
      <w:proofErr w:type="spellStart"/>
      <w:r>
        <w:rPr>
          <w:sz w:val="20"/>
          <w:szCs w:val="20"/>
        </w:rPr>
        <w:t>on</w:t>
      </w:r>
      <w:proofErr w:type="spellEnd"/>
      <w:r>
        <w:rPr>
          <w:sz w:val="20"/>
          <w:szCs w:val="20"/>
        </w:rPr>
        <w:t xml:space="preserve"> Black, </w:t>
      </w:r>
      <w:proofErr w:type="spellStart"/>
      <w:r>
        <w:rPr>
          <w:sz w:val="20"/>
          <w:szCs w:val="20"/>
        </w:rPr>
        <w:t>marginalized</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female</w:t>
      </w:r>
      <w:proofErr w:type="spellEnd"/>
      <w:r>
        <w:rPr>
          <w:sz w:val="20"/>
          <w:szCs w:val="20"/>
        </w:rPr>
        <w:t xml:space="preserve"> </w:t>
      </w:r>
      <w:proofErr w:type="spellStart"/>
      <w:r>
        <w:rPr>
          <w:sz w:val="20"/>
          <w:szCs w:val="20"/>
        </w:rPr>
        <w:t>bodies</w:t>
      </w:r>
      <w:proofErr w:type="spellEnd"/>
      <w:r>
        <w:rPr>
          <w:sz w:val="20"/>
          <w:szCs w:val="20"/>
        </w:rPr>
        <w:t xml:space="preserve">. The </w:t>
      </w:r>
      <w:proofErr w:type="spellStart"/>
      <w:r>
        <w:rPr>
          <w:sz w:val="20"/>
          <w:szCs w:val="20"/>
        </w:rPr>
        <w:t>methodology</w:t>
      </w:r>
      <w:proofErr w:type="spellEnd"/>
      <w:r>
        <w:rPr>
          <w:sz w:val="20"/>
          <w:szCs w:val="20"/>
        </w:rPr>
        <w:t xml:space="preserve"> </w:t>
      </w:r>
      <w:proofErr w:type="spellStart"/>
      <w:r>
        <w:rPr>
          <w:sz w:val="20"/>
          <w:szCs w:val="20"/>
        </w:rPr>
        <w:t>employed</w:t>
      </w:r>
      <w:proofErr w:type="spellEnd"/>
      <w:r>
        <w:rPr>
          <w:sz w:val="20"/>
          <w:szCs w:val="20"/>
        </w:rPr>
        <w:t xml:space="preserve"> </w:t>
      </w:r>
      <w:proofErr w:type="spellStart"/>
      <w:r>
        <w:rPr>
          <w:sz w:val="20"/>
          <w:szCs w:val="20"/>
        </w:rPr>
        <w:t>follows</w:t>
      </w:r>
      <w:proofErr w:type="spellEnd"/>
      <w:r>
        <w:rPr>
          <w:sz w:val="20"/>
          <w:szCs w:val="20"/>
        </w:rPr>
        <w:t xml:space="preserve"> a </w:t>
      </w:r>
      <w:proofErr w:type="spellStart"/>
      <w:r>
        <w:rPr>
          <w:sz w:val="20"/>
          <w:szCs w:val="20"/>
        </w:rPr>
        <w:t>qualitative</w:t>
      </w:r>
      <w:proofErr w:type="spellEnd"/>
      <w:r>
        <w:rPr>
          <w:sz w:val="20"/>
          <w:szCs w:val="20"/>
        </w:rPr>
        <w:t xml:space="preserve"> approach, </w:t>
      </w:r>
      <w:proofErr w:type="spellStart"/>
      <w:r>
        <w:rPr>
          <w:sz w:val="20"/>
          <w:szCs w:val="20"/>
        </w:rPr>
        <w:t>grounded</w:t>
      </w:r>
      <w:proofErr w:type="spellEnd"/>
      <w:r>
        <w:rPr>
          <w:sz w:val="20"/>
          <w:szCs w:val="20"/>
        </w:rPr>
        <w:t xml:space="preserve"> in </w:t>
      </w:r>
      <w:proofErr w:type="spellStart"/>
      <w:r>
        <w:rPr>
          <w:sz w:val="20"/>
          <w:szCs w:val="20"/>
        </w:rPr>
        <w:t>an</w:t>
      </w:r>
      <w:proofErr w:type="spellEnd"/>
      <w:r>
        <w:rPr>
          <w:sz w:val="20"/>
          <w:szCs w:val="20"/>
        </w:rPr>
        <w:t xml:space="preserve"> </w:t>
      </w:r>
      <w:proofErr w:type="spellStart"/>
      <w:r>
        <w:rPr>
          <w:sz w:val="20"/>
          <w:szCs w:val="20"/>
        </w:rPr>
        <w:t>interpretative</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literary</w:t>
      </w:r>
      <w:proofErr w:type="spellEnd"/>
      <w:r>
        <w:rPr>
          <w:sz w:val="20"/>
          <w:szCs w:val="20"/>
        </w:rPr>
        <w:t xml:space="preserve"> </w:t>
      </w:r>
      <w:proofErr w:type="spellStart"/>
      <w:r>
        <w:rPr>
          <w:sz w:val="20"/>
          <w:szCs w:val="20"/>
        </w:rPr>
        <w:t>work</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articulated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concepts</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structural</w:t>
      </w:r>
      <w:proofErr w:type="spellEnd"/>
      <w:r>
        <w:rPr>
          <w:sz w:val="20"/>
          <w:szCs w:val="20"/>
        </w:rPr>
        <w:t xml:space="preserve"> </w:t>
      </w:r>
      <w:proofErr w:type="spellStart"/>
      <w:r>
        <w:rPr>
          <w:sz w:val="20"/>
          <w:szCs w:val="20"/>
        </w:rPr>
        <w:t>racism</w:t>
      </w:r>
      <w:proofErr w:type="spellEnd"/>
      <w:r>
        <w:rPr>
          <w:sz w:val="20"/>
          <w:szCs w:val="20"/>
        </w:rPr>
        <w:t xml:space="preserve">, </w:t>
      </w:r>
      <w:proofErr w:type="spellStart"/>
      <w:r>
        <w:rPr>
          <w:sz w:val="20"/>
          <w:szCs w:val="20"/>
        </w:rPr>
        <w:t>necropolitics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accumulation</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dispossession</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works</w:t>
      </w:r>
      <w:proofErr w:type="spellEnd"/>
      <w:r>
        <w:rPr>
          <w:sz w:val="20"/>
          <w:szCs w:val="20"/>
        </w:rPr>
        <w:t xml:space="preserve"> </w:t>
      </w:r>
      <w:proofErr w:type="spellStart"/>
      <w:r>
        <w:rPr>
          <w:sz w:val="20"/>
          <w:szCs w:val="20"/>
        </w:rPr>
        <w:t>of</w:t>
      </w:r>
      <w:proofErr w:type="spellEnd"/>
      <w:r>
        <w:rPr>
          <w:sz w:val="20"/>
          <w:szCs w:val="20"/>
        </w:rPr>
        <w:t xml:space="preserve"> Silvio Almeida, </w:t>
      </w:r>
      <w:proofErr w:type="spellStart"/>
      <w:r>
        <w:rPr>
          <w:sz w:val="20"/>
          <w:szCs w:val="20"/>
        </w:rPr>
        <w:t>Achille</w:t>
      </w:r>
      <w:proofErr w:type="spellEnd"/>
      <w:r>
        <w:rPr>
          <w:sz w:val="20"/>
          <w:szCs w:val="20"/>
        </w:rPr>
        <w:t xml:space="preserve"> </w:t>
      </w:r>
      <w:proofErr w:type="spellStart"/>
      <w:r>
        <w:rPr>
          <w:sz w:val="20"/>
          <w:szCs w:val="20"/>
        </w:rPr>
        <w:t>Mbembe</w:t>
      </w:r>
      <w:proofErr w:type="spellEnd"/>
      <w:r>
        <w:rPr>
          <w:sz w:val="20"/>
          <w:szCs w:val="20"/>
        </w:rPr>
        <w:t xml:space="preserve">, </w:t>
      </w:r>
      <w:proofErr w:type="spellStart"/>
      <w:r>
        <w:rPr>
          <w:sz w:val="20"/>
          <w:szCs w:val="20"/>
        </w:rPr>
        <w:t>Patricia</w:t>
      </w:r>
      <w:proofErr w:type="spellEnd"/>
      <w:r>
        <w:rPr>
          <w:sz w:val="20"/>
          <w:szCs w:val="20"/>
        </w:rPr>
        <w:t xml:space="preserve"> Hill Collins, Grada </w:t>
      </w:r>
      <w:proofErr w:type="spellStart"/>
      <w:r>
        <w:rPr>
          <w:sz w:val="20"/>
          <w:szCs w:val="20"/>
        </w:rPr>
        <w:t>Kilomba</w:t>
      </w:r>
      <w:proofErr w:type="spellEnd"/>
      <w:r>
        <w:rPr>
          <w:sz w:val="20"/>
          <w:szCs w:val="20"/>
        </w:rPr>
        <w:t xml:space="preserve">, </w:t>
      </w:r>
      <w:proofErr w:type="spellStart"/>
      <w:r>
        <w:rPr>
          <w:sz w:val="20"/>
          <w:szCs w:val="20"/>
        </w:rPr>
        <w:t>and</w:t>
      </w:r>
      <w:proofErr w:type="spellEnd"/>
      <w:r>
        <w:rPr>
          <w:sz w:val="20"/>
          <w:szCs w:val="20"/>
        </w:rPr>
        <w:t xml:space="preserve"> David Harvey. The </w:t>
      </w:r>
      <w:proofErr w:type="spellStart"/>
      <w:r>
        <w:rPr>
          <w:sz w:val="20"/>
          <w:szCs w:val="20"/>
        </w:rPr>
        <w:t>discussion</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trajectories</w:t>
      </w:r>
      <w:proofErr w:type="spellEnd"/>
      <w:r>
        <w:rPr>
          <w:sz w:val="20"/>
          <w:szCs w:val="20"/>
        </w:rPr>
        <w:t xml:space="preserve"> </w:t>
      </w:r>
      <w:proofErr w:type="spellStart"/>
      <w:r>
        <w:rPr>
          <w:sz w:val="20"/>
          <w:szCs w:val="20"/>
        </w:rPr>
        <w:t>of</w:t>
      </w:r>
      <w:proofErr w:type="spellEnd"/>
      <w:r>
        <w:rPr>
          <w:sz w:val="20"/>
          <w:szCs w:val="20"/>
        </w:rPr>
        <w:t xml:space="preserve"> Ana </w:t>
      </w:r>
      <w:proofErr w:type="spellStart"/>
      <w:r>
        <w:rPr>
          <w:sz w:val="20"/>
          <w:szCs w:val="20"/>
        </w:rPr>
        <w:t>and</w:t>
      </w:r>
      <w:proofErr w:type="spellEnd"/>
      <w:r>
        <w:rPr>
          <w:sz w:val="20"/>
          <w:szCs w:val="20"/>
        </w:rPr>
        <w:t xml:space="preserve"> </w:t>
      </w:r>
      <w:proofErr w:type="spellStart"/>
      <w:r>
        <w:rPr>
          <w:sz w:val="20"/>
          <w:szCs w:val="20"/>
        </w:rPr>
        <w:t>Davenga</w:t>
      </w:r>
      <w:proofErr w:type="spellEnd"/>
      <w:r>
        <w:rPr>
          <w:sz w:val="20"/>
          <w:szCs w:val="20"/>
        </w:rPr>
        <w:t xml:space="preserve"> are </w:t>
      </w:r>
      <w:proofErr w:type="spellStart"/>
      <w:r>
        <w:rPr>
          <w:sz w:val="20"/>
          <w:szCs w:val="20"/>
        </w:rPr>
        <w:t>shaped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historical</w:t>
      </w:r>
      <w:proofErr w:type="spellEnd"/>
      <w:r>
        <w:rPr>
          <w:sz w:val="20"/>
          <w:szCs w:val="20"/>
        </w:rPr>
        <w:t xml:space="preserve"> </w:t>
      </w:r>
      <w:proofErr w:type="spellStart"/>
      <w:r>
        <w:rPr>
          <w:sz w:val="20"/>
          <w:szCs w:val="20"/>
        </w:rPr>
        <w:t>and</w:t>
      </w:r>
      <w:proofErr w:type="spellEnd"/>
      <w:r>
        <w:rPr>
          <w:sz w:val="20"/>
          <w:szCs w:val="20"/>
        </w:rPr>
        <w:t xml:space="preserve"> social processes </w:t>
      </w:r>
      <w:proofErr w:type="spellStart"/>
      <w:r>
        <w:rPr>
          <w:sz w:val="20"/>
          <w:szCs w:val="20"/>
        </w:rPr>
        <w:t>that</w:t>
      </w:r>
      <w:proofErr w:type="spellEnd"/>
      <w:r>
        <w:rPr>
          <w:sz w:val="20"/>
          <w:szCs w:val="20"/>
        </w:rPr>
        <w:t xml:space="preserve"> normalize </w:t>
      </w:r>
      <w:proofErr w:type="spellStart"/>
      <w:r>
        <w:rPr>
          <w:sz w:val="20"/>
          <w:szCs w:val="20"/>
        </w:rPr>
        <w:t>violence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exclusion</w:t>
      </w:r>
      <w:proofErr w:type="spellEnd"/>
      <w:r>
        <w:rPr>
          <w:sz w:val="20"/>
          <w:szCs w:val="20"/>
        </w:rPr>
        <w:t xml:space="preserve">, </w:t>
      </w:r>
      <w:proofErr w:type="spellStart"/>
      <w:r>
        <w:rPr>
          <w:sz w:val="20"/>
          <w:szCs w:val="20"/>
        </w:rPr>
        <w:t>while</w:t>
      </w:r>
      <w:proofErr w:type="spellEnd"/>
      <w:r>
        <w:rPr>
          <w:sz w:val="20"/>
          <w:szCs w:val="20"/>
        </w:rPr>
        <w:t xml:space="preserve"> </w:t>
      </w:r>
      <w:proofErr w:type="spellStart"/>
      <w:r>
        <w:rPr>
          <w:sz w:val="20"/>
          <w:szCs w:val="20"/>
        </w:rPr>
        <w:t>also</w:t>
      </w:r>
      <w:proofErr w:type="spellEnd"/>
      <w:r>
        <w:rPr>
          <w:sz w:val="20"/>
          <w:szCs w:val="20"/>
        </w:rPr>
        <w:t xml:space="preserve"> </w:t>
      </w:r>
      <w:proofErr w:type="spellStart"/>
      <w:r>
        <w:rPr>
          <w:sz w:val="20"/>
          <w:szCs w:val="20"/>
        </w:rPr>
        <w:t>underscoring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need</w:t>
      </w:r>
      <w:proofErr w:type="spellEnd"/>
      <w:r>
        <w:rPr>
          <w:sz w:val="20"/>
          <w:szCs w:val="20"/>
        </w:rPr>
        <w:t xml:space="preserve"> for </w:t>
      </w:r>
      <w:proofErr w:type="spellStart"/>
      <w:r>
        <w:rPr>
          <w:sz w:val="20"/>
          <w:szCs w:val="20"/>
        </w:rPr>
        <w:t>emancipatory</w:t>
      </w:r>
      <w:proofErr w:type="spellEnd"/>
      <w:r>
        <w:rPr>
          <w:sz w:val="20"/>
          <w:szCs w:val="20"/>
        </w:rPr>
        <w:t xml:space="preserve"> </w:t>
      </w:r>
      <w:proofErr w:type="spellStart"/>
      <w:r>
        <w:rPr>
          <w:sz w:val="20"/>
          <w:szCs w:val="20"/>
        </w:rPr>
        <w:t>public</w:t>
      </w:r>
      <w:proofErr w:type="spellEnd"/>
      <w:r>
        <w:rPr>
          <w:sz w:val="20"/>
          <w:szCs w:val="20"/>
        </w:rPr>
        <w:t xml:space="preserve"> policies. It </w:t>
      </w:r>
      <w:proofErr w:type="spellStart"/>
      <w:r>
        <w:rPr>
          <w:sz w:val="20"/>
          <w:szCs w:val="20"/>
        </w:rPr>
        <w:t>concludes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Evaristo’s</w:t>
      </w:r>
      <w:proofErr w:type="spellEnd"/>
      <w:r>
        <w:rPr>
          <w:sz w:val="20"/>
          <w:szCs w:val="20"/>
        </w:rPr>
        <w:t xml:space="preserve"> </w:t>
      </w:r>
      <w:proofErr w:type="spellStart"/>
      <w:r>
        <w:rPr>
          <w:sz w:val="20"/>
          <w:szCs w:val="20"/>
        </w:rPr>
        <w:t>literature</w:t>
      </w:r>
      <w:proofErr w:type="spellEnd"/>
      <w:r>
        <w:rPr>
          <w:sz w:val="20"/>
          <w:szCs w:val="20"/>
        </w:rPr>
        <w:t xml:space="preserve"> </w:t>
      </w:r>
      <w:proofErr w:type="spellStart"/>
      <w:r>
        <w:rPr>
          <w:sz w:val="20"/>
          <w:szCs w:val="20"/>
        </w:rPr>
        <w:t>constitutes</w:t>
      </w:r>
      <w:proofErr w:type="spellEnd"/>
      <w:r>
        <w:rPr>
          <w:sz w:val="20"/>
          <w:szCs w:val="20"/>
        </w:rPr>
        <w:t xml:space="preserve"> a vital tool for </w:t>
      </w:r>
      <w:proofErr w:type="spellStart"/>
      <w:r>
        <w:rPr>
          <w:sz w:val="20"/>
          <w:szCs w:val="20"/>
        </w:rPr>
        <w:t>denunciation</w:t>
      </w:r>
      <w:proofErr w:type="spellEnd"/>
      <w:r>
        <w:rPr>
          <w:sz w:val="20"/>
          <w:szCs w:val="20"/>
        </w:rPr>
        <w:t xml:space="preserve">, </w:t>
      </w:r>
      <w:proofErr w:type="spellStart"/>
      <w:r>
        <w:rPr>
          <w:sz w:val="20"/>
          <w:szCs w:val="20"/>
        </w:rPr>
        <w:t>memory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strengthening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anti-racist</w:t>
      </w:r>
      <w:proofErr w:type="spellEnd"/>
      <w:r>
        <w:rPr>
          <w:sz w:val="20"/>
          <w:szCs w:val="20"/>
        </w:rPr>
        <w:t xml:space="preserve">, </w:t>
      </w:r>
      <w:proofErr w:type="spellStart"/>
      <w:r>
        <w:rPr>
          <w:sz w:val="20"/>
          <w:szCs w:val="20"/>
        </w:rPr>
        <w:t>anti-patriarchal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anti-capitalist</w:t>
      </w:r>
      <w:proofErr w:type="spellEnd"/>
      <w:r>
        <w:rPr>
          <w:sz w:val="20"/>
          <w:szCs w:val="20"/>
        </w:rPr>
        <w:t xml:space="preserve"> </w:t>
      </w:r>
      <w:proofErr w:type="spellStart"/>
      <w:r>
        <w:rPr>
          <w:sz w:val="20"/>
          <w:szCs w:val="20"/>
        </w:rPr>
        <w:t>struggle</w:t>
      </w:r>
      <w:proofErr w:type="spellEnd"/>
      <w:r>
        <w:rPr>
          <w:sz w:val="20"/>
          <w:szCs w:val="20"/>
        </w:rPr>
        <w:t>.</w:t>
      </w:r>
    </w:p>
    <w:p w:rsidR="001D72E7" w:rsidRDefault="00FB54CF">
      <w:pPr>
        <w:spacing w:line="240" w:lineRule="auto"/>
        <w:ind w:left="2835"/>
        <w:jc w:val="both"/>
        <w:rPr>
          <w:sz w:val="20"/>
          <w:szCs w:val="20"/>
        </w:rPr>
      </w:pPr>
      <w:proofErr w:type="spellStart"/>
      <w:r>
        <w:rPr>
          <w:b/>
          <w:sz w:val="20"/>
          <w:szCs w:val="20"/>
        </w:rPr>
        <w:t>Keywords</w:t>
      </w:r>
      <w:proofErr w:type="spellEnd"/>
      <w:r>
        <w:rPr>
          <w:sz w:val="20"/>
          <w:szCs w:val="20"/>
        </w:rPr>
        <w:t xml:space="preserve">: </w:t>
      </w:r>
      <w:proofErr w:type="spellStart"/>
      <w:r>
        <w:rPr>
          <w:sz w:val="20"/>
          <w:szCs w:val="20"/>
        </w:rPr>
        <w:t>Structural</w:t>
      </w:r>
      <w:proofErr w:type="spellEnd"/>
      <w:r>
        <w:rPr>
          <w:sz w:val="20"/>
          <w:szCs w:val="20"/>
        </w:rPr>
        <w:t xml:space="preserve"> racismo; </w:t>
      </w:r>
      <w:proofErr w:type="spellStart"/>
      <w:r>
        <w:rPr>
          <w:sz w:val="20"/>
          <w:szCs w:val="20"/>
        </w:rPr>
        <w:t>Necropolitics</w:t>
      </w:r>
      <w:proofErr w:type="spellEnd"/>
      <w:r>
        <w:rPr>
          <w:sz w:val="20"/>
          <w:szCs w:val="20"/>
        </w:rPr>
        <w:t xml:space="preserve">; </w:t>
      </w:r>
      <w:proofErr w:type="spellStart"/>
      <w:r>
        <w:rPr>
          <w:sz w:val="20"/>
          <w:szCs w:val="20"/>
        </w:rPr>
        <w:t>Intersectionality</w:t>
      </w:r>
      <w:proofErr w:type="spellEnd"/>
      <w:r>
        <w:rPr>
          <w:sz w:val="20"/>
          <w:szCs w:val="20"/>
        </w:rPr>
        <w:t>.</w:t>
      </w:r>
    </w:p>
    <w:p w:rsidR="001D72E7" w:rsidRDefault="001D72E7">
      <w:pPr>
        <w:spacing w:line="360" w:lineRule="auto"/>
        <w:jc w:val="both"/>
        <w:rPr>
          <w:sz w:val="24"/>
          <w:szCs w:val="24"/>
        </w:rPr>
      </w:pPr>
    </w:p>
    <w:p w:rsidR="001D72E7" w:rsidRDefault="001D72E7">
      <w:pPr>
        <w:spacing w:line="360" w:lineRule="auto"/>
        <w:jc w:val="both"/>
        <w:rPr>
          <w:sz w:val="24"/>
          <w:szCs w:val="24"/>
        </w:rPr>
      </w:pPr>
    </w:p>
    <w:p w:rsidR="001D72E7" w:rsidRDefault="00FB54CF">
      <w:pPr>
        <w:spacing w:line="360" w:lineRule="auto"/>
        <w:rPr>
          <w:sz w:val="24"/>
          <w:szCs w:val="24"/>
        </w:rPr>
      </w:pPr>
      <w:r>
        <w:rPr>
          <w:b/>
          <w:sz w:val="24"/>
          <w:szCs w:val="24"/>
        </w:rPr>
        <w:t>1</w:t>
      </w:r>
      <w:r>
        <w:rPr>
          <w:b/>
          <w:sz w:val="24"/>
          <w:szCs w:val="24"/>
        </w:rPr>
        <w:tab/>
        <w:t>INTRODUÇÃO</w:t>
      </w:r>
    </w:p>
    <w:p w:rsidR="001D72E7" w:rsidRDefault="001D72E7">
      <w:pPr>
        <w:spacing w:line="360" w:lineRule="auto"/>
        <w:jc w:val="both"/>
        <w:rPr>
          <w:sz w:val="24"/>
          <w:szCs w:val="24"/>
        </w:rPr>
      </w:pPr>
    </w:p>
    <w:p w:rsidR="001D72E7" w:rsidRDefault="00FB54CF">
      <w:pPr>
        <w:spacing w:line="360" w:lineRule="auto"/>
        <w:ind w:firstLine="709"/>
        <w:jc w:val="both"/>
        <w:rPr>
          <w:sz w:val="24"/>
          <w:szCs w:val="24"/>
        </w:rPr>
      </w:pPr>
      <w:r>
        <w:rPr>
          <w:sz w:val="24"/>
          <w:szCs w:val="24"/>
        </w:rPr>
        <w:t xml:space="preserve">O conto “Ana </w:t>
      </w:r>
      <w:proofErr w:type="spellStart"/>
      <w:r>
        <w:rPr>
          <w:sz w:val="24"/>
          <w:szCs w:val="24"/>
        </w:rPr>
        <w:t>Davenga</w:t>
      </w:r>
      <w:proofErr w:type="spellEnd"/>
      <w:r>
        <w:rPr>
          <w:sz w:val="24"/>
          <w:szCs w:val="24"/>
        </w:rPr>
        <w:t>”, da obra Olhos D’Água (2018), da escritora Conceição Evaristo, configura-se como uma narrativa literária de extrema relevância, ao evidenciar, com sensibilidade e crueza, as violências históricas e estruturais que atingem de modo interseccional os corpos negros, femininos e periféricos no contexto brasileiro. Tais violências são corroboradas por indicadores sociais, como os apresentados pelo IBGE (2023), que demonstram, por exemplo, a desproporcionalidade de mortes por intervenção policial que vitimam indivíduos negros ou a persistente precarização do trabalho que atinge majoritariamente mulheres negras, elementos que sublinham a urgência da abordagem proposta pela autora.</w:t>
      </w:r>
    </w:p>
    <w:p w:rsidR="001D72E7" w:rsidRDefault="00FB54CF">
      <w:pPr>
        <w:spacing w:line="360" w:lineRule="auto"/>
        <w:ind w:firstLine="709"/>
        <w:jc w:val="both"/>
        <w:rPr>
          <w:sz w:val="24"/>
          <w:szCs w:val="24"/>
        </w:rPr>
      </w:pPr>
      <w:r>
        <w:rPr>
          <w:sz w:val="24"/>
          <w:szCs w:val="24"/>
        </w:rPr>
        <w:t xml:space="preserve">A partir de uma trama marcada pela precarização das condições de vida, pela criminalização da pobreza, pela ausência de políticas públicas e pela repressão policial, a obra convoca à reflexão crítica sobre como tais elementos se entrelaçam e determinam trajetórias marcadas pela exclusão social, pela violência e, em última instância, pela morte. Nesse sentido, a problematização que orienta este estudo parte do reconhecimento de que as múltiplas opressões vivenciadas pelos sujeitos representados na narrativa, especialmente Ana e </w:t>
      </w:r>
      <w:proofErr w:type="spellStart"/>
      <w:r>
        <w:rPr>
          <w:sz w:val="24"/>
          <w:szCs w:val="24"/>
        </w:rPr>
        <w:t>Davenga</w:t>
      </w:r>
      <w:proofErr w:type="spellEnd"/>
      <w:r>
        <w:rPr>
          <w:sz w:val="24"/>
          <w:szCs w:val="24"/>
        </w:rPr>
        <w:t>, não constituem “desvios ou exceções”, mas expressam o funcionamento regular e estruturante das dinâmicas sociais, políticas e econômicas no Brasil, sendo corroboradas por uma vasta gama de evidências empíricas e dados socioeconômicos.</w:t>
      </w:r>
    </w:p>
    <w:p w:rsidR="001D72E7" w:rsidRDefault="00FB54CF">
      <w:pPr>
        <w:spacing w:line="360" w:lineRule="auto"/>
        <w:ind w:firstLine="709"/>
        <w:jc w:val="both"/>
        <w:rPr>
          <w:sz w:val="24"/>
          <w:szCs w:val="24"/>
        </w:rPr>
      </w:pPr>
      <w:r>
        <w:rPr>
          <w:sz w:val="24"/>
          <w:szCs w:val="24"/>
        </w:rPr>
        <w:t xml:space="preserve">Ademais, a partir desta análise, busca-se compreender de que modo o conto “Ana </w:t>
      </w:r>
      <w:proofErr w:type="spellStart"/>
      <w:r>
        <w:rPr>
          <w:sz w:val="24"/>
          <w:szCs w:val="24"/>
        </w:rPr>
        <w:t>Davenga</w:t>
      </w:r>
      <w:proofErr w:type="spellEnd"/>
      <w:r>
        <w:rPr>
          <w:sz w:val="24"/>
          <w:szCs w:val="24"/>
        </w:rPr>
        <w:t xml:space="preserve">” explicita os mecanismos de reprodução do racismo, da </w:t>
      </w:r>
      <w:proofErr w:type="spellStart"/>
      <w:r>
        <w:rPr>
          <w:sz w:val="24"/>
          <w:szCs w:val="24"/>
        </w:rPr>
        <w:t>necropolítica</w:t>
      </w:r>
      <w:proofErr w:type="spellEnd"/>
      <w:r>
        <w:rPr>
          <w:sz w:val="24"/>
          <w:szCs w:val="24"/>
        </w:rPr>
        <w:t xml:space="preserve"> e da </w:t>
      </w:r>
      <w:proofErr w:type="spellStart"/>
      <w:r>
        <w:rPr>
          <w:sz w:val="24"/>
          <w:szCs w:val="24"/>
        </w:rPr>
        <w:t>objetificação</w:t>
      </w:r>
      <w:proofErr w:type="spellEnd"/>
      <w:r>
        <w:rPr>
          <w:sz w:val="24"/>
          <w:szCs w:val="24"/>
        </w:rPr>
        <w:t xml:space="preserve"> da mulher negra, bem como a sua articulação com os processos de segregação espacial e expropriação urbana. Diante dessa problemática, o objetivo central deste trabalho consiste em realizar uma análise crítica e interseccional do </w:t>
      </w:r>
      <w:r>
        <w:rPr>
          <w:sz w:val="24"/>
          <w:szCs w:val="24"/>
        </w:rPr>
        <w:lastRenderedPageBreak/>
        <w:t xml:space="preserve">conto “Ana </w:t>
      </w:r>
      <w:proofErr w:type="spellStart"/>
      <w:r>
        <w:rPr>
          <w:sz w:val="24"/>
          <w:szCs w:val="24"/>
        </w:rPr>
        <w:t>Davenga</w:t>
      </w:r>
      <w:proofErr w:type="spellEnd"/>
      <w:r>
        <w:rPr>
          <w:sz w:val="24"/>
          <w:szCs w:val="24"/>
        </w:rPr>
        <w:t xml:space="preserve">”, à luz de referenciais teóricos fundamentais para a compreensão das violências estruturais que atravessam corpos negros, femininos e periféricos. De modo específico, pretende-se articular autores de diferentes vertentes e os seus conceitos, como o racismo estrutural de Silvio Almeida, a necropolítica de Achille Mbembe, as contribuições de feministas negras, notadamente de </w:t>
      </w:r>
      <w:proofErr w:type="spellStart"/>
      <w:r>
        <w:rPr>
          <w:sz w:val="24"/>
          <w:szCs w:val="24"/>
        </w:rPr>
        <w:t>Patricia</w:t>
      </w:r>
      <w:proofErr w:type="spellEnd"/>
      <w:r>
        <w:rPr>
          <w:sz w:val="24"/>
          <w:szCs w:val="24"/>
        </w:rPr>
        <w:t xml:space="preserve"> Hill Collins e Grada </w:t>
      </w:r>
      <w:proofErr w:type="spellStart"/>
      <w:r>
        <w:rPr>
          <w:sz w:val="24"/>
          <w:szCs w:val="24"/>
        </w:rPr>
        <w:t>Kilomba</w:t>
      </w:r>
      <w:proofErr w:type="spellEnd"/>
      <w:r>
        <w:rPr>
          <w:sz w:val="24"/>
          <w:szCs w:val="24"/>
        </w:rPr>
        <w:t>, e a teoria da acumulação por espoliação de David Harvey.</w:t>
      </w:r>
    </w:p>
    <w:p w:rsidR="001D72E7" w:rsidRDefault="00FB54CF">
      <w:pPr>
        <w:spacing w:line="360" w:lineRule="auto"/>
        <w:ind w:firstLine="709"/>
        <w:jc w:val="both"/>
        <w:rPr>
          <w:sz w:val="24"/>
          <w:szCs w:val="24"/>
        </w:rPr>
      </w:pPr>
      <w:r>
        <w:rPr>
          <w:sz w:val="24"/>
          <w:szCs w:val="24"/>
        </w:rPr>
        <w:t xml:space="preserve">A perspectiva teórico-metodológica adotada, pauta-se em uma abordagem qualitativa, de natureza exploratória, analítica e crítica, por não se centrar na quantificação de fenômenos, mas na interpretação das representações literárias enquanto expressões de processos sociais complexos e historicamente situados. O percurso metodológico desenvolveu-se por meio de uma leitura atenta e interpretativa do conto “Ana </w:t>
      </w:r>
      <w:proofErr w:type="spellStart"/>
      <w:r>
        <w:rPr>
          <w:sz w:val="24"/>
          <w:szCs w:val="24"/>
        </w:rPr>
        <w:t>Davenga</w:t>
      </w:r>
      <w:proofErr w:type="spellEnd"/>
      <w:r>
        <w:rPr>
          <w:sz w:val="24"/>
          <w:szCs w:val="24"/>
        </w:rPr>
        <w:t xml:space="preserve">”, em articulação com a literatura acadêmica que fundamenta as categorias analíticas mobilizadas nesta reflexão. Nessa direção, privilegia-se a hermenêutica crítica como método, ao buscar ir além de uma leitura descritiva, promovendo um diálogo entre literatura, teoria social e crítica política. Assim, este trabalho insere-se no campo das análises que reconhecem a literatura como uma fonte potente para a compreensão das dinâmicas sociais e das múltiplas formas de violência que incidem sobre grupos historicamente silenciados e </w:t>
      </w:r>
      <w:proofErr w:type="spellStart"/>
      <w:r>
        <w:rPr>
          <w:sz w:val="24"/>
          <w:szCs w:val="24"/>
        </w:rPr>
        <w:t>invisibilizados</w:t>
      </w:r>
      <w:proofErr w:type="spellEnd"/>
      <w:r>
        <w:rPr>
          <w:sz w:val="24"/>
          <w:szCs w:val="24"/>
        </w:rPr>
        <w:t xml:space="preserve"> pelas narrativas hegemônicas.</w:t>
      </w:r>
    </w:p>
    <w:p w:rsidR="001D72E7" w:rsidRDefault="001D72E7">
      <w:pPr>
        <w:spacing w:line="360" w:lineRule="auto"/>
        <w:ind w:firstLine="709"/>
        <w:jc w:val="both"/>
        <w:rPr>
          <w:sz w:val="24"/>
          <w:szCs w:val="24"/>
        </w:rPr>
      </w:pPr>
    </w:p>
    <w:p w:rsidR="001D72E7" w:rsidRDefault="001D72E7">
      <w:pPr>
        <w:spacing w:line="360" w:lineRule="auto"/>
        <w:ind w:firstLine="709"/>
        <w:jc w:val="both"/>
        <w:rPr>
          <w:sz w:val="24"/>
          <w:szCs w:val="24"/>
        </w:rPr>
      </w:pPr>
    </w:p>
    <w:p w:rsidR="001D72E7" w:rsidRDefault="00FB54CF">
      <w:pPr>
        <w:spacing w:before="200" w:after="200" w:line="360" w:lineRule="auto"/>
        <w:jc w:val="both"/>
        <w:rPr>
          <w:b/>
          <w:sz w:val="24"/>
          <w:szCs w:val="24"/>
        </w:rPr>
      </w:pPr>
      <w:r>
        <w:rPr>
          <w:b/>
          <w:sz w:val="24"/>
          <w:szCs w:val="24"/>
        </w:rPr>
        <w:t>2.   ANÁLISE INTERSECCIONAL DO CONTO "ANA DAVENGA": RACISMO ESTRUTURAL E NECROPOLÍTICA</w:t>
      </w:r>
    </w:p>
    <w:p w:rsidR="001D72E7" w:rsidRDefault="00FB54CF">
      <w:pPr>
        <w:spacing w:line="360" w:lineRule="auto"/>
        <w:ind w:firstLine="709"/>
        <w:jc w:val="both"/>
        <w:rPr>
          <w:sz w:val="24"/>
          <w:szCs w:val="24"/>
        </w:rPr>
      </w:pPr>
      <w:r>
        <w:rPr>
          <w:sz w:val="24"/>
          <w:szCs w:val="24"/>
        </w:rPr>
        <w:t xml:space="preserve">A obra Olhos D’Água, de Conceição Evaristo (2018), é uma coletânea de quinze contos que retrata com sensibilidade a vida de pessoas pobres e marginalizadas em favelas e nas ruas, marcadas pela violência urbana. O conto “Ana </w:t>
      </w:r>
      <w:proofErr w:type="spellStart"/>
      <w:r>
        <w:rPr>
          <w:sz w:val="24"/>
          <w:szCs w:val="24"/>
        </w:rPr>
        <w:t>Davenga</w:t>
      </w:r>
      <w:proofErr w:type="spellEnd"/>
      <w:r>
        <w:rPr>
          <w:sz w:val="24"/>
          <w:szCs w:val="24"/>
        </w:rPr>
        <w:t xml:space="preserve">” destaca-se por narrar a história de amor entre Ana e </w:t>
      </w:r>
      <w:proofErr w:type="spellStart"/>
      <w:r>
        <w:rPr>
          <w:sz w:val="24"/>
          <w:szCs w:val="24"/>
        </w:rPr>
        <w:t>Davenga</w:t>
      </w:r>
      <w:proofErr w:type="spellEnd"/>
      <w:r>
        <w:rPr>
          <w:sz w:val="24"/>
          <w:szCs w:val="24"/>
        </w:rPr>
        <w:t xml:space="preserve">, que se </w:t>
      </w:r>
      <w:r>
        <w:rPr>
          <w:sz w:val="24"/>
          <w:szCs w:val="24"/>
        </w:rPr>
        <w:lastRenderedPageBreak/>
        <w:t xml:space="preserve">conhecem em um samba. </w:t>
      </w:r>
      <w:proofErr w:type="spellStart"/>
      <w:r>
        <w:rPr>
          <w:sz w:val="24"/>
          <w:szCs w:val="24"/>
        </w:rPr>
        <w:t>Davenga</w:t>
      </w:r>
      <w:proofErr w:type="spellEnd"/>
      <w:r>
        <w:rPr>
          <w:sz w:val="24"/>
          <w:szCs w:val="24"/>
        </w:rPr>
        <w:t>, fascinado pelos movimentos de Ana, esquece-se momentaneamente das suas preocupações e a constante vigilância policial, desejando apenas celebrar com amigos o dinheiro obtido em um assalto. Após convidar Ana para uma cerveja, eles tornam-se inseparáveis.</w:t>
      </w:r>
    </w:p>
    <w:p w:rsidR="001D72E7" w:rsidRDefault="00FB54CF">
      <w:pPr>
        <w:spacing w:line="360" w:lineRule="auto"/>
        <w:ind w:firstLine="709"/>
        <w:jc w:val="both"/>
        <w:rPr>
          <w:sz w:val="24"/>
          <w:szCs w:val="24"/>
        </w:rPr>
      </w:pPr>
      <w:r>
        <w:rPr>
          <w:sz w:val="24"/>
          <w:szCs w:val="24"/>
        </w:rPr>
        <w:t xml:space="preserve">Mesmo consciente dos perigos que cercavam as atividades ilícitas de </w:t>
      </w:r>
      <w:proofErr w:type="spellStart"/>
      <w:r>
        <w:rPr>
          <w:sz w:val="24"/>
          <w:szCs w:val="24"/>
        </w:rPr>
        <w:t>Davenga</w:t>
      </w:r>
      <w:proofErr w:type="spellEnd"/>
      <w:r>
        <w:rPr>
          <w:sz w:val="24"/>
          <w:szCs w:val="24"/>
        </w:rPr>
        <w:t xml:space="preserve">, Ana opta por permanecer ao seu lado, assumindo seu nome e adotando a identidade de "Ana </w:t>
      </w:r>
      <w:proofErr w:type="spellStart"/>
      <w:r>
        <w:rPr>
          <w:sz w:val="24"/>
          <w:szCs w:val="24"/>
        </w:rPr>
        <w:t>Davenga</w:t>
      </w:r>
      <w:proofErr w:type="spellEnd"/>
      <w:r>
        <w:rPr>
          <w:sz w:val="24"/>
          <w:szCs w:val="24"/>
        </w:rPr>
        <w:t xml:space="preserve">". Esse gesto simbólico aponta para uma fusão </w:t>
      </w:r>
      <w:proofErr w:type="spellStart"/>
      <w:r>
        <w:rPr>
          <w:sz w:val="24"/>
          <w:szCs w:val="24"/>
        </w:rPr>
        <w:t>identitária</w:t>
      </w:r>
      <w:proofErr w:type="spellEnd"/>
      <w:r>
        <w:rPr>
          <w:sz w:val="24"/>
          <w:szCs w:val="24"/>
        </w:rPr>
        <w:t xml:space="preserve"> que ultrapassa o afeto e a lealdade, revelando também uma forma de subordinação à trajetória dele. A partir dessa união, </w:t>
      </w:r>
      <w:proofErr w:type="spellStart"/>
      <w:r>
        <w:rPr>
          <w:sz w:val="24"/>
          <w:szCs w:val="24"/>
        </w:rPr>
        <w:t>Davenga</w:t>
      </w:r>
      <w:proofErr w:type="spellEnd"/>
      <w:r>
        <w:rPr>
          <w:sz w:val="24"/>
          <w:szCs w:val="24"/>
        </w:rPr>
        <w:t xml:space="preserve"> resgata memórias de um relacionamento anterior com Maria Agonia, mulher profundamente religiosa e filha de pastor, cuja prática de visitar presídios era motivada por sua fé. O vínculo entre eles, marcado pela clandestinidade e pelo conflito entre espiritualidade e criminalidade, entra em colapso quando </w:t>
      </w:r>
      <w:proofErr w:type="spellStart"/>
      <w:r>
        <w:rPr>
          <w:sz w:val="24"/>
          <w:szCs w:val="24"/>
        </w:rPr>
        <w:t>Davenga</w:t>
      </w:r>
      <w:proofErr w:type="spellEnd"/>
      <w:r>
        <w:rPr>
          <w:sz w:val="24"/>
          <w:szCs w:val="24"/>
        </w:rPr>
        <w:t xml:space="preserve"> exige que Maria abandone sua fé para compartilhar integralmente sua vida. A recusa de Maria, ao reafirmar sua autonomia e fidelidade religiosa, é interpretada por ele como rejeição absoluta, levando-o a reagir com violência letal. Esse episódio evidencia a forma como o controle masculino se impõe sobre os corpos e escolhas das mulheres, sobretudo quando estas não se submetem aos padrões esperados.</w:t>
      </w:r>
    </w:p>
    <w:p w:rsidR="001D72E7" w:rsidRDefault="00FB54CF">
      <w:pPr>
        <w:spacing w:line="360" w:lineRule="auto"/>
        <w:ind w:firstLine="709"/>
        <w:jc w:val="both"/>
        <w:rPr>
          <w:sz w:val="24"/>
          <w:szCs w:val="24"/>
        </w:rPr>
      </w:pPr>
      <w:r>
        <w:rPr>
          <w:sz w:val="24"/>
          <w:szCs w:val="24"/>
        </w:rPr>
        <w:t xml:space="preserve">Em determinado dia, Ana é tomada pela aflição ao notar que todos os amigos de </w:t>
      </w:r>
      <w:proofErr w:type="spellStart"/>
      <w:r>
        <w:rPr>
          <w:sz w:val="24"/>
          <w:szCs w:val="24"/>
        </w:rPr>
        <w:t>Davenga</w:t>
      </w:r>
      <w:proofErr w:type="spellEnd"/>
      <w:r>
        <w:rPr>
          <w:sz w:val="24"/>
          <w:szCs w:val="24"/>
        </w:rPr>
        <w:t xml:space="preserve"> haviam chegado ao barraco, exceto ele. Temendo o pior, angustia-se até que </w:t>
      </w:r>
      <w:proofErr w:type="spellStart"/>
      <w:r>
        <w:rPr>
          <w:sz w:val="24"/>
          <w:szCs w:val="24"/>
        </w:rPr>
        <w:t>Davenga</w:t>
      </w:r>
      <w:proofErr w:type="spellEnd"/>
      <w:r>
        <w:rPr>
          <w:sz w:val="24"/>
          <w:szCs w:val="24"/>
        </w:rPr>
        <w:t xml:space="preserve"> finalmente aparece, não havia sido preso nem morto, apenas preparava uma surpresa de aniversário. O gesto, singelo mas repleto de afeto, a comove profundamente, pois nunca havia recebido demonstração semelhante. No entanto, a alegria dura pouco. Na madrugada, após dispensar os presentes com um alerta para que permanecessem atentos, </w:t>
      </w:r>
      <w:proofErr w:type="spellStart"/>
      <w:r>
        <w:rPr>
          <w:sz w:val="24"/>
          <w:szCs w:val="24"/>
        </w:rPr>
        <w:t>Davenga</w:t>
      </w:r>
      <w:proofErr w:type="spellEnd"/>
      <w:r>
        <w:rPr>
          <w:sz w:val="24"/>
          <w:szCs w:val="24"/>
        </w:rPr>
        <w:t xml:space="preserve"> recolhe-se com Ana. O momento íntimo é abruptamente interrompido pela chegada da polícia. Intimado a vestir-se e ciente da derrota, recusa a prisão e escolhe a morte. Naquela noite, muitos tiros são ouvidos. </w:t>
      </w:r>
      <w:r>
        <w:rPr>
          <w:sz w:val="24"/>
          <w:szCs w:val="24"/>
        </w:rPr>
        <w:lastRenderedPageBreak/>
        <w:t>Ana, por sua vez, morre com a mão sobre o ventre, num gesto que revela a tentativa desesperada de proteger a vida que ali se formava.</w:t>
      </w:r>
    </w:p>
    <w:p w:rsidR="001D72E7" w:rsidRDefault="00FB54CF">
      <w:pPr>
        <w:spacing w:line="360" w:lineRule="auto"/>
        <w:ind w:firstLine="709"/>
        <w:jc w:val="both"/>
        <w:rPr>
          <w:sz w:val="24"/>
          <w:szCs w:val="24"/>
        </w:rPr>
      </w:pPr>
      <w:r>
        <w:rPr>
          <w:sz w:val="24"/>
          <w:szCs w:val="24"/>
        </w:rPr>
        <w:t xml:space="preserve">Para tanto, utilizamos a obra Racismo Estrutural (2019), de Silvio de Almeida, especialmente o capítulo “Raça e Racismo” para analisar o conto. Almeida evidencia que o conceito de raça surgiu a partir do século XVI, ligado inicialmente à classificação entre plantas e animais, e depois entre seres humanos, como resultado direto da expansão mercantilista europeia e da necessidade de justificar a colonização e a escravidão. Assim, a raça não é um elemento natural ou biológico, mas uma construção relacional, histórica e política, que serve a interesses econômicos e políticos específicos, estabelecendo hierarquias e formas de dominação social. </w:t>
      </w:r>
    </w:p>
    <w:p w:rsidR="001D72E7" w:rsidRDefault="00FB54CF">
      <w:pPr>
        <w:spacing w:line="360" w:lineRule="auto"/>
        <w:ind w:firstLine="709"/>
        <w:jc w:val="both"/>
        <w:rPr>
          <w:sz w:val="24"/>
          <w:szCs w:val="24"/>
        </w:rPr>
      </w:pPr>
      <w:r>
        <w:rPr>
          <w:sz w:val="24"/>
          <w:szCs w:val="24"/>
        </w:rPr>
        <w:t>Partindo dessa premissa, o racismo é também um processo histórico e político, e Almeida o classifica em três concepções: individualista, que o reduz a atitudes discriminatórias de indivíduos; institucional, que o manifesta em práticas e políticas discriminatórias dentro das instituições; e estrutural, perspectiva central do autor, que entende o racismo como elemento constitutivo e sistêmico das estruturas sociais, políticas e econômicas, moldando persistentemente todas as relações sociais.</w:t>
      </w:r>
    </w:p>
    <w:p w:rsidR="001D72E7" w:rsidRDefault="00FB54CF">
      <w:pPr>
        <w:spacing w:line="360" w:lineRule="auto"/>
        <w:ind w:firstLine="709"/>
        <w:jc w:val="both"/>
        <w:rPr>
          <w:sz w:val="24"/>
          <w:szCs w:val="24"/>
        </w:rPr>
      </w:pPr>
      <w:r>
        <w:rPr>
          <w:sz w:val="24"/>
          <w:szCs w:val="24"/>
        </w:rPr>
        <w:t xml:space="preserve">Além disso, a trajetória de </w:t>
      </w:r>
      <w:proofErr w:type="spellStart"/>
      <w:r>
        <w:rPr>
          <w:sz w:val="24"/>
          <w:szCs w:val="24"/>
        </w:rPr>
        <w:t>Davenga</w:t>
      </w:r>
      <w:proofErr w:type="spellEnd"/>
      <w:r>
        <w:rPr>
          <w:sz w:val="24"/>
          <w:szCs w:val="24"/>
        </w:rPr>
        <w:t xml:space="preserve">, personagem do conto de Conceição Evaristo, revela uma existência marcada pela marginalização estrutural, resultado direto da ausência de políticas públicas efetivas e da ação do racismo estrutural, que define quem terá acesso a uma vida digna e quem será relegado à exclusão. Nesse viés, sua morte, tratada como inevitável e até desejável pelo aparato policial, expressa de forma contundente a dialética estatal de exercer o poder de decidir quem deve viver e quem deve morrer, lógica analisada por Achille Mbembe, em sua obra intitulada Necropolítica (2016). A narrativa evidencia ainda como essa necropolítica se articula ao imaginário social que naturaliza e celebra a eliminação de corpos negros e periféricos, como o de </w:t>
      </w:r>
      <w:proofErr w:type="spellStart"/>
      <w:r>
        <w:rPr>
          <w:sz w:val="24"/>
          <w:szCs w:val="24"/>
        </w:rPr>
        <w:t>Davenga</w:t>
      </w:r>
      <w:proofErr w:type="spellEnd"/>
      <w:r>
        <w:rPr>
          <w:sz w:val="24"/>
          <w:szCs w:val="24"/>
        </w:rPr>
        <w:t xml:space="preserve">, cuja existência é reduzida à criminalidade e cuja morte é legitimada pela máxima </w:t>
      </w:r>
      <w:proofErr w:type="spellStart"/>
      <w:r>
        <w:rPr>
          <w:sz w:val="24"/>
          <w:szCs w:val="24"/>
        </w:rPr>
        <w:t>punitivista</w:t>
      </w:r>
      <w:proofErr w:type="spellEnd"/>
      <w:r>
        <w:rPr>
          <w:sz w:val="24"/>
          <w:szCs w:val="24"/>
        </w:rPr>
        <w:t xml:space="preserve"> de que “bandido bom é bandido morto”. Dessa forma, o conto se torna um potente instrumento de crítica às violências </w:t>
      </w:r>
      <w:r>
        <w:rPr>
          <w:sz w:val="24"/>
          <w:szCs w:val="24"/>
        </w:rPr>
        <w:lastRenderedPageBreak/>
        <w:t>institucionalizadas e ao racismo estrutural que, como analisa Silvio Almeida, sustentam a política de morte vigente no Brasil.</w:t>
      </w:r>
    </w:p>
    <w:p w:rsidR="001D72E7" w:rsidRDefault="00FB54CF">
      <w:pPr>
        <w:spacing w:line="360" w:lineRule="auto"/>
        <w:ind w:firstLine="709"/>
        <w:jc w:val="both"/>
        <w:rPr>
          <w:sz w:val="24"/>
          <w:szCs w:val="24"/>
        </w:rPr>
      </w:pPr>
      <w:r>
        <w:rPr>
          <w:sz w:val="24"/>
          <w:szCs w:val="24"/>
        </w:rPr>
        <w:t xml:space="preserve">Portanto, a morte de </w:t>
      </w:r>
      <w:proofErr w:type="spellStart"/>
      <w:r>
        <w:rPr>
          <w:sz w:val="24"/>
          <w:szCs w:val="24"/>
        </w:rPr>
        <w:t>Davenga</w:t>
      </w:r>
      <w:proofErr w:type="spellEnd"/>
      <w:r>
        <w:rPr>
          <w:sz w:val="24"/>
          <w:szCs w:val="24"/>
        </w:rPr>
        <w:t xml:space="preserve"> insere-se no contexto da necropolítica, compreendida como uma política de extermínio sistemático de corpos periféricos. Ou seja, essa realidade é agravada por marcadores sociais de desigualdade, expressos em indicadores como menor expectativa de vida, menor acesso </w:t>
      </w:r>
      <w:proofErr w:type="spellStart"/>
      <w:r>
        <w:rPr>
          <w:sz w:val="24"/>
          <w:szCs w:val="24"/>
        </w:rPr>
        <w:t>a</w:t>
      </w:r>
      <w:proofErr w:type="spellEnd"/>
      <w:r>
        <w:rPr>
          <w:sz w:val="24"/>
          <w:szCs w:val="24"/>
        </w:rPr>
        <w:t xml:space="preserve"> educação e saúde de qualidade e maior vulnerabilidade da população negra, conforme aponta o IBGE (2023). Raramente, porém, considera-se a trajetória que conduz a esses destinos: se houve acesso a políticas públicas, se foi vítima de violências como abuso sexual ou trabalho infantil. Tampouco se reconhecem seus afetos mais íntimos, como as lágrimas derramadas “feito menino” nos momentos com Ana, ou o remorso pela morte de Maria Agonia. Nessa lógica, aos olhos da necropolítica, tudo isso é irrelevante: importa apenas que era um criminoso, um corpo descartável. Como afirma Mbembe (2016, p. 135), “a soberania é a capacidade de definir quem importa e quem não importa, quem é ‘descartável’ e quem não é”. Assim, a </w:t>
      </w:r>
      <w:proofErr w:type="spellStart"/>
      <w:r>
        <w:rPr>
          <w:sz w:val="24"/>
          <w:szCs w:val="24"/>
        </w:rPr>
        <w:t>biopolítica</w:t>
      </w:r>
      <w:proofErr w:type="spellEnd"/>
      <w:r>
        <w:rPr>
          <w:sz w:val="24"/>
          <w:szCs w:val="24"/>
        </w:rPr>
        <w:t xml:space="preserve">, enquanto política da vida, converte-se em necropolítica, operando a gestão da morte, sobretudo em regimes democráticos que, mesmo sob aparência de legalidade, perpetuam violências brutais contra sujeitos negros, pobres e periféricos, como Ana e </w:t>
      </w:r>
      <w:proofErr w:type="spellStart"/>
      <w:r>
        <w:rPr>
          <w:sz w:val="24"/>
          <w:szCs w:val="24"/>
        </w:rPr>
        <w:t>Davenga</w:t>
      </w:r>
      <w:proofErr w:type="spellEnd"/>
      <w:r>
        <w:rPr>
          <w:sz w:val="24"/>
          <w:szCs w:val="24"/>
        </w:rPr>
        <w:t>.</w:t>
      </w:r>
    </w:p>
    <w:p w:rsidR="001D72E7" w:rsidRDefault="00FB54CF">
      <w:pPr>
        <w:spacing w:line="360" w:lineRule="auto"/>
        <w:ind w:firstLine="709"/>
        <w:jc w:val="both"/>
        <w:rPr>
          <w:sz w:val="24"/>
          <w:szCs w:val="24"/>
        </w:rPr>
      </w:pPr>
      <w:r>
        <w:rPr>
          <w:sz w:val="24"/>
          <w:szCs w:val="24"/>
        </w:rPr>
        <w:t xml:space="preserve">Paralelamente, a obra de Conceição Evaristo evidencia como a literatura pode refletir a realidade social e atuar como instrumento de denúncia. Ao narrar as trajetórias de Ana e </w:t>
      </w:r>
      <w:proofErr w:type="spellStart"/>
      <w:r>
        <w:rPr>
          <w:sz w:val="24"/>
          <w:szCs w:val="24"/>
        </w:rPr>
        <w:t>Davenga</w:t>
      </w:r>
      <w:proofErr w:type="spellEnd"/>
      <w:r>
        <w:rPr>
          <w:sz w:val="24"/>
          <w:szCs w:val="24"/>
        </w:rPr>
        <w:t xml:space="preserve">, a obra expõe as dinâmicas do racismo estrutural e da necropolítica, revelando a naturalização da violência contra corpos negros e periféricos. Ademais, convoca a reflexão sobre estruturas de poder que sustentam a marginalização e a </w:t>
      </w:r>
      <w:proofErr w:type="spellStart"/>
      <w:r>
        <w:rPr>
          <w:sz w:val="24"/>
          <w:szCs w:val="24"/>
        </w:rPr>
        <w:t>descartabilidade</w:t>
      </w:r>
      <w:proofErr w:type="spellEnd"/>
      <w:r>
        <w:rPr>
          <w:sz w:val="24"/>
          <w:szCs w:val="24"/>
        </w:rPr>
        <w:t xml:space="preserve"> dessas vidas, reforçando a urgência de políticas públicas emancipatórias e do reconhecimento da dignidade para todas e todos.</w:t>
      </w:r>
    </w:p>
    <w:p w:rsidR="001D72E7" w:rsidRDefault="001D72E7">
      <w:pPr>
        <w:spacing w:line="360" w:lineRule="auto"/>
        <w:ind w:firstLine="709"/>
        <w:jc w:val="both"/>
        <w:rPr>
          <w:sz w:val="24"/>
          <w:szCs w:val="24"/>
        </w:rPr>
      </w:pPr>
    </w:p>
    <w:p w:rsidR="001D72E7" w:rsidRDefault="00FB54CF">
      <w:pPr>
        <w:spacing w:after="240" w:line="360" w:lineRule="auto"/>
        <w:jc w:val="both"/>
        <w:rPr>
          <w:sz w:val="24"/>
          <w:szCs w:val="24"/>
        </w:rPr>
      </w:pPr>
      <w:r>
        <w:rPr>
          <w:b/>
          <w:sz w:val="24"/>
          <w:szCs w:val="24"/>
        </w:rPr>
        <w:t>4       RACISMO E SUBALTERNIDADE: A CONDIÇÃO DA MULHER NEGRA NA NARRATIVA DE CONCEIÇÃO EVARISTO</w:t>
      </w:r>
    </w:p>
    <w:p w:rsidR="001D72E7" w:rsidRDefault="00FB54CF">
      <w:pPr>
        <w:spacing w:line="360" w:lineRule="auto"/>
        <w:ind w:firstLine="709"/>
        <w:jc w:val="both"/>
        <w:rPr>
          <w:sz w:val="24"/>
          <w:szCs w:val="24"/>
        </w:rPr>
      </w:pPr>
      <w:r>
        <w:rPr>
          <w:sz w:val="24"/>
          <w:szCs w:val="24"/>
        </w:rPr>
        <w:lastRenderedPageBreak/>
        <w:t xml:space="preserve">No conto “Ana </w:t>
      </w:r>
      <w:proofErr w:type="spellStart"/>
      <w:r>
        <w:rPr>
          <w:sz w:val="24"/>
          <w:szCs w:val="24"/>
        </w:rPr>
        <w:t>Davenga</w:t>
      </w:r>
      <w:proofErr w:type="spellEnd"/>
      <w:r>
        <w:rPr>
          <w:sz w:val="24"/>
          <w:szCs w:val="24"/>
        </w:rPr>
        <w:t xml:space="preserve">”, é fundamental analisar os cenários que moldam a vida de Ana à luz da obra Pensamento feminista negro (2019), de </w:t>
      </w:r>
      <w:proofErr w:type="spellStart"/>
      <w:r>
        <w:rPr>
          <w:sz w:val="24"/>
          <w:szCs w:val="24"/>
        </w:rPr>
        <w:t>Patricia</w:t>
      </w:r>
      <w:proofErr w:type="spellEnd"/>
      <w:r>
        <w:rPr>
          <w:sz w:val="24"/>
          <w:szCs w:val="24"/>
        </w:rPr>
        <w:t xml:space="preserve"> Hill Collins, especialmente na parte dois, tópico quarto. Ademais, a autora discute como os estereótipos e a </w:t>
      </w:r>
      <w:proofErr w:type="spellStart"/>
      <w:r>
        <w:rPr>
          <w:sz w:val="24"/>
          <w:szCs w:val="24"/>
        </w:rPr>
        <w:t>objetificação</w:t>
      </w:r>
      <w:proofErr w:type="spellEnd"/>
      <w:r>
        <w:rPr>
          <w:sz w:val="24"/>
          <w:szCs w:val="24"/>
        </w:rPr>
        <w:t xml:space="preserve"> da mulher negra, construídos a partir da perspectiva do outro, legitimam a opressão interseccional de raça, gênero e classe. Como afirma Collins: “manter imagens das mulheres negras estadunidenses como o Outro justifica ideologicamente a opressão de raça, gênero e classe” (2019, p. 136). Uma das bases dessas construções é a lógica binária, que hierarquiza e subordina a partir das diferenças. Desde a escravização, imagens foram forjadas para justificar a exploração da mulher negra, como a “</w:t>
      </w:r>
      <w:proofErr w:type="spellStart"/>
      <w:r>
        <w:rPr>
          <w:sz w:val="24"/>
          <w:szCs w:val="24"/>
        </w:rPr>
        <w:t>mammy</w:t>
      </w:r>
      <w:proofErr w:type="spellEnd"/>
      <w:r>
        <w:rPr>
          <w:sz w:val="24"/>
          <w:szCs w:val="24"/>
        </w:rPr>
        <w:t>” (serviçal dócil), a “matriarca” (mãe negra má e fracassada), a “mãe dependente do Estado”, a “dama negra” (profissional bem-sucedida, mas solitária) e as “</w:t>
      </w:r>
      <w:proofErr w:type="spellStart"/>
      <w:r>
        <w:rPr>
          <w:sz w:val="24"/>
          <w:szCs w:val="24"/>
        </w:rPr>
        <w:t>hoochies</w:t>
      </w:r>
      <w:proofErr w:type="spellEnd"/>
      <w:r>
        <w:rPr>
          <w:sz w:val="24"/>
          <w:szCs w:val="24"/>
        </w:rPr>
        <w:t xml:space="preserve">” (mulheres </w:t>
      </w:r>
      <w:proofErr w:type="spellStart"/>
      <w:r>
        <w:rPr>
          <w:sz w:val="24"/>
          <w:szCs w:val="24"/>
        </w:rPr>
        <w:t>hipersexualizadas</w:t>
      </w:r>
      <w:proofErr w:type="spellEnd"/>
      <w:r>
        <w:rPr>
          <w:sz w:val="24"/>
          <w:szCs w:val="24"/>
        </w:rPr>
        <w:t xml:space="preserve"> e consumistas). Essas representações seguem influenciando as formas de desumanização e exclusão vividas por mulheres negras, como Ana.</w:t>
      </w:r>
    </w:p>
    <w:p w:rsidR="001D72E7" w:rsidRDefault="00FB54CF">
      <w:pPr>
        <w:spacing w:line="360" w:lineRule="auto"/>
        <w:ind w:firstLine="709"/>
        <w:jc w:val="both"/>
        <w:rPr>
          <w:sz w:val="24"/>
          <w:szCs w:val="24"/>
        </w:rPr>
      </w:pPr>
      <w:r>
        <w:rPr>
          <w:sz w:val="24"/>
          <w:szCs w:val="24"/>
        </w:rPr>
        <w:t xml:space="preserve">A análise do conto “Ana </w:t>
      </w:r>
      <w:proofErr w:type="spellStart"/>
      <w:r>
        <w:rPr>
          <w:sz w:val="24"/>
          <w:szCs w:val="24"/>
        </w:rPr>
        <w:t>Davenga</w:t>
      </w:r>
      <w:proofErr w:type="spellEnd"/>
      <w:r>
        <w:rPr>
          <w:sz w:val="24"/>
          <w:szCs w:val="24"/>
        </w:rPr>
        <w:t xml:space="preserve">” evidencia como estereótipos que historicamente </w:t>
      </w:r>
      <w:proofErr w:type="spellStart"/>
      <w:r>
        <w:rPr>
          <w:sz w:val="24"/>
          <w:szCs w:val="24"/>
        </w:rPr>
        <w:t>sexualizam</w:t>
      </w:r>
      <w:proofErr w:type="spellEnd"/>
      <w:r>
        <w:rPr>
          <w:sz w:val="24"/>
          <w:szCs w:val="24"/>
        </w:rPr>
        <w:t xml:space="preserve"> e </w:t>
      </w:r>
      <w:proofErr w:type="spellStart"/>
      <w:r>
        <w:rPr>
          <w:sz w:val="24"/>
          <w:szCs w:val="24"/>
        </w:rPr>
        <w:t>objetificam</w:t>
      </w:r>
      <w:proofErr w:type="spellEnd"/>
      <w:r>
        <w:rPr>
          <w:sz w:val="24"/>
          <w:szCs w:val="24"/>
        </w:rPr>
        <w:t xml:space="preserve"> mulheres negras, embora originados no contexto estadunidense, como aponta </w:t>
      </w:r>
      <w:proofErr w:type="spellStart"/>
      <w:r>
        <w:rPr>
          <w:sz w:val="24"/>
          <w:szCs w:val="24"/>
        </w:rPr>
        <w:t>Patricia</w:t>
      </w:r>
      <w:proofErr w:type="spellEnd"/>
      <w:r>
        <w:rPr>
          <w:sz w:val="24"/>
          <w:szCs w:val="24"/>
        </w:rPr>
        <w:t xml:space="preserve"> Hill Collins, atravessam também a realidade brasileira, estruturada por racismo e patriarcado. Isso se revela logo no primeiro contato entre </w:t>
      </w:r>
      <w:proofErr w:type="spellStart"/>
      <w:r>
        <w:rPr>
          <w:sz w:val="24"/>
          <w:szCs w:val="24"/>
        </w:rPr>
        <w:t>Davenga</w:t>
      </w:r>
      <w:proofErr w:type="spellEnd"/>
      <w:r>
        <w:rPr>
          <w:sz w:val="24"/>
          <w:szCs w:val="24"/>
        </w:rPr>
        <w:t xml:space="preserve"> e Ana, quando sua atenção recai sobre os movimentos do corpo dela, associando-os a uma bailarina nua, reduzindo-a desde o início a objeto de desejo. Essa representação literária reflete construções sociais que </w:t>
      </w:r>
      <w:proofErr w:type="spellStart"/>
      <w:r>
        <w:rPr>
          <w:sz w:val="24"/>
          <w:szCs w:val="24"/>
        </w:rPr>
        <w:t>erotizam</w:t>
      </w:r>
      <w:proofErr w:type="spellEnd"/>
      <w:r>
        <w:rPr>
          <w:sz w:val="24"/>
          <w:szCs w:val="24"/>
        </w:rPr>
        <w:t xml:space="preserve"> e desumanizam mulheres negras, e encontra respaldo em dados do IBGE (2023), que apontam para sua maior vulnerabilidade: menores salários, altas taxas de informalidade e maior exposição à violência. O Instituto </w:t>
      </w:r>
      <w:proofErr w:type="spellStart"/>
      <w:r>
        <w:rPr>
          <w:sz w:val="24"/>
          <w:szCs w:val="24"/>
        </w:rPr>
        <w:t>Criola</w:t>
      </w:r>
      <w:proofErr w:type="spellEnd"/>
      <w:r>
        <w:rPr>
          <w:sz w:val="24"/>
          <w:szCs w:val="24"/>
        </w:rPr>
        <w:t xml:space="preserve">, por sua vez, registra um aumento de 118% nos </w:t>
      </w:r>
      <w:proofErr w:type="spellStart"/>
      <w:r>
        <w:rPr>
          <w:sz w:val="24"/>
          <w:szCs w:val="24"/>
        </w:rPr>
        <w:t>feminicídios</w:t>
      </w:r>
      <w:proofErr w:type="spellEnd"/>
      <w:r>
        <w:rPr>
          <w:sz w:val="24"/>
          <w:szCs w:val="24"/>
        </w:rPr>
        <w:t xml:space="preserve"> de mulheres negras entre 2018 e 2022, o que reforça a urgência de enfrentar esses estigmas e de implementar políticas públicas efetivas que assegurem a proteção e valorização dessas vidas.</w:t>
      </w:r>
    </w:p>
    <w:p w:rsidR="001D72E7" w:rsidRDefault="00FB54CF">
      <w:pPr>
        <w:spacing w:line="360" w:lineRule="auto"/>
        <w:ind w:firstLine="709"/>
        <w:jc w:val="both"/>
        <w:rPr>
          <w:sz w:val="24"/>
          <w:szCs w:val="24"/>
        </w:rPr>
      </w:pPr>
      <w:r>
        <w:rPr>
          <w:sz w:val="24"/>
          <w:szCs w:val="24"/>
        </w:rPr>
        <w:lastRenderedPageBreak/>
        <w:t xml:space="preserve">A vivência de Ana na casa de </w:t>
      </w:r>
      <w:proofErr w:type="spellStart"/>
      <w:r>
        <w:rPr>
          <w:sz w:val="24"/>
          <w:szCs w:val="24"/>
        </w:rPr>
        <w:t>Davenga</w:t>
      </w:r>
      <w:proofErr w:type="spellEnd"/>
      <w:r>
        <w:rPr>
          <w:sz w:val="24"/>
          <w:szCs w:val="24"/>
        </w:rPr>
        <w:t xml:space="preserve"> revela sua completa submissão, sendo privada do direito de opinar e obrigada a aceitar silenciosamente os "negócios" do companheiro. Mesmo rejeitada pelos colegas dele, ela se força a agradá-los, sem poder contrariá-los. Nas relações íntimas, assume o papel de consolo, mesmo desconfortável, sentindo-se culpada pelo sofrimento alheio. Essa trajetória evidencia como a </w:t>
      </w:r>
      <w:proofErr w:type="spellStart"/>
      <w:r>
        <w:rPr>
          <w:sz w:val="24"/>
          <w:szCs w:val="24"/>
        </w:rPr>
        <w:t>objetificação</w:t>
      </w:r>
      <w:proofErr w:type="spellEnd"/>
      <w:r>
        <w:rPr>
          <w:sz w:val="24"/>
          <w:szCs w:val="24"/>
        </w:rPr>
        <w:t xml:space="preserve"> da mulher negra vai além da estética e da sexualidade, alcançando também o campo afetivo, limitando sua autonomia e expressão.</w:t>
      </w:r>
    </w:p>
    <w:p w:rsidR="001D72E7" w:rsidRDefault="00FB54CF">
      <w:pPr>
        <w:spacing w:line="360" w:lineRule="auto"/>
        <w:ind w:firstLine="709"/>
        <w:jc w:val="both"/>
        <w:rPr>
          <w:sz w:val="24"/>
          <w:szCs w:val="24"/>
        </w:rPr>
      </w:pPr>
      <w:r>
        <w:rPr>
          <w:sz w:val="24"/>
          <w:szCs w:val="24"/>
        </w:rPr>
        <w:t xml:space="preserve">Ao deslocarmos o olhar à obra Memórias da Plantação (2019), especialmente ao capítulo “Racismo </w:t>
      </w:r>
      <w:proofErr w:type="spellStart"/>
      <w:r>
        <w:rPr>
          <w:sz w:val="24"/>
          <w:szCs w:val="24"/>
        </w:rPr>
        <w:t>Genderizado</w:t>
      </w:r>
      <w:proofErr w:type="spellEnd"/>
      <w:r>
        <w:rPr>
          <w:sz w:val="24"/>
          <w:szCs w:val="24"/>
        </w:rPr>
        <w:t xml:space="preserve">”, Grada </w:t>
      </w:r>
      <w:proofErr w:type="spellStart"/>
      <w:r>
        <w:rPr>
          <w:sz w:val="24"/>
          <w:szCs w:val="24"/>
        </w:rPr>
        <w:t>Kilomba</w:t>
      </w:r>
      <w:proofErr w:type="spellEnd"/>
      <w:r>
        <w:rPr>
          <w:sz w:val="24"/>
          <w:szCs w:val="24"/>
        </w:rPr>
        <w:t xml:space="preserve"> nos provoca a compreender como o racismo se articula ao gênero, constituindo o que denomina “racismo </w:t>
      </w:r>
      <w:proofErr w:type="spellStart"/>
      <w:r>
        <w:rPr>
          <w:sz w:val="24"/>
          <w:szCs w:val="24"/>
        </w:rPr>
        <w:t>genderizado</w:t>
      </w:r>
      <w:proofErr w:type="spellEnd"/>
      <w:r>
        <w:rPr>
          <w:sz w:val="24"/>
          <w:szCs w:val="24"/>
        </w:rPr>
        <w:t xml:space="preserve">”. Segundo a autora, mulheres negras vivenciam o racismo de forma distinta dos homens negros, sendo simultaneamente alvo de </w:t>
      </w:r>
      <w:proofErr w:type="spellStart"/>
      <w:r>
        <w:rPr>
          <w:sz w:val="24"/>
          <w:szCs w:val="24"/>
        </w:rPr>
        <w:t>objetificação</w:t>
      </w:r>
      <w:proofErr w:type="spellEnd"/>
      <w:r>
        <w:rPr>
          <w:sz w:val="24"/>
          <w:szCs w:val="24"/>
        </w:rPr>
        <w:t xml:space="preserve"> sexual e subordinação econômica e política. </w:t>
      </w:r>
      <w:proofErr w:type="spellStart"/>
      <w:r>
        <w:rPr>
          <w:sz w:val="24"/>
          <w:szCs w:val="24"/>
        </w:rPr>
        <w:t>Kilomba</w:t>
      </w:r>
      <w:proofErr w:type="spellEnd"/>
      <w:r>
        <w:rPr>
          <w:sz w:val="24"/>
          <w:szCs w:val="24"/>
        </w:rPr>
        <w:t xml:space="preserve"> afirma que o racismo vai além da cor da pele, entrelaçando-se profundamente com o gênero e a sexualidade. Sob essa perspectiva, ela desconstrói a noção de “</w:t>
      </w:r>
      <w:proofErr w:type="spellStart"/>
      <w:r>
        <w:rPr>
          <w:sz w:val="24"/>
          <w:szCs w:val="24"/>
        </w:rPr>
        <w:t>sororidade</w:t>
      </w:r>
      <w:proofErr w:type="spellEnd"/>
      <w:r>
        <w:rPr>
          <w:sz w:val="24"/>
          <w:szCs w:val="24"/>
        </w:rPr>
        <w:t xml:space="preserve"> universal”, ao evidenciar que a aliança entre mulheres sempre foi marcada por divisões raciais. Enquanto mulheres brancas foram historicamente associadas ao afeto e ao respeito, às mulheres negras foram construídas como corpos disponíveis, atrelados à </w:t>
      </w:r>
      <w:proofErr w:type="spellStart"/>
      <w:r>
        <w:rPr>
          <w:sz w:val="24"/>
          <w:szCs w:val="24"/>
        </w:rPr>
        <w:t>sexualização</w:t>
      </w:r>
      <w:proofErr w:type="spellEnd"/>
      <w:r>
        <w:rPr>
          <w:sz w:val="24"/>
          <w:szCs w:val="24"/>
        </w:rPr>
        <w:t>, reprodução e trabalho.</w:t>
      </w:r>
    </w:p>
    <w:p w:rsidR="001D72E7" w:rsidRDefault="00FB54CF">
      <w:pPr>
        <w:spacing w:line="360" w:lineRule="auto"/>
        <w:ind w:firstLine="709"/>
        <w:jc w:val="both"/>
        <w:rPr>
          <w:sz w:val="24"/>
          <w:szCs w:val="24"/>
        </w:rPr>
      </w:pPr>
      <w:r>
        <w:rPr>
          <w:sz w:val="24"/>
          <w:szCs w:val="24"/>
        </w:rPr>
        <w:t xml:space="preserve">Em continuidade, o racismo, nesse sentido, não se opõe ao sexismo, mas se articula com ele, formando uma malha opressiva que define o lugar social da mulher negra como inferior, subordinado e violável. Esses elementos teóricos nos ajudam a aprofundar a leitura sobre Ana, a protagonista do conto de Conceição Evaristo. Ana não é apenas a “mulher do bandido”, mas a expressão viva desse racismo </w:t>
      </w:r>
      <w:proofErr w:type="spellStart"/>
      <w:r>
        <w:rPr>
          <w:sz w:val="24"/>
          <w:szCs w:val="24"/>
        </w:rPr>
        <w:t>genderizado</w:t>
      </w:r>
      <w:proofErr w:type="spellEnd"/>
      <w:r>
        <w:rPr>
          <w:sz w:val="24"/>
          <w:szCs w:val="24"/>
        </w:rPr>
        <w:t xml:space="preserve">, em outras palavras, é </w:t>
      </w:r>
      <w:proofErr w:type="spellStart"/>
      <w:r>
        <w:rPr>
          <w:sz w:val="24"/>
          <w:szCs w:val="24"/>
        </w:rPr>
        <w:t>objetificada</w:t>
      </w:r>
      <w:proofErr w:type="spellEnd"/>
      <w:r>
        <w:rPr>
          <w:sz w:val="24"/>
          <w:szCs w:val="24"/>
        </w:rPr>
        <w:t xml:space="preserve"> desde o primeiro olhar de </w:t>
      </w:r>
      <w:proofErr w:type="spellStart"/>
      <w:r>
        <w:rPr>
          <w:sz w:val="24"/>
          <w:szCs w:val="24"/>
        </w:rPr>
        <w:t>Davenga</w:t>
      </w:r>
      <w:proofErr w:type="spellEnd"/>
      <w:r>
        <w:rPr>
          <w:sz w:val="24"/>
          <w:szCs w:val="24"/>
        </w:rPr>
        <w:t xml:space="preserve">, que se fixa em seus movimentos corporais, em sua bunda, numa clara remissão à </w:t>
      </w:r>
      <w:proofErr w:type="spellStart"/>
      <w:r>
        <w:rPr>
          <w:sz w:val="24"/>
          <w:szCs w:val="24"/>
        </w:rPr>
        <w:t>hipersexualização</w:t>
      </w:r>
      <w:proofErr w:type="spellEnd"/>
      <w:r>
        <w:rPr>
          <w:sz w:val="24"/>
          <w:szCs w:val="24"/>
        </w:rPr>
        <w:t xml:space="preserve"> do corpo negro feminino, como denunciado por </w:t>
      </w:r>
      <w:proofErr w:type="spellStart"/>
      <w:r>
        <w:rPr>
          <w:sz w:val="24"/>
          <w:szCs w:val="24"/>
        </w:rPr>
        <w:t>Kilomba</w:t>
      </w:r>
      <w:proofErr w:type="spellEnd"/>
      <w:r>
        <w:rPr>
          <w:sz w:val="24"/>
          <w:szCs w:val="24"/>
        </w:rPr>
        <w:t xml:space="preserve">. Ao mesmo </w:t>
      </w:r>
      <w:r>
        <w:rPr>
          <w:sz w:val="24"/>
          <w:szCs w:val="24"/>
        </w:rPr>
        <w:lastRenderedPageBreak/>
        <w:t>tempo, é forçada a se calar, a não interferir nos "negócios" do companheiro, sendo tolerada apenas como corpo e não como sujeito.</w:t>
      </w:r>
    </w:p>
    <w:p w:rsidR="001D72E7" w:rsidRDefault="00FB54CF">
      <w:pPr>
        <w:spacing w:line="360" w:lineRule="auto"/>
        <w:ind w:firstLine="709"/>
        <w:jc w:val="both"/>
        <w:rPr>
          <w:sz w:val="24"/>
          <w:szCs w:val="24"/>
        </w:rPr>
      </w:pPr>
      <w:r>
        <w:rPr>
          <w:sz w:val="24"/>
          <w:szCs w:val="24"/>
        </w:rPr>
        <w:t xml:space="preserve">Ademais, Ana, mulher negra, pobre e favelada, tem sua existência atravessada por opressões interseccionais cuja morte sintetiza a histórica indiferença da sociedade brasileira diante de corpos como o seu. Sua submissão aos comandos de </w:t>
      </w:r>
      <w:proofErr w:type="spellStart"/>
      <w:r>
        <w:rPr>
          <w:sz w:val="24"/>
          <w:szCs w:val="24"/>
        </w:rPr>
        <w:t>Davenga</w:t>
      </w:r>
      <w:proofErr w:type="spellEnd"/>
      <w:r>
        <w:rPr>
          <w:sz w:val="24"/>
          <w:szCs w:val="24"/>
        </w:rPr>
        <w:t xml:space="preserve"> e do grupo expressa uma violência simbólica e material que, mesmo diante de sua resistência silenciosa para proteger o filho durante a execução policial, é apagada pela violência do Estado. Conforme </w:t>
      </w:r>
      <w:proofErr w:type="spellStart"/>
      <w:r>
        <w:rPr>
          <w:sz w:val="24"/>
          <w:szCs w:val="24"/>
        </w:rPr>
        <w:t>Kilomba</w:t>
      </w:r>
      <w:proofErr w:type="spellEnd"/>
      <w:r>
        <w:rPr>
          <w:sz w:val="24"/>
          <w:szCs w:val="24"/>
        </w:rPr>
        <w:t>, o corpo negro feminino não é reconhecido como digno de luto, mas descartado, integrando a necropolítica das periferias, que opera na exclusão social e no extermínio seletivo. Dados do Atlas da Violência do IPEA (2025), confirmam essa vulnerabilidade, em 2023, 68,2% dos homicídios femininos no Brasil foram de mulheres negras (2.662 de 3.903 casos), vítimas de um sistema que conjuga racismo estrutural e patriarcado. Esses números não apenas revelam essa violência histórica, mas também reforçam a urgência de uma análise interseccional que compreenda a trajetória de Ana para além de categorias isoladas de opressão, desafiando a naturalização e a normalização dessa realidade perversa e convidando à reflexão e resistência.</w:t>
      </w:r>
    </w:p>
    <w:p w:rsidR="001D72E7" w:rsidRDefault="00FB54CF">
      <w:pPr>
        <w:spacing w:line="360" w:lineRule="auto"/>
        <w:ind w:firstLine="709"/>
        <w:jc w:val="both"/>
        <w:rPr>
          <w:sz w:val="24"/>
          <w:szCs w:val="24"/>
        </w:rPr>
      </w:pPr>
      <w:r>
        <w:rPr>
          <w:sz w:val="24"/>
          <w:szCs w:val="24"/>
        </w:rPr>
        <w:t xml:space="preserve">No quarto capítulo de O Neoliberalismo: História e Implicações (2008), David Harvey apresenta o conceito de “acumulação por espoliação” para explicar formas contemporâneas de exclusão. O autor aponta que, além da exploração do trabalho, o capitalismo se expande por meio da expropriação de bens comuns, direitos e recursos naturais, manifestando-se através da privatização, </w:t>
      </w:r>
      <w:proofErr w:type="spellStart"/>
      <w:r>
        <w:rPr>
          <w:sz w:val="24"/>
          <w:szCs w:val="24"/>
        </w:rPr>
        <w:t>financeirização</w:t>
      </w:r>
      <w:proofErr w:type="spellEnd"/>
      <w:r>
        <w:rPr>
          <w:sz w:val="24"/>
          <w:szCs w:val="24"/>
        </w:rPr>
        <w:t xml:space="preserve">, manipulação de crises e redistribuição regressiva. As cidades tornam-se palco dessa lógica, com o urbanismo neoliberal promovendo a </w:t>
      </w:r>
      <w:proofErr w:type="spellStart"/>
      <w:r>
        <w:rPr>
          <w:sz w:val="24"/>
          <w:szCs w:val="24"/>
        </w:rPr>
        <w:t>gentrificação</w:t>
      </w:r>
      <w:proofErr w:type="spellEnd"/>
      <w:r>
        <w:rPr>
          <w:sz w:val="24"/>
          <w:szCs w:val="24"/>
        </w:rPr>
        <w:t xml:space="preserve"> e a expulsão das populações pobres para periferias marcadas pela precariedade e repressão.</w:t>
      </w:r>
    </w:p>
    <w:p w:rsidR="001D72E7" w:rsidRDefault="00FB54CF">
      <w:pPr>
        <w:spacing w:line="360" w:lineRule="auto"/>
        <w:ind w:firstLine="709"/>
        <w:jc w:val="both"/>
        <w:rPr>
          <w:sz w:val="24"/>
          <w:szCs w:val="24"/>
        </w:rPr>
      </w:pPr>
      <w:r>
        <w:rPr>
          <w:sz w:val="24"/>
          <w:szCs w:val="24"/>
        </w:rPr>
        <w:t xml:space="preserve">A partir dessa perspectiva, o conto “Ana </w:t>
      </w:r>
      <w:proofErr w:type="spellStart"/>
      <w:r>
        <w:rPr>
          <w:sz w:val="24"/>
          <w:szCs w:val="24"/>
        </w:rPr>
        <w:t>Davenga</w:t>
      </w:r>
      <w:proofErr w:type="spellEnd"/>
      <w:r>
        <w:rPr>
          <w:sz w:val="24"/>
          <w:szCs w:val="24"/>
        </w:rPr>
        <w:t xml:space="preserve">”, de Conceição Evaristo, evidencia a tessitura estrutural da exclusão vivida pelo casal. Isto é, o barraco em que moram não é apenas um cenário, mas a expressão concreta das políticas de </w:t>
      </w:r>
      <w:r>
        <w:rPr>
          <w:sz w:val="24"/>
          <w:szCs w:val="24"/>
        </w:rPr>
        <w:lastRenderedPageBreak/>
        <w:t xml:space="preserve">segregação urbana que afastam sujeitos </w:t>
      </w:r>
      <w:proofErr w:type="spellStart"/>
      <w:r>
        <w:rPr>
          <w:sz w:val="24"/>
          <w:szCs w:val="24"/>
        </w:rPr>
        <w:t>racializados</w:t>
      </w:r>
      <w:proofErr w:type="spellEnd"/>
      <w:r>
        <w:rPr>
          <w:sz w:val="24"/>
          <w:szCs w:val="24"/>
        </w:rPr>
        <w:t xml:space="preserve"> e empobrecidos dos direitos urbanos. Situado na favela, esse espaço simboliza a exclusão e a expropriação denunciadas por Harvey. Nesse sentido, as condições de vida impostas a Ana e </w:t>
      </w:r>
      <w:proofErr w:type="spellStart"/>
      <w:r>
        <w:rPr>
          <w:sz w:val="24"/>
          <w:szCs w:val="24"/>
        </w:rPr>
        <w:t>Davenga</w:t>
      </w:r>
      <w:proofErr w:type="spellEnd"/>
      <w:r>
        <w:rPr>
          <w:sz w:val="24"/>
          <w:szCs w:val="24"/>
        </w:rPr>
        <w:t xml:space="preserve"> não revelam escolhas individuais, mas sim os efeitos das políticas urbanas excludentes que organizam a cidade de forma desigual, negando aos pobres o direito à cidade, entendido como acesso pleno à moradia, transporte, educação, saúde, cultura e segurança.</w:t>
      </w:r>
    </w:p>
    <w:p w:rsidR="001D72E7" w:rsidRDefault="00FB54CF">
      <w:pPr>
        <w:spacing w:line="360" w:lineRule="auto"/>
        <w:ind w:firstLine="709"/>
        <w:jc w:val="both"/>
        <w:rPr>
          <w:sz w:val="24"/>
          <w:szCs w:val="24"/>
        </w:rPr>
      </w:pPr>
      <w:r>
        <w:rPr>
          <w:sz w:val="24"/>
          <w:szCs w:val="24"/>
        </w:rPr>
        <w:t xml:space="preserve">A partir da análise do conto “Ana </w:t>
      </w:r>
      <w:proofErr w:type="spellStart"/>
      <w:r>
        <w:rPr>
          <w:sz w:val="24"/>
          <w:szCs w:val="24"/>
        </w:rPr>
        <w:t>Davenga</w:t>
      </w:r>
      <w:proofErr w:type="spellEnd"/>
      <w:r>
        <w:rPr>
          <w:sz w:val="24"/>
          <w:szCs w:val="24"/>
        </w:rPr>
        <w:t xml:space="preserve">” sob a perspectiva de autoras(es) como </w:t>
      </w:r>
      <w:proofErr w:type="spellStart"/>
      <w:r>
        <w:rPr>
          <w:sz w:val="24"/>
          <w:szCs w:val="24"/>
        </w:rPr>
        <w:t>Patricia</w:t>
      </w:r>
      <w:proofErr w:type="spellEnd"/>
      <w:r>
        <w:rPr>
          <w:sz w:val="24"/>
          <w:szCs w:val="24"/>
        </w:rPr>
        <w:t xml:space="preserve"> Hill Collins, Grada </w:t>
      </w:r>
      <w:proofErr w:type="spellStart"/>
      <w:r>
        <w:rPr>
          <w:sz w:val="24"/>
          <w:szCs w:val="24"/>
        </w:rPr>
        <w:t>Kilomba</w:t>
      </w:r>
      <w:proofErr w:type="spellEnd"/>
      <w:r>
        <w:rPr>
          <w:sz w:val="24"/>
          <w:szCs w:val="24"/>
        </w:rPr>
        <w:t xml:space="preserve"> e David Harvey, evidenciam-se as múltiplas opressões que afetam corpos negros, femininos e periféricos no Brasil. A obra de Conceição Evaristo denuncia a </w:t>
      </w:r>
      <w:proofErr w:type="spellStart"/>
      <w:r>
        <w:rPr>
          <w:sz w:val="24"/>
          <w:szCs w:val="24"/>
        </w:rPr>
        <w:t>objetificação</w:t>
      </w:r>
      <w:proofErr w:type="spellEnd"/>
      <w:r>
        <w:rPr>
          <w:sz w:val="24"/>
          <w:szCs w:val="24"/>
        </w:rPr>
        <w:t xml:space="preserve"> da mulher negra e a necropolítica que a atinge, articulando racismo, sexismo e espoliação urbana. Ou seja, mais que ficção, o conto se configura como uma denúncia potente das desigualdades históricas, convocando à reflexão e à desconstrução das estruturas que as sustentam.</w:t>
      </w:r>
    </w:p>
    <w:p w:rsidR="001D72E7" w:rsidRDefault="001D72E7">
      <w:pPr>
        <w:spacing w:line="360" w:lineRule="auto"/>
        <w:jc w:val="both"/>
        <w:rPr>
          <w:sz w:val="24"/>
          <w:szCs w:val="24"/>
        </w:rPr>
      </w:pPr>
    </w:p>
    <w:p w:rsidR="001D72E7" w:rsidRDefault="00FB54CF">
      <w:pPr>
        <w:spacing w:after="240" w:line="360" w:lineRule="auto"/>
        <w:jc w:val="both"/>
        <w:rPr>
          <w:sz w:val="24"/>
          <w:szCs w:val="24"/>
        </w:rPr>
      </w:pPr>
      <w:r>
        <w:rPr>
          <w:b/>
          <w:sz w:val="24"/>
          <w:szCs w:val="24"/>
        </w:rPr>
        <w:t>5</w:t>
      </w:r>
      <w:r>
        <w:rPr>
          <w:b/>
          <w:sz w:val="24"/>
          <w:szCs w:val="24"/>
        </w:rPr>
        <w:tab/>
        <w:t>CONCLUSÃO</w:t>
      </w:r>
    </w:p>
    <w:p w:rsidR="001D72E7" w:rsidRDefault="00FB54CF">
      <w:pPr>
        <w:spacing w:line="360" w:lineRule="auto"/>
        <w:ind w:firstLine="709"/>
        <w:jc w:val="both"/>
        <w:rPr>
          <w:sz w:val="24"/>
          <w:szCs w:val="24"/>
        </w:rPr>
      </w:pPr>
      <w:r>
        <w:rPr>
          <w:sz w:val="24"/>
          <w:szCs w:val="24"/>
        </w:rPr>
        <w:t xml:space="preserve">Diante da análise empreendida, constata-se que o conto “Ana </w:t>
      </w:r>
      <w:proofErr w:type="spellStart"/>
      <w:r>
        <w:rPr>
          <w:sz w:val="24"/>
          <w:szCs w:val="24"/>
        </w:rPr>
        <w:t>Davenga</w:t>
      </w:r>
      <w:proofErr w:type="spellEnd"/>
      <w:r>
        <w:rPr>
          <w:sz w:val="24"/>
          <w:szCs w:val="24"/>
        </w:rPr>
        <w:t xml:space="preserve">”, de Conceição Evaristo, revela uma representação potente das violências estruturais que incidem sobre corpos negros, periféricos e femininos no Brasil. As trajetórias de Ana e </w:t>
      </w:r>
      <w:proofErr w:type="spellStart"/>
      <w:r>
        <w:rPr>
          <w:sz w:val="24"/>
          <w:szCs w:val="24"/>
        </w:rPr>
        <w:t>Davenga</w:t>
      </w:r>
      <w:proofErr w:type="spellEnd"/>
      <w:r>
        <w:rPr>
          <w:sz w:val="24"/>
          <w:szCs w:val="24"/>
        </w:rPr>
        <w:t xml:space="preserve"> não são desvios individuais, mas expressões cotidianas de múltiplas opressões articuladas pelo racismo estrutural, necropolítica, expropriação urbana e </w:t>
      </w:r>
      <w:proofErr w:type="spellStart"/>
      <w:r>
        <w:rPr>
          <w:sz w:val="24"/>
          <w:szCs w:val="24"/>
        </w:rPr>
        <w:t>objetificação</w:t>
      </w:r>
      <w:proofErr w:type="spellEnd"/>
      <w:r>
        <w:rPr>
          <w:sz w:val="24"/>
          <w:szCs w:val="24"/>
        </w:rPr>
        <w:t xml:space="preserve"> da mulher negra. A articulação teórico-crítica com autores como Silvio de Almeida, </w:t>
      </w:r>
      <w:proofErr w:type="spellStart"/>
      <w:r>
        <w:rPr>
          <w:sz w:val="24"/>
          <w:szCs w:val="24"/>
        </w:rPr>
        <w:t>Achille</w:t>
      </w:r>
      <w:proofErr w:type="spellEnd"/>
      <w:r>
        <w:rPr>
          <w:sz w:val="24"/>
          <w:szCs w:val="24"/>
        </w:rPr>
        <w:t xml:space="preserve"> </w:t>
      </w:r>
      <w:proofErr w:type="spellStart"/>
      <w:r>
        <w:rPr>
          <w:sz w:val="24"/>
          <w:szCs w:val="24"/>
        </w:rPr>
        <w:t>Mbembe</w:t>
      </w:r>
      <w:proofErr w:type="spellEnd"/>
      <w:r>
        <w:rPr>
          <w:sz w:val="24"/>
          <w:szCs w:val="24"/>
        </w:rPr>
        <w:t xml:space="preserve">, </w:t>
      </w:r>
      <w:proofErr w:type="spellStart"/>
      <w:r>
        <w:rPr>
          <w:sz w:val="24"/>
          <w:szCs w:val="24"/>
        </w:rPr>
        <w:t>Patricia</w:t>
      </w:r>
      <w:proofErr w:type="spellEnd"/>
      <w:r>
        <w:rPr>
          <w:sz w:val="24"/>
          <w:szCs w:val="24"/>
        </w:rPr>
        <w:t xml:space="preserve"> Hill Collins, Grada </w:t>
      </w:r>
      <w:proofErr w:type="spellStart"/>
      <w:r>
        <w:rPr>
          <w:sz w:val="24"/>
          <w:szCs w:val="24"/>
        </w:rPr>
        <w:t>Kilomba</w:t>
      </w:r>
      <w:proofErr w:type="spellEnd"/>
      <w:r>
        <w:rPr>
          <w:sz w:val="24"/>
          <w:szCs w:val="24"/>
        </w:rPr>
        <w:t xml:space="preserve"> e David Harvey evidenciou como essas violências se interligam, conformando processos sistemáticos de marginalização, criminalização e extermínio de sujeitos subalternizados nas sociedades capitalistas contemporâneas.</w:t>
      </w:r>
    </w:p>
    <w:p w:rsidR="001D72E7" w:rsidRDefault="00FB54CF">
      <w:pPr>
        <w:spacing w:line="360" w:lineRule="auto"/>
        <w:ind w:firstLine="709"/>
        <w:jc w:val="both"/>
        <w:rPr>
          <w:sz w:val="24"/>
          <w:szCs w:val="24"/>
        </w:rPr>
      </w:pPr>
      <w:r>
        <w:rPr>
          <w:sz w:val="24"/>
          <w:szCs w:val="24"/>
        </w:rPr>
        <w:t xml:space="preserve">A relevância da análise que empreendemos neste artigo é reforçada pelos dados e indicadores sociais que, de modo inquestionável, corroboram a persistência </w:t>
      </w:r>
      <w:r>
        <w:rPr>
          <w:sz w:val="24"/>
          <w:szCs w:val="24"/>
        </w:rPr>
        <w:lastRenderedPageBreak/>
        <w:t>e a gravidade das desigualdades raciais e de gênero no Brasil. Além disso, estatísticas e dados oficiais sobre a letalidade policial, a precarização do trabalho, o acesso a serviços públicos e taxas de violência contra a mulher negra, são imprescindíveis para um reflexão intersecional e crítica, não apenas porque atestam a dimensão das violências estruturais de raça e gênero abordadas na literatura de Evaristo, mas pelo fato de gritarem a urgência de uma ação estatal e social que promova efetivamente a garantia de direitos a estas populações, de vida, dignidade e equidade.</w:t>
      </w:r>
    </w:p>
    <w:p w:rsidR="001D72E7" w:rsidRDefault="00FB54CF">
      <w:pPr>
        <w:spacing w:line="360" w:lineRule="auto"/>
        <w:ind w:firstLine="709"/>
        <w:jc w:val="both"/>
        <w:rPr>
          <w:sz w:val="24"/>
          <w:szCs w:val="24"/>
        </w:rPr>
      </w:pPr>
      <w:r>
        <w:rPr>
          <w:sz w:val="24"/>
          <w:szCs w:val="24"/>
        </w:rPr>
        <w:t xml:space="preserve">A partir dessas considerações, impõe-se a necessidade de aprofundar o debate acadêmico e político acerca da interface entre literatura, crítica social e formulação de políticas públicas. Torna-se premente que novos estudos se debrucem sobre as estratégias de resistência, de construção de subjetividades e de afirmação de identidades que emergem nas periferias urbanas, especialmente no que se refere à vivência de mulheres negras que, historicamente, têm protagonizado formas de enfrentamento às opressões estruturais, muitas vezes </w:t>
      </w:r>
      <w:proofErr w:type="spellStart"/>
      <w:r>
        <w:rPr>
          <w:sz w:val="24"/>
          <w:szCs w:val="24"/>
        </w:rPr>
        <w:t>invisibilizadas</w:t>
      </w:r>
      <w:proofErr w:type="spellEnd"/>
      <w:r>
        <w:rPr>
          <w:sz w:val="24"/>
          <w:szCs w:val="24"/>
        </w:rPr>
        <w:t xml:space="preserve"> e silenciadas pela narrativa hegemônica. </w:t>
      </w:r>
    </w:p>
    <w:p w:rsidR="001D72E7" w:rsidRDefault="00FB54CF">
      <w:pPr>
        <w:spacing w:line="360" w:lineRule="auto"/>
        <w:ind w:firstLine="709"/>
        <w:jc w:val="both"/>
        <w:rPr>
          <w:sz w:val="24"/>
          <w:szCs w:val="24"/>
        </w:rPr>
      </w:pPr>
      <w:r>
        <w:rPr>
          <w:sz w:val="24"/>
          <w:szCs w:val="24"/>
        </w:rPr>
        <w:t xml:space="preserve">O texto destaca a importância de incentivar pesquisas interdisciplinares sobre a obra de autoras negras, como Conceição Evaristo, valorizando a literatura não só como arte, mas como ato político e epistemológico de enfrentamento à colonialidade. Reafirma-se a literatura como instrumento de denúncia, memória e transformação social. Logo, a análise do conto “Ana </w:t>
      </w:r>
      <w:proofErr w:type="spellStart"/>
      <w:r>
        <w:rPr>
          <w:sz w:val="24"/>
          <w:szCs w:val="24"/>
        </w:rPr>
        <w:t>Davenga</w:t>
      </w:r>
      <w:proofErr w:type="spellEnd"/>
      <w:r>
        <w:rPr>
          <w:sz w:val="24"/>
          <w:szCs w:val="24"/>
        </w:rPr>
        <w:t>” revela a urgência de combater as estruturas de desigualdade e violência, além de promover a formação de assistentes sociais comprometidos com a justiça, a equidade e a emancipação dos sujeitos oprimidos.</w:t>
      </w:r>
    </w:p>
    <w:p w:rsidR="001D72E7" w:rsidRDefault="001D72E7">
      <w:pPr>
        <w:spacing w:line="360" w:lineRule="auto"/>
        <w:rPr>
          <w:b/>
          <w:sz w:val="24"/>
          <w:szCs w:val="24"/>
        </w:rPr>
      </w:pPr>
    </w:p>
    <w:p w:rsidR="001D72E7" w:rsidRDefault="00FB54CF">
      <w:pPr>
        <w:spacing w:line="360" w:lineRule="auto"/>
        <w:jc w:val="center"/>
        <w:rPr>
          <w:sz w:val="24"/>
          <w:szCs w:val="24"/>
        </w:rPr>
      </w:pPr>
      <w:r>
        <w:rPr>
          <w:b/>
          <w:sz w:val="24"/>
          <w:szCs w:val="24"/>
        </w:rPr>
        <w:t xml:space="preserve">REFERÊNCIAS </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t xml:space="preserve">ALMEIDA, Silvio. Raça e racismo. In: </w:t>
      </w:r>
      <w:r>
        <w:rPr>
          <w:b/>
          <w:sz w:val="24"/>
          <w:szCs w:val="24"/>
        </w:rPr>
        <w:t>Racismo estrutural.</w:t>
      </w:r>
      <w:r>
        <w:rPr>
          <w:sz w:val="24"/>
          <w:szCs w:val="24"/>
        </w:rPr>
        <w:t xml:space="preserve"> 14. ed. São Paulo: Sueli Carneiro: </w:t>
      </w:r>
      <w:proofErr w:type="spellStart"/>
      <w:r>
        <w:rPr>
          <w:sz w:val="24"/>
          <w:szCs w:val="24"/>
        </w:rPr>
        <w:t>Jandaíra</w:t>
      </w:r>
      <w:proofErr w:type="spellEnd"/>
      <w:r>
        <w:rPr>
          <w:sz w:val="24"/>
          <w:szCs w:val="24"/>
        </w:rPr>
        <w:t>, 2023. p. 31-63.</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lastRenderedPageBreak/>
        <w:t xml:space="preserve">COLLINS, </w:t>
      </w:r>
      <w:proofErr w:type="spellStart"/>
      <w:r>
        <w:rPr>
          <w:sz w:val="24"/>
          <w:szCs w:val="24"/>
        </w:rPr>
        <w:t>Patricia</w:t>
      </w:r>
      <w:proofErr w:type="spellEnd"/>
      <w:r>
        <w:rPr>
          <w:sz w:val="24"/>
          <w:szCs w:val="24"/>
        </w:rPr>
        <w:t xml:space="preserve"> Hill. </w:t>
      </w:r>
      <w:proofErr w:type="spellStart"/>
      <w:r>
        <w:rPr>
          <w:sz w:val="24"/>
          <w:szCs w:val="24"/>
        </w:rPr>
        <w:t>Mammies</w:t>
      </w:r>
      <w:proofErr w:type="spellEnd"/>
      <w:r>
        <w:rPr>
          <w:sz w:val="24"/>
          <w:szCs w:val="24"/>
        </w:rPr>
        <w:t xml:space="preserve">, matriarcas e outras imagens de controle. In: </w:t>
      </w:r>
      <w:r>
        <w:rPr>
          <w:b/>
          <w:sz w:val="24"/>
          <w:szCs w:val="24"/>
        </w:rPr>
        <w:t>Pensamento feminista negro:</w:t>
      </w:r>
      <w:r>
        <w:rPr>
          <w:sz w:val="24"/>
          <w:szCs w:val="24"/>
        </w:rPr>
        <w:t xml:space="preserve"> conhecimento, consciência e a política do empoderamento. Trad. de Jamile Pinheiro Dias. 2. ed. São Paulo: </w:t>
      </w:r>
      <w:proofErr w:type="spellStart"/>
      <w:r>
        <w:rPr>
          <w:sz w:val="24"/>
          <w:szCs w:val="24"/>
        </w:rPr>
        <w:t>Boitempo</w:t>
      </w:r>
      <w:proofErr w:type="spellEnd"/>
      <w:r>
        <w:rPr>
          <w:sz w:val="24"/>
          <w:szCs w:val="24"/>
        </w:rPr>
        <w:t>, 2022. p. 163–204.</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t xml:space="preserve">EVARISTO, Conceição. </w:t>
      </w:r>
      <w:r>
        <w:rPr>
          <w:b/>
          <w:sz w:val="24"/>
          <w:szCs w:val="24"/>
        </w:rPr>
        <w:t>Olhos d’água.</w:t>
      </w:r>
      <w:r>
        <w:rPr>
          <w:sz w:val="24"/>
          <w:szCs w:val="24"/>
        </w:rPr>
        <w:t xml:space="preserve"> 2. ed. Rio de Janeiro, RJ: </w:t>
      </w:r>
      <w:proofErr w:type="spellStart"/>
      <w:r>
        <w:rPr>
          <w:sz w:val="24"/>
          <w:szCs w:val="24"/>
        </w:rPr>
        <w:t>Pallas</w:t>
      </w:r>
      <w:proofErr w:type="spellEnd"/>
      <w:r>
        <w:rPr>
          <w:sz w:val="24"/>
          <w:szCs w:val="24"/>
        </w:rPr>
        <w:t xml:space="preserve"> Míni, 2018.</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t xml:space="preserve">HARVEY, David. Acumulação por espoliação. In: </w:t>
      </w:r>
      <w:r>
        <w:rPr>
          <w:b/>
          <w:sz w:val="24"/>
          <w:szCs w:val="24"/>
        </w:rPr>
        <w:t>O neoliberalismo:</w:t>
      </w:r>
      <w:r>
        <w:rPr>
          <w:sz w:val="24"/>
          <w:szCs w:val="24"/>
        </w:rPr>
        <w:t xml:space="preserve"> história e implicações. Trad. Adail Sobral e Maria Stela Gonçalves. 2. ed. São Paulo: Loyola, 2018. p. 109-143.</w:t>
      </w:r>
    </w:p>
    <w:p w:rsidR="001D72E7" w:rsidRDefault="001D72E7">
      <w:pPr>
        <w:spacing w:line="240" w:lineRule="auto"/>
        <w:jc w:val="both"/>
        <w:rPr>
          <w:sz w:val="24"/>
          <w:szCs w:val="24"/>
        </w:rPr>
      </w:pPr>
    </w:p>
    <w:p w:rsidR="001D72E7" w:rsidRDefault="00FB54CF">
      <w:pPr>
        <w:spacing w:line="240" w:lineRule="auto"/>
        <w:jc w:val="both"/>
        <w:rPr>
          <w:color w:val="FF0000"/>
          <w:sz w:val="24"/>
          <w:szCs w:val="24"/>
        </w:rPr>
      </w:pPr>
      <w:r>
        <w:rPr>
          <w:b/>
          <w:sz w:val="24"/>
          <w:szCs w:val="24"/>
        </w:rPr>
        <w:t>IBGE.</w:t>
      </w:r>
      <w:r>
        <w:rPr>
          <w:sz w:val="24"/>
          <w:szCs w:val="24"/>
        </w:rPr>
        <w:t xml:space="preserve"> </w:t>
      </w:r>
      <w:r>
        <w:rPr>
          <w:sz w:val="24"/>
          <w:szCs w:val="24"/>
          <w:highlight w:val="white"/>
        </w:rPr>
        <w:t>Desigualdades sociais por cor ou raça no Brasil.</w:t>
      </w:r>
      <w:r>
        <w:rPr>
          <w:sz w:val="24"/>
          <w:szCs w:val="24"/>
        </w:rPr>
        <w:t xml:space="preserve"> 2023.  Disponível em:</w:t>
      </w:r>
      <w:r>
        <w:rPr>
          <w:color w:val="FF0000"/>
          <w:sz w:val="24"/>
          <w:szCs w:val="24"/>
        </w:rPr>
        <w:t xml:space="preserve"> </w:t>
      </w:r>
      <w:hyperlink r:id="rId7">
        <w:r>
          <w:rPr>
            <w:color w:val="1155CC"/>
            <w:sz w:val="24"/>
            <w:szCs w:val="24"/>
            <w:u w:val="single"/>
          </w:rPr>
          <w:t>https://biblioteca.ibge.gov.br/visualizacao/livros/liv101972_informativo.pdf</w:t>
        </w:r>
      </w:hyperlink>
      <w:r>
        <w:rPr>
          <w:color w:val="FF0000"/>
          <w:sz w:val="24"/>
          <w:szCs w:val="24"/>
        </w:rPr>
        <w:t xml:space="preserve"> </w:t>
      </w:r>
    </w:p>
    <w:p w:rsidR="001D72E7" w:rsidRDefault="001D72E7">
      <w:pPr>
        <w:spacing w:line="240" w:lineRule="auto"/>
        <w:jc w:val="both"/>
        <w:rPr>
          <w:color w:val="FF0000"/>
          <w:sz w:val="24"/>
          <w:szCs w:val="24"/>
        </w:rPr>
      </w:pPr>
    </w:p>
    <w:p w:rsidR="001D72E7" w:rsidRDefault="00FB54CF">
      <w:pPr>
        <w:spacing w:line="240" w:lineRule="auto"/>
        <w:jc w:val="both"/>
        <w:rPr>
          <w:color w:val="FF0000"/>
          <w:sz w:val="24"/>
          <w:szCs w:val="24"/>
        </w:rPr>
      </w:pPr>
      <w:r>
        <w:rPr>
          <w:b/>
          <w:sz w:val="24"/>
          <w:szCs w:val="24"/>
        </w:rPr>
        <w:t>IPEA.</w:t>
      </w:r>
      <w:r>
        <w:rPr>
          <w:sz w:val="24"/>
          <w:szCs w:val="24"/>
        </w:rPr>
        <w:t xml:space="preserve"> Atlas da Violência. Brasil, 2025. Disponível em: </w:t>
      </w:r>
      <w:hyperlink r:id="rId8">
        <w:r>
          <w:rPr>
            <w:color w:val="1155CC"/>
            <w:sz w:val="24"/>
            <w:szCs w:val="24"/>
            <w:u w:val="single"/>
          </w:rPr>
          <w:t>https://www.ipea.gov.br/atlasviolencia/arquivos/artigos/5999-atlasdaviolencia2025.pdf</w:t>
        </w:r>
      </w:hyperlink>
      <w:r>
        <w:rPr>
          <w:color w:val="FF0000"/>
          <w:sz w:val="24"/>
          <w:szCs w:val="24"/>
        </w:rPr>
        <w:t xml:space="preserve"> </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t xml:space="preserve">KILOMBA, Grada. Racismo </w:t>
      </w:r>
      <w:proofErr w:type="spellStart"/>
      <w:r>
        <w:rPr>
          <w:sz w:val="24"/>
          <w:szCs w:val="24"/>
        </w:rPr>
        <w:t>genderizado</w:t>
      </w:r>
      <w:proofErr w:type="spellEnd"/>
      <w:r>
        <w:rPr>
          <w:sz w:val="24"/>
          <w:szCs w:val="24"/>
        </w:rPr>
        <w:t xml:space="preserve">. In:  </w:t>
      </w:r>
      <w:r>
        <w:rPr>
          <w:b/>
          <w:sz w:val="24"/>
          <w:szCs w:val="24"/>
        </w:rPr>
        <w:t>Memórias da plantação</w:t>
      </w:r>
      <w:r>
        <w:rPr>
          <w:sz w:val="24"/>
          <w:szCs w:val="24"/>
        </w:rPr>
        <w:t xml:space="preserve">: episódios de racismo cotidiano. Trad. </w:t>
      </w:r>
      <w:proofErr w:type="spellStart"/>
      <w:r>
        <w:rPr>
          <w:sz w:val="24"/>
          <w:szCs w:val="24"/>
        </w:rPr>
        <w:t>Jess</w:t>
      </w:r>
      <w:proofErr w:type="spellEnd"/>
      <w:r>
        <w:rPr>
          <w:sz w:val="24"/>
          <w:szCs w:val="24"/>
        </w:rPr>
        <w:t xml:space="preserve"> Oliveira. 2. ed. Rio de Janeiro: </w:t>
      </w:r>
      <w:proofErr w:type="spellStart"/>
      <w:r>
        <w:rPr>
          <w:sz w:val="24"/>
          <w:szCs w:val="24"/>
        </w:rPr>
        <w:t>Cobogó</w:t>
      </w:r>
      <w:proofErr w:type="spellEnd"/>
      <w:r>
        <w:rPr>
          <w:sz w:val="24"/>
          <w:szCs w:val="24"/>
        </w:rPr>
        <w:t>, 2019. p. 103-128.</w:t>
      </w:r>
    </w:p>
    <w:p w:rsidR="001D72E7" w:rsidRDefault="001D72E7">
      <w:pPr>
        <w:spacing w:line="240" w:lineRule="auto"/>
        <w:jc w:val="both"/>
        <w:rPr>
          <w:sz w:val="24"/>
          <w:szCs w:val="24"/>
        </w:rPr>
      </w:pPr>
    </w:p>
    <w:p w:rsidR="001D72E7" w:rsidRDefault="00FB54CF">
      <w:pPr>
        <w:spacing w:line="240" w:lineRule="auto"/>
        <w:jc w:val="both"/>
        <w:rPr>
          <w:sz w:val="24"/>
          <w:szCs w:val="24"/>
        </w:rPr>
      </w:pPr>
      <w:r>
        <w:rPr>
          <w:sz w:val="24"/>
          <w:szCs w:val="24"/>
        </w:rPr>
        <w:t xml:space="preserve">MBEMBE, Achille. </w:t>
      </w:r>
      <w:r>
        <w:rPr>
          <w:b/>
          <w:sz w:val="24"/>
          <w:szCs w:val="24"/>
        </w:rPr>
        <w:t>Necropolítica.</w:t>
      </w:r>
      <w:r>
        <w:rPr>
          <w:sz w:val="24"/>
          <w:szCs w:val="24"/>
        </w:rPr>
        <w:t xml:space="preserve"> Arte &amp; Ensaios, Rio de Janeiro, n. 32, p. 122-149, dez. 2016. </w:t>
      </w:r>
    </w:p>
    <w:sectPr w:rsidR="001D72E7">
      <w:headerReference w:type="default" r:id="rId9"/>
      <w:pgSz w:w="11909" w:h="16834"/>
      <w:pgMar w:top="1701" w:right="1134" w:bottom="1401"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C38" w:rsidRDefault="00F87C38">
      <w:pPr>
        <w:spacing w:line="240" w:lineRule="auto"/>
      </w:pPr>
      <w:r>
        <w:separator/>
      </w:r>
    </w:p>
  </w:endnote>
  <w:endnote w:type="continuationSeparator" w:id="0">
    <w:p w:rsidR="00F87C38" w:rsidRDefault="00F87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C38" w:rsidRDefault="00F87C38">
      <w:pPr>
        <w:spacing w:line="240" w:lineRule="auto"/>
      </w:pPr>
      <w:r>
        <w:separator/>
      </w:r>
    </w:p>
  </w:footnote>
  <w:footnote w:type="continuationSeparator" w:id="0">
    <w:p w:rsidR="00F87C38" w:rsidRDefault="00F87C38">
      <w:pPr>
        <w:spacing w:line="240" w:lineRule="auto"/>
      </w:pPr>
      <w:r>
        <w:continuationSeparator/>
      </w:r>
    </w:p>
  </w:footnote>
  <w:footnote w:id="1">
    <w:p w:rsidR="001D72E7" w:rsidRDefault="00FB54C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clarice</w:t>
      </w:r>
      <w:r>
        <w:rPr>
          <w:sz w:val="20"/>
          <w:szCs w:val="20"/>
        </w:rPr>
        <w:t>anjosbatista@gmail.com</w:t>
      </w:r>
    </w:p>
  </w:footnote>
  <w:footnote w:id="2">
    <w:p w:rsidR="001D72E7" w:rsidRDefault="00FB54CF">
      <w:pPr>
        <w:pBdr>
          <w:top w:val="nil"/>
          <w:left w:val="nil"/>
          <w:bottom w:val="nil"/>
          <w:right w:val="nil"/>
          <w:between w:val="nil"/>
        </w:pBdr>
        <w:rPr>
          <w:color w:val="000000"/>
          <w:sz w:val="20"/>
          <w:szCs w:val="20"/>
        </w:rPr>
      </w:pPr>
      <w:r>
        <w:rPr>
          <w:vertAlign w:val="superscript"/>
        </w:rPr>
        <w:footnoteRef/>
      </w:r>
      <w:r w:rsidR="00615CA6">
        <w:rPr>
          <w:color w:val="000000"/>
          <w:sz w:val="20"/>
          <w:szCs w:val="20"/>
        </w:rPr>
        <w:t xml:space="preserve"> evelinalves332@gmail.com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2E7" w:rsidRDefault="00FB54CF">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E7"/>
    <w:rsid w:val="001D72E7"/>
    <w:rsid w:val="00615CA6"/>
    <w:rsid w:val="00852EBB"/>
    <w:rsid w:val="00F87C38"/>
    <w:rsid w:val="00FB54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5922C-401D-482F-B330-C95F084DD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rodapChar">
    <w:name w:val="Texto de nota de rodapé Char"/>
    <w:basedOn w:val="Fontepargpadro"/>
    <w:rPr>
      <w:w w:val="100"/>
      <w:position w:val="-1"/>
      <w:effect w:val="none"/>
      <w:vertAlign w:val="baseline"/>
      <w:cs w:val="0"/>
      <w:em w:val="none"/>
    </w:rPr>
  </w:style>
  <w:style w:type="character" w:styleId="Refdenotaderodap">
    <w:name w:val="footnote reference"/>
    <w:qFormat/>
    <w:rPr>
      <w:w w:val="100"/>
      <w:position w:val="-1"/>
      <w:effect w:val="none"/>
      <w:vertAlign w:val="superscript"/>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pea.gov.br/atlasviolencia/arquivos/artigos/5999-atlasdaviolencia2025.pdf" TargetMode="External"/><Relationship Id="rId3" Type="http://schemas.openxmlformats.org/officeDocument/2006/relationships/settings" Target="settings.xml"/><Relationship Id="rId7" Type="http://schemas.openxmlformats.org/officeDocument/2006/relationships/hyperlink" Target="https://biblioteca.ibge.gov.br/visualizacao/livros/liv101972_informativo.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03ooheOyBomxaX9KidV8IX7Ng==">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3745</Words>
  <Characters>20227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Zaira Sabry</cp:lastModifiedBy>
  <cp:revision>2</cp:revision>
  <dcterms:created xsi:type="dcterms:W3CDTF">2025-08-18T18:08:00Z</dcterms:created>
  <dcterms:modified xsi:type="dcterms:W3CDTF">2025-08-18T18:08:00Z</dcterms:modified>
</cp:coreProperties>
</file>