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96D" w:rsidRDefault="00895C09">
      <w:pPr>
        <w:spacing w:line="360" w:lineRule="auto"/>
        <w:ind w:left="0" w:hanging="2"/>
        <w:jc w:val="center"/>
        <w:rPr>
          <w:sz w:val="24"/>
          <w:szCs w:val="24"/>
        </w:rPr>
      </w:pPr>
      <w:r>
        <w:rPr>
          <w:b/>
          <w:sz w:val="24"/>
          <w:szCs w:val="24"/>
        </w:rPr>
        <w:t xml:space="preserve">TRABALHO, SAÚDE MENTAL E INTERSECCIONALIDADE: </w:t>
      </w:r>
      <w:r>
        <w:rPr>
          <w:sz w:val="24"/>
          <w:szCs w:val="24"/>
        </w:rPr>
        <w:t>a percepção de</w:t>
      </w:r>
    </w:p>
    <w:p w:rsidR="00AB796D" w:rsidRDefault="00895C09">
      <w:pPr>
        <w:spacing w:line="360" w:lineRule="auto"/>
        <w:ind w:left="0" w:hanging="2"/>
        <w:jc w:val="center"/>
        <w:rPr>
          <w:sz w:val="24"/>
          <w:szCs w:val="24"/>
        </w:rPr>
      </w:pPr>
      <w:r>
        <w:rPr>
          <w:sz w:val="24"/>
          <w:szCs w:val="24"/>
        </w:rPr>
        <w:t>trabalhadores da RAPS/RJ sobre os marcadores sociais da diferença</w:t>
      </w:r>
    </w:p>
    <w:p w:rsidR="00AB796D" w:rsidRDefault="00AB796D">
      <w:pPr>
        <w:spacing w:line="240" w:lineRule="auto"/>
        <w:ind w:left="0" w:hanging="2"/>
        <w:jc w:val="both"/>
        <w:rPr>
          <w:sz w:val="20"/>
          <w:szCs w:val="20"/>
        </w:rPr>
      </w:pPr>
    </w:p>
    <w:p w:rsidR="00AB796D" w:rsidRDefault="00895C09">
      <w:pPr>
        <w:spacing w:line="240" w:lineRule="auto"/>
        <w:ind w:left="0" w:hanging="2"/>
        <w:jc w:val="right"/>
        <w:rPr>
          <w:sz w:val="24"/>
          <w:szCs w:val="24"/>
        </w:rPr>
      </w:pPr>
      <w:r>
        <w:rPr>
          <w:sz w:val="24"/>
          <w:szCs w:val="24"/>
        </w:rPr>
        <w:t>SOARES, Matheus Moreira</w:t>
      </w:r>
      <w:r>
        <w:rPr>
          <w:sz w:val="24"/>
          <w:szCs w:val="24"/>
          <w:vertAlign w:val="superscript"/>
        </w:rPr>
        <w:footnoteReference w:id="1"/>
      </w:r>
    </w:p>
    <w:p w:rsidR="00AB796D" w:rsidRDefault="00895C09">
      <w:pPr>
        <w:spacing w:line="240" w:lineRule="auto"/>
        <w:ind w:left="0" w:hanging="2"/>
        <w:jc w:val="right"/>
        <w:rPr>
          <w:sz w:val="24"/>
          <w:szCs w:val="24"/>
        </w:rPr>
      </w:pPr>
      <w:r>
        <w:rPr>
          <w:sz w:val="24"/>
          <w:szCs w:val="24"/>
        </w:rPr>
        <w:t xml:space="preserve">OLIVEIRA, </w:t>
      </w:r>
      <w:proofErr w:type="spellStart"/>
      <w:r>
        <w:rPr>
          <w:sz w:val="24"/>
          <w:szCs w:val="24"/>
        </w:rPr>
        <w:t>Stefany</w:t>
      </w:r>
      <w:proofErr w:type="spellEnd"/>
      <w:r>
        <w:rPr>
          <w:sz w:val="24"/>
          <w:szCs w:val="24"/>
        </w:rPr>
        <w:t xml:space="preserve"> Vieira Alves de</w:t>
      </w:r>
      <w:r>
        <w:rPr>
          <w:sz w:val="24"/>
          <w:szCs w:val="24"/>
          <w:vertAlign w:val="superscript"/>
        </w:rPr>
        <w:footnoteReference w:id="2"/>
      </w:r>
    </w:p>
    <w:p w:rsidR="00AB796D" w:rsidRDefault="00895C09">
      <w:pPr>
        <w:spacing w:line="240" w:lineRule="auto"/>
        <w:ind w:left="0" w:hanging="2"/>
        <w:jc w:val="right"/>
        <w:rPr>
          <w:sz w:val="24"/>
          <w:szCs w:val="24"/>
        </w:rPr>
      </w:pPr>
      <w:r>
        <w:rPr>
          <w:sz w:val="24"/>
          <w:szCs w:val="24"/>
        </w:rPr>
        <w:t>ABREU, Letícia Silva de</w:t>
      </w:r>
      <w:r>
        <w:rPr>
          <w:sz w:val="24"/>
          <w:szCs w:val="24"/>
          <w:vertAlign w:val="superscript"/>
        </w:rPr>
        <w:footnoteReference w:id="3"/>
      </w:r>
    </w:p>
    <w:p w:rsidR="00AB796D" w:rsidRDefault="00895C09">
      <w:pPr>
        <w:ind w:left="0" w:hanging="2"/>
        <w:jc w:val="right"/>
        <w:rPr>
          <w:sz w:val="24"/>
          <w:szCs w:val="24"/>
        </w:rPr>
      </w:pPr>
      <w:r>
        <w:rPr>
          <w:sz w:val="24"/>
          <w:szCs w:val="24"/>
          <w:highlight w:val="white"/>
        </w:rPr>
        <w:t>MALAQUIAS, Jéssica Helena Vaz</w:t>
      </w:r>
      <w:r>
        <w:rPr>
          <w:sz w:val="24"/>
          <w:szCs w:val="24"/>
          <w:highlight w:val="white"/>
          <w:vertAlign w:val="superscript"/>
        </w:rPr>
        <w:footnoteReference w:id="4"/>
      </w:r>
    </w:p>
    <w:p w:rsidR="00AB796D" w:rsidRDefault="00895C09">
      <w:pPr>
        <w:spacing w:line="240" w:lineRule="auto"/>
        <w:ind w:left="0" w:hanging="2"/>
        <w:jc w:val="right"/>
        <w:rPr>
          <w:sz w:val="24"/>
          <w:szCs w:val="24"/>
        </w:rPr>
      </w:pPr>
      <w:r>
        <w:rPr>
          <w:sz w:val="24"/>
          <w:szCs w:val="24"/>
        </w:rPr>
        <w:t>PASSOS, Rachel Gouveia</w:t>
      </w:r>
      <w:r>
        <w:rPr>
          <w:sz w:val="24"/>
          <w:szCs w:val="24"/>
          <w:vertAlign w:val="superscript"/>
        </w:rPr>
        <w:footnoteReference w:id="5"/>
      </w:r>
    </w:p>
    <w:p w:rsidR="00AB796D" w:rsidRDefault="00AB796D">
      <w:pPr>
        <w:spacing w:line="240" w:lineRule="auto"/>
        <w:ind w:left="0" w:hanging="2"/>
        <w:jc w:val="both"/>
        <w:rPr>
          <w:sz w:val="20"/>
          <w:szCs w:val="20"/>
        </w:rPr>
      </w:pPr>
    </w:p>
    <w:p w:rsidR="00AB796D" w:rsidRDefault="00895C09" w:rsidP="00401E40">
      <w:pPr>
        <w:spacing w:line="240" w:lineRule="auto"/>
        <w:ind w:leftChars="0" w:left="2160" w:firstLineChars="0" w:firstLine="720"/>
        <w:jc w:val="both"/>
        <w:rPr>
          <w:sz w:val="20"/>
          <w:szCs w:val="20"/>
        </w:rPr>
      </w:pPr>
      <w:r>
        <w:rPr>
          <w:b/>
          <w:sz w:val="20"/>
          <w:szCs w:val="20"/>
        </w:rPr>
        <w:t>Resumo</w:t>
      </w:r>
    </w:p>
    <w:p w:rsidR="00AB796D" w:rsidRDefault="00895C09" w:rsidP="00401E40">
      <w:pPr>
        <w:spacing w:line="240" w:lineRule="auto"/>
        <w:ind w:leftChars="0" w:left="2880" w:firstLineChars="0" w:firstLine="0"/>
        <w:jc w:val="both"/>
        <w:rPr>
          <w:sz w:val="20"/>
          <w:szCs w:val="20"/>
        </w:rPr>
      </w:pPr>
      <w:r>
        <w:rPr>
          <w:sz w:val="20"/>
          <w:szCs w:val="20"/>
        </w:rPr>
        <w:t>O Censo Psicossocial dos usuários dos serviços de Saúde Mental do estado do Rio de Janeiro tem o objetivo de produzir dados sistematizados que revelem o perfil da população atendida pela Rede de Atenção Psicossocial do estad</w:t>
      </w:r>
      <w:r>
        <w:rPr>
          <w:sz w:val="20"/>
          <w:szCs w:val="20"/>
        </w:rPr>
        <w:t xml:space="preserve">o do Rio de Janeiro (RAPS/RJ).Em sua construção, a interseccionalidade é utilizada como ferramenta de análise para desvelar as complexas determinações sociais em saúde e diagnosticar os marcadores sociais em relação às 9 regiões do estado. Serão relatadas </w:t>
      </w:r>
      <w:r>
        <w:rPr>
          <w:sz w:val="20"/>
          <w:szCs w:val="20"/>
        </w:rPr>
        <w:t xml:space="preserve">a primeira fase do projeto, contendo a </w:t>
      </w:r>
      <w:r>
        <w:rPr>
          <w:sz w:val="20"/>
          <w:szCs w:val="20"/>
        </w:rPr>
        <w:lastRenderedPageBreak/>
        <w:t>realização de oficinas de sensibilização utilizando metodologia com princípios baseados na educação popular. E a segunda fase, situando a análise das impressões da equipe técnica sobre as atividades de campo e tabulaç</w:t>
      </w:r>
      <w:r>
        <w:rPr>
          <w:sz w:val="20"/>
          <w:szCs w:val="20"/>
        </w:rPr>
        <w:t xml:space="preserve">ão de dados colhidos. Assim, o </w:t>
      </w:r>
      <w:r w:rsidR="00401E40">
        <w:rPr>
          <w:sz w:val="20"/>
          <w:szCs w:val="20"/>
        </w:rPr>
        <w:t>projeto de</w:t>
      </w:r>
      <w:r>
        <w:rPr>
          <w:sz w:val="20"/>
          <w:szCs w:val="20"/>
        </w:rPr>
        <w:t xml:space="preserve"> caráter pioneiro apresenta efeitos e impactos materiais em prol da perspectiva antimanicomial e antirracista no campo da saúde pública.</w:t>
      </w:r>
    </w:p>
    <w:p w:rsidR="00AB796D" w:rsidRDefault="00895C09" w:rsidP="00401E40">
      <w:pPr>
        <w:spacing w:line="240" w:lineRule="auto"/>
        <w:ind w:leftChars="0" w:left="2880" w:firstLineChars="0" w:firstLine="0"/>
        <w:jc w:val="both"/>
        <w:rPr>
          <w:sz w:val="20"/>
          <w:szCs w:val="20"/>
        </w:rPr>
      </w:pPr>
      <w:r>
        <w:rPr>
          <w:b/>
          <w:sz w:val="20"/>
          <w:szCs w:val="20"/>
        </w:rPr>
        <w:t>Palavras-chave</w:t>
      </w:r>
      <w:r>
        <w:rPr>
          <w:sz w:val="20"/>
          <w:szCs w:val="20"/>
        </w:rPr>
        <w:t xml:space="preserve">: </w:t>
      </w:r>
      <w:r>
        <w:rPr>
          <w:sz w:val="20"/>
          <w:szCs w:val="20"/>
        </w:rPr>
        <w:t>Rede de Atenção Psicossocial</w:t>
      </w:r>
      <w:r>
        <w:rPr>
          <w:sz w:val="20"/>
          <w:szCs w:val="20"/>
        </w:rPr>
        <w:t xml:space="preserve">; </w:t>
      </w:r>
      <w:r>
        <w:rPr>
          <w:sz w:val="20"/>
          <w:szCs w:val="20"/>
        </w:rPr>
        <w:t>Saúde Mental;</w:t>
      </w:r>
      <w:r>
        <w:rPr>
          <w:sz w:val="20"/>
          <w:szCs w:val="20"/>
        </w:rPr>
        <w:t xml:space="preserve"> </w:t>
      </w:r>
      <w:r>
        <w:rPr>
          <w:sz w:val="20"/>
          <w:szCs w:val="20"/>
        </w:rPr>
        <w:t>Interseccionalida</w:t>
      </w:r>
      <w:r>
        <w:rPr>
          <w:sz w:val="20"/>
          <w:szCs w:val="20"/>
        </w:rPr>
        <w:t>de; Educação Popular.</w:t>
      </w:r>
    </w:p>
    <w:p w:rsidR="00AB796D" w:rsidRDefault="00AB796D">
      <w:pPr>
        <w:spacing w:line="240" w:lineRule="auto"/>
        <w:ind w:left="0" w:hanging="2"/>
        <w:jc w:val="both"/>
        <w:rPr>
          <w:sz w:val="20"/>
          <w:szCs w:val="20"/>
        </w:rPr>
      </w:pPr>
    </w:p>
    <w:p w:rsidR="00AB796D" w:rsidRDefault="00895C09" w:rsidP="00401E40">
      <w:pPr>
        <w:spacing w:line="240" w:lineRule="auto"/>
        <w:ind w:leftChars="0" w:left="2160" w:firstLineChars="0" w:firstLine="720"/>
        <w:jc w:val="both"/>
        <w:rPr>
          <w:sz w:val="20"/>
          <w:szCs w:val="20"/>
        </w:rPr>
      </w:pPr>
      <w:r>
        <w:rPr>
          <w:b/>
          <w:sz w:val="20"/>
          <w:szCs w:val="20"/>
        </w:rPr>
        <w:t>Abstract</w:t>
      </w:r>
    </w:p>
    <w:p w:rsidR="00AB796D" w:rsidRDefault="00895C09" w:rsidP="00401E40">
      <w:pPr>
        <w:spacing w:line="240" w:lineRule="auto"/>
        <w:ind w:leftChars="0" w:left="2880" w:firstLineChars="0" w:firstLine="0"/>
        <w:jc w:val="both"/>
        <w:rPr>
          <w:sz w:val="20"/>
          <w:szCs w:val="20"/>
        </w:rPr>
      </w:pPr>
      <w:r>
        <w:rPr>
          <w:sz w:val="20"/>
          <w:szCs w:val="20"/>
        </w:rPr>
        <w:t xml:space="preserve">The </w:t>
      </w:r>
      <w:proofErr w:type="spellStart"/>
      <w:r>
        <w:rPr>
          <w:sz w:val="20"/>
          <w:szCs w:val="20"/>
        </w:rPr>
        <w:t>Psychosocial</w:t>
      </w:r>
      <w:proofErr w:type="spellEnd"/>
      <w:r>
        <w:rPr>
          <w:sz w:val="20"/>
          <w:szCs w:val="20"/>
        </w:rPr>
        <w:t xml:space="preserve"> </w:t>
      </w:r>
      <w:proofErr w:type="spellStart"/>
      <w:r>
        <w:rPr>
          <w:sz w:val="20"/>
          <w:szCs w:val="20"/>
        </w:rPr>
        <w:t>Census</w:t>
      </w:r>
      <w:proofErr w:type="spellEnd"/>
      <w:r>
        <w:rPr>
          <w:sz w:val="20"/>
          <w:szCs w:val="20"/>
        </w:rPr>
        <w:t xml:space="preserve"> emerges as a tool </w:t>
      </w:r>
      <w:proofErr w:type="spellStart"/>
      <w:r>
        <w:rPr>
          <w:sz w:val="20"/>
          <w:szCs w:val="20"/>
        </w:rPr>
        <w:t>to</w:t>
      </w:r>
      <w:proofErr w:type="spellEnd"/>
      <w:r>
        <w:rPr>
          <w:sz w:val="20"/>
          <w:szCs w:val="20"/>
        </w:rPr>
        <w:t xml:space="preserve"> break </w:t>
      </w:r>
      <w:proofErr w:type="spellStart"/>
      <w:r>
        <w:rPr>
          <w:sz w:val="20"/>
          <w:szCs w:val="20"/>
        </w:rPr>
        <w:t>the</w:t>
      </w:r>
      <w:proofErr w:type="spellEnd"/>
      <w:r>
        <w:rPr>
          <w:sz w:val="20"/>
          <w:szCs w:val="20"/>
        </w:rPr>
        <w:t xml:space="preserve"> </w:t>
      </w:r>
      <w:proofErr w:type="spellStart"/>
      <w:r>
        <w:rPr>
          <w:sz w:val="20"/>
          <w:szCs w:val="20"/>
        </w:rPr>
        <w:t>logic</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silencing</w:t>
      </w:r>
      <w:proofErr w:type="spellEnd"/>
      <w:r>
        <w:rPr>
          <w:sz w:val="20"/>
          <w:szCs w:val="20"/>
        </w:rPr>
        <w:t xml:space="preserve">, </w:t>
      </w:r>
      <w:proofErr w:type="spellStart"/>
      <w:r>
        <w:rPr>
          <w:sz w:val="20"/>
          <w:szCs w:val="20"/>
        </w:rPr>
        <w:t>arising</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need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produce</w:t>
      </w:r>
      <w:proofErr w:type="spellEnd"/>
      <w:r>
        <w:rPr>
          <w:sz w:val="20"/>
          <w:szCs w:val="20"/>
        </w:rPr>
        <w:t xml:space="preserve"> </w:t>
      </w:r>
      <w:proofErr w:type="spellStart"/>
      <w:r>
        <w:rPr>
          <w:sz w:val="20"/>
          <w:szCs w:val="20"/>
        </w:rPr>
        <w:t>systematized</w:t>
      </w:r>
      <w:proofErr w:type="spellEnd"/>
      <w:r>
        <w:rPr>
          <w:sz w:val="20"/>
          <w:szCs w:val="20"/>
        </w:rPr>
        <w:t xml:space="preserve"> data </w:t>
      </w:r>
      <w:proofErr w:type="spellStart"/>
      <w:r>
        <w:rPr>
          <w:sz w:val="20"/>
          <w:szCs w:val="20"/>
        </w:rPr>
        <w:t>that</w:t>
      </w:r>
      <w:proofErr w:type="spellEnd"/>
      <w:r>
        <w:rPr>
          <w:sz w:val="20"/>
          <w:szCs w:val="20"/>
        </w:rPr>
        <w:t xml:space="preserve"> </w:t>
      </w:r>
      <w:proofErr w:type="spellStart"/>
      <w:r>
        <w:rPr>
          <w:sz w:val="20"/>
          <w:szCs w:val="20"/>
        </w:rPr>
        <w:t>reveal</w:t>
      </w:r>
      <w:proofErr w:type="spellEnd"/>
      <w:r>
        <w:rPr>
          <w:sz w:val="20"/>
          <w:szCs w:val="20"/>
        </w:rPr>
        <w:t xml:space="preserve"> </w:t>
      </w:r>
      <w:proofErr w:type="spellStart"/>
      <w:r>
        <w:rPr>
          <w:sz w:val="20"/>
          <w:szCs w:val="20"/>
        </w:rPr>
        <w:t>the</w:t>
      </w:r>
      <w:proofErr w:type="spellEnd"/>
      <w:r>
        <w:rPr>
          <w:sz w:val="20"/>
          <w:szCs w:val="20"/>
        </w:rPr>
        <w:t xml:space="preserve"> profile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population</w:t>
      </w:r>
      <w:proofErr w:type="spellEnd"/>
      <w:r>
        <w:rPr>
          <w:sz w:val="20"/>
          <w:szCs w:val="20"/>
        </w:rPr>
        <w:t xml:space="preserve"> </w:t>
      </w:r>
      <w:proofErr w:type="spellStart"/>
      <w:r>
        <w:rPr>
          <w:sz w:val="20"/>
          <w:szCs w:val="20"/>
        </w:rPr>
        <w:t>served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Psychosocial</w:t>
      </w:r>
      <w:proofErr w:type="spellEnd"/>
      <w:r>
        <w:rPr>
          <w:sz w:val="20"/>
          <w:szCs w:val="20"/>
        </w:rPr>
        <w:t xml:space="preserve"> </w:t>
      </w:r>
      <w:proofErr w:type="spellStart"/>
      <w:r>
        <w:rPr>
          <w:sz w:val="20"/>
          <w:szCs w:val="20"/>
        </w:rPr>
        <w:t>Care</w:t>
      </w:r>
      <w:proofErr w:type="spellEnd"/>
      <w:r>
        <w:rPr>
          <w:sz w:val="20"/>
          <w:szCs w:val="20"/>
        </w:rPr>
        <w:t xml:space="preserve"> Network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state</w:t>
      </w:r>
      <w:proofErr w:type="spellEnd"/>
      <w:r>
        <w:rPr>
          <w:sz w:val="20"/>
          <w:szCs w:val="20"/>
        </w:rPr>
        <w:t xml:space="preserve"> </w:t>
      </w:r>
      <w:proofErr w:type="spellStart"/>
      <w:r>
        <w:rPr>
          <w:sz w:val="20"/>
          <w:szCs w:val="20"/>
        </w:rPr>
        <w:t>of</w:t>
      </w:r>
      <w:proofErr w:type="spellEnd"/>
      <w:r>
        <w:rPr>
          <w:sz w:val="20"/>
          <w:szCs w:val="20"/>
        </w:rPr>
        <w:t xml:space="preserve"> </w:t>
      </w:r>
      <w:r>
        <w:rPr>
          <w:sz w:val="20"/>
          <w:szCs w:val="20"/>
        </w:rPr>
        <w:t xml:space="preserve">Rio de Janeiro (RAPS/RJ). The </w:t>
      </w:r>
      <w:proofErr w:type="spellStart"/>
      <w:r>
        <w:rPr>
          <w:sz w:val="20"/>
          <w:szCs w:val="20"/>
        </w:rPr>
        <w:t>relationship</w:t>
      </w:r>
      <w:proofErr w:type="spellEnd"/>
      <w:r>
        <w:rPr>
          <w:sz w:val="20"/>
          <w:szCs w:val="20"/>
        </w:rPr>
        <w:t xml:space="preserve"> </w:t>
      </w:r>
      <w:proofErr w:type="spellStart"/>
      <w:r>
        <w:rPr>
          <w:sz w:val="20"/>
          <w:szCs w:val="20"/>
        </w:rPr>
        <w:t>between</w:t>
      </w:r>
      <w:proofErr w:type="spellEnd"/>
      <w:r>
        <w:rPr>
          <w:sz w:val="20"/>
          <w:szCs w:val="20"/>
        </w:rPr>
        <w:t xml:space="preserve"> </w:t>
      </w:r>
      <w:proofErr w:type="spellStart"/>
      <w:r>
        <w:rPr>
          <w:sz w:val="20"/>
          <w:szCs w:val="20"/>
        </w:rPr>
        <w:t>psychosocial</w:t>
      </w:r>
      <w:proofErr w:type="spellEnd"/>
      <w:r>
        <w:rPr>
          <w:sz w:val="20"/>
          <w:szCs w:val="20"/>
        </w:rPr>
        <w:t xml:space="preserve"> </w:t>
      </w:r>
      <w:proofErr w:type="spellStart"/>
      <w:r>
        <w:rPr>
          <w:sz w:val="20"/>
          <w:szCs w:val="20"/>
        </w:rPr>
        <w:t>care</w:t>
      </w:r>
      <w:proofErr w:type="spellEnd"/>
      <w:r>
        <w:rPr>
          <w:sz w:val="20"/>
          <w:szCs w:val="20"/>
        </w:rPr>
        <w:t xml:space="preserve"> </w:t>
      </w:r>
      <w:proofErr w:type="spellStart"/>
      <w:r>
        <w:rPr>
          <w:sz w:val="20"/>
          <w:szCs w:val="20"/>
        </w:rPr>
        <w:t>and</w:t>
      </w:r>
      <w:proofErr w:type="spellEnd"/>
      <w:r>
        <w:rPr>
          <w:sz w:val="20"/>
          <w:szCs w:val="20"/>
        </w:rPr>
        <w:t xml:space="preserve"> social </w:t>
      </w:r>
      <w:proofErr w:type="spellStart"/>
      <w:r>
        <w:rPr>
          <w:sz w:val="20"/>
          <w:szCs w:val="20"/>
        </w:rPr>
        <w:t>markers</w:t>
      </w:r>
      <w:proofErr w:type="spellEnd"/>
      <w:r>
        <w:rPr>
          <w:sz w:val="20"/>
          <w:szCs w:val="20"/>
        </w:rPr>
        <w:t xml:space="preserve"> </w:t>
      </w:r>
      <w:proofErr w:type="spellStart"/>
      <w:r>
        <w:rPr>
          <w:sz w:val="20"/>
          <w:szCs w:val="20"/>
        </w:rPr>
        <w:t>is</w:t>
      </w:r>
      <w:proofErr w:type="spellEnd"/>
      <w:r>
        <w:rPr>
          <w:sz w:val="20"/>
          <w:szCs w:val="20"/>
        </w:rPr>
        <w:t xml:space="preserve"> a fundamental </w:t>
      </w:r>
      <w:proofErr w:type="spellStart"/>
      <w:r>
        <w:rPr>
          <w:sz w:val="20"/>
          <w:szCs w:val="20"/>
        </w:rPr>
        <w:t>component</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functioning</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both</w:t>
      </w:r>
      <w:proofErr w:type="spellEnd"/>
      <w:r>
        <w:rPr>
          <w:sz w:val="20"/>
          <w:szCs w:val="20"/>
        </w:rPr>
        <w:t xml:space="preserve"> </w:t>
      </w:r>
      <w:proofErr w:type="spellStart"/>
      <w:r>
        <w:rPr>
          <w:sz w:val="20"/>
          <w:szCs w:val="20"/>
        </w:rPr>
        <w:t>Primary</w:t>
      </w:r>
      <w:proofErr w:type="spellEnd"/>
      <w:r>
        <w:rPr>
          <w:sz w:val="20"/>
          <w:szCs w:val="20"/>
        </w:rPr>
        <w:t xml:space="preserve"> Health </w:t>
      </w:r>
      <w:proofErr w:type="spellStart"/>
      <w:r>
        <w:rPr>
          <w:sz w:val="20"/>
          <w:szCs w:val="20"/>
        </w:rPr>
        <w:t>Care</w:t>
      </w:r>
      <w:proofErr w:type="spellEnd"/>
      <w:r>
        <w:rPr>
          <w:sz w:val="20"/>
          <w:szCs w:val="20"/>
        </w:rPr>
        <w:t xml:space="preserve"> (PHC) </w:t>
      </w:r>
      <w:proofErr w:type="spellStart"/>
      <w:r>
        <w:rPr>
          <w:sz w:val="20"/>
          <w:szCs w:val="20"/>
        </w:rPr>
        <w:t>services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Psychosocial</w:t>
      </w:r>
      <w:proofErr w:type="spellEnd"/>
      <w:r>
        <w:rPr>
          <w:sz w:val="20"/>
          <w:szCs w:val="20"/>
        </w:rPr>
        <w:t xml:space="preserve"> </w:t>
      </w:r>
      <w:proofErr w:type="spellStart"/>
      <w:r>
        <w:rPr>
          <w:sz w:val="20"/>
          <w:szCs w:val="20"/>
        </w:rPr>
        <w:t>Care</w:t>
      </w:r>
      <w:proofErr w:type="spellEnd"/>
      <w:r>
        <w:rPr>
          <w:sz w:val="20"/>
          <w:szCs w:val="20"/>
        </w:rPr>
        <w:t xml:space="preserve"> Centers (CAPS). It </w:t>
      </w:r>
      <w:proofErr w:type="spellStart"/>
      <w:r>
        <w:rPr>
          <w:sz w:val="20"/>
          <w:szCs w:val="20"/>
        </w:rPr>
        <w:t>is</w:t>
      </w:r>
      <w:proofErr w:type="spellEnd"/>
      <w:r>
        <w:rPr>
          <w:sz w:val="20"/>
          <w:szCs w:val="20"/>
        </w:rPr>
        <w:t xml:space="preserve"> </w:t>
      </w:r>
      <w:proofErr w:type="spellStart"/>
      <w:r>
        <w:rPr>
          <w:sz w:val="20"/>
          <w:szCs w:val="20"/>
        </w:rPr>
        <w:t>grounded</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concepts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dec</w:t>
      </w:r>
      <w:r>
        <w:rPr>
          <w:sz w:val="20"/>
          <w:szCs w:val="20"/>
        </w:rPr>
        <w:t>oloniality</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intersectionality</w:t>
      </w:r>
      <w:proofErr w:type="spellEnd"/>
      <w:r>
        <w:rPr>
          <w:sz w:val="20"/>
          <w:szCs w:val="20"/>
        </w:rPr>
        <w:t xml:space="preserve"> as </w:t>
      </w:r>
      <w:proofErr w:type="spellStart"/>
      <w:r>
        <w:rPr>
          <w:sz w:val="20"/>
          <w:szCs w:val="20"/>
        </w:rPr>
        <w:t>analytical</w:t>
      </w:r>
      <w:proofErr w:type="spellEnd"/>
      <w:r>
        <w:rPr>
          <w:sz w:val="20"/>
          <w:szCs w:val="20"/>
        </w:rPr>
        <w:t xml:space="preserve"> tools </w:t>
      </w:r>
      <w:proofErr w:type="spellStart"/>
      <w:r>
        <w:rPr>
          <w:sz w:val="20"/>
          <w:szCs w:val="20"/>
        </w:rPr>
        <w:t>to</w:t>
      </w:r>
      <w:proofErr w:type="spellEnd"/>
      <w:r>
        <w:rPr>
          <w:sz w:val="20"/>
          <w:szCs w:val="20"/>
        </w:rPr>
        <w:t xml:space="preserve"> </w:t>
      </w:r>
      <w:proofErr w:type="spellStart"/>
      <w:r>
        <w:rPr>
          <w:sz w:val="20"/>
          <w:szCs w:val="20"/>
        </w:rPr>
        <w:t>uncover</w:t>
      </w:r>
      <w:proofErr w:type="spellEnd"/>
      <w:r>
        <w:rPr>
          <w:sz w:val="20"/>
          <w:szCs w:val="20"/>
        </w:rPr>
        <w:t xml:space="preserve"> </w:t>
      </w:r>
      <w:proofErr w:type="spellStart"/>
      <w:r>
        <w:rPr>
          <w:sz w:val="20"/>
          <w:szCs w:val="20"/>
        </w:rPr>
        <w:t>complex</w:t>
      </w:r>
      <w:proofErr w:type="spellEnd"/>
      <w:r>
        <w:rPr>
          <w:sz w:val="20"/>
          <w:szCs w:val="20"/>
        </w:rPr>
        <w:t xml:space="preserve"> social </w:t>
      </w:r>
      <w:proofErr w:type="spellStart"/>
      <w:r>
        <w:rPr>
          <w:sz w:val="20"/>
          <w:szCs w:val="20"/>
        </w:rPr>
        <w:t>determinants</w:t>
      </w:r>
      <w:proofErr w:type="spellEnd"/>
      <w:r>
        <w:rPr>
          <w:sz w:val="20"/>
          <w:szCs w:val="20"/>
        </w:rPr>
        <w:t xml:space="preserve">. The </w:t>
      </w:r>
      <w:proofErr w:type="spellStart"/>
      <w:r>
        <w:rPr>
          <w:sz w:val="20"/>
          <w:szCs w:val="20"/>
        </w:rPr>
        <w:t>methodology</w:t>
      </w:r>
      <w:proofErr w:type="spellEnd"/>
      <w:r>
        <w:rPr>
          <w:sz w:val="20"/>
          <w:szCs w:val="20"/>
        </w:rPr>
        <w:t xml:space="preserve">, </w:t>
      </w:r>
      <w:proofErr w:type="spellStart"/>
      <w:r>
        <w:rPr>
          <w:sz w:val="20"/>
          <w:szCs w:val="20"/>
        </w:rPr>
        <w:t>inspired</w:t>
      </w:r>
      <w:proofErr w:type="spellEnd"/>
      <w:r>
        <w:rPr>
          <w:sz w:val="20"/>
          <w:szCs w:val="20"/>
        </w:rPr>
        <w:t xml:space="preserve"> </w:t>
      </w:r>
      <w:proofErr w:type="spellStart"/>
      <w:r>
        <w:rPr>
          <w:sz w:val="20"/>
          <w:szCs w:val="20"/>
        </w:rPr>
        <w:t>by</w:t>
      </w:r>
      <w:proofErr w:type="spellEnd"/>
      <w:r>
        <w:rPr>
          <w:sz w:val="20"/>
          <w:szCs w:val="20"/>
        </w:rPr>
        <w:t xml:space="preserve"> popular </w:t>
      </w:r>
      <w:proofErr w:type="spellStart"/>
      <w:r>
        <w:rPr>
          <w:sz w:val="20"/>
          <w:szCs w:val="20"/>
        </w:rPr>
        <w:t>and</w:t>
      </w:r>
      <w:proofErr w:type="spellEnd"/>
      <w:r>
        <w:rPr>
          <w:sz w:val="20"/>
          <w:szCs w:val="20"/>
        </w:rPr>
        <w:t xml:space="preserve"> </w:t>
      </w:r>
      <w:proofErr w:type="spellStart"/>
      <w:r>
        <w:rPr>
          <w:sz w:val="20"/>
          <w:szCs w:val="20"/>
        </w:rPr>
        <w:t>continuous</w:t>
      </w:r>
      <w:proofErr w:type="spellEnd"/>
      <w:r>
        <w:rPr>
          <w:sz w:val="20"/>
          <w:szCs w:val="20"/>
        </w:rPr>
        <w:t xml:space="preserve"> </w:t>
      </w:r>
      <w:proofErr w:type="spellStart"/>
      <w:r>
        <w:rPr>
          <w:sz w:val="20"/>
          <w:szCs w:val="20"/>
        </w:rPr>
        <w:t>education</w:t>
      </w:r>
      <w:proofErr w:type="spellEnd"/>
      <w:r>
        <w:rPr>
          <w:sz w:val="20"/>
          <w:szCs w:val="20"/>
        </w:rPr>
        <w:t xml:space="preserve">, </w:t>
      </w:r>
      <w:proofErr w:type="spellStart"/>
      <w:r>
        <w:rPr>
          <w:sz w:val="20"/>
          <w:szCs w:val="20"/>
        </w:rPr>
        <w:t>engages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create</w:t>
      </w:r>
      <w:proofErr w:type="spellEnd"/>
      <w:r>
        <w:rPr>
          <w:sz w:val="20"/>
          <w:szCs w:val="20"/>
        </w:rPr>
        <w:t xml:space="preserve"> </w:t>
      </w:r>
      <w:proofErr w:type="spellStart"/>
      <w:r>
        <w:rPr>
          <w:sz w:val="20"/>
          <w:szCs w:val="20"/>
        </w:rPr>
        <w:t>spaces</w:t>
      </w:r>
      <w:proofErr w:type="spellEnd"/>
      <w:r>
        <w:rPr>
          <w:sz w:val="20"/>
          <w:szCs w:val="20"/>
        </w:rPr>
        <w:t xml:space="preserve"> for </w:t>
      </w:r>
      <w:proofErr w:type="spellStart"/>
      <w:r>
        <w:rPr>
          <w:sz w:val="20"/>
          <w:szCs w:val="20"/>
        </w:rPr>
        <w:t>change</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Brazilian</w:t>
      </w:r>
      <w:proofErr w:type="spellEnd"/>
      <w:r>
        <w:rPr>
          <w:sz w:val="20"/>
          <w:szCs w:val="20"/>
        </w:rPr>
        <w:t xml:space="preserve"> reality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territories</w:t>
      </w:r>
      <w:proofErr w:type="spellEnd"/>
      <w:r>
        <w:rPr>
          <w:sz w:val="20"/>
          <w:szCs w:val="20"/>
        </w:rPr>
        <w:t xml:space="preserve"> </w:t>
      </w:r>
      <w:proofErr w:type="spellStart"/>
      <w:r>
        <w:rPr>
          <w:sz w:val="20"/>
          <w:szCs w:val="20"/>
        </w:rPr>
        <w:t>where</w:t>
      </w:r>
      <w:proofErr w:type="spellEnd"/>
      <w:r>
        <w:rPr>
          <w:sz w:val="20"/>
          <w:szCs w:val="20"/>
        </w:rPr>
        <w:t xml:space="preserve"> </w:t>
      </w:r>
      <w:proofErr w:type="spellStart"/>
      <w:r>
        <w:rPr>
          <w:sz w:val="20"/>
          <w:szCs w:val="20"/>
        </w:rPr>
        <w:t>interve</w:t>
      </w:r>
      <w:r>
        <w:rPr>
          <w:sz w:val="20"/>
          <w:szCs w:val="20"/>
        </w:rPr>
        <w:t>ntions</w:t>
      </w:r>
      <w:proofErr w:type="spellEnd"/>
      <w:r>
        <w:rPr>
          <w:sz w:val="20"/>
          <w:szCs w:val="20"/>
        </w:rPr>
        <w:t xml:space="preserve"> </w:t>
      </w:r>
      <w:proofErr w:type="spellStart"/>
      <w:r>
        <w:rPr>
          <w:sz w:val="20"/>
          <w:szCs w:val="20"/>
        </w:rPr>
        <w:t>occur</w:t>
      </w:r>
      <w:proofErr w:type="spellEnd"/>
      <w:r>
        <w:rPr>
          <w:sz w:val="20"/>
          <w:szCs w:val="20"/>
        </w:rPr>
        <w:t xml:space="preserve">. </w:t>
      </w:r>
      <w:proofErr w:type="spellStart"/>
      <w:r>
        <w:rPr>
          <w:sz w:val="20"/>
          <w:szCs w:val="20"/>
        </w:rPr>
        <w:t>Thus</w:t>
      </w:r>
      <w:proofErr w:type="spellEnd"/>
      <w:r>
        <w:rPr>
          <w:sz w:val="20"/>
          <w:szCs w:val="20"/>
        </w:rPr>
        <w:t xml:space="preserve">, it </w:t>
      </w:r>
      <w:proofErr w:type="spellStart"/>
      <w:r>
        <w:rPr>
          <w:sz w:val="20"/>
          <w:szCs w:val="20"/>
        </w:rPr>
        <w:t>is</w:t>
      </w:r>
      <w:proofErr w:type="spellEnd"/>
      <w:r>
        <w:rPr>
          <w:sz w:val="20"/>
          <w:szCs w:val="20"/>
        </w:rPr>
        <w:t xml:space="preserve"> a </w:t>
      </w:r>
      <w:proofErr w:type="spellStart"/>
      <w:r>
        <w:rPr>
          <w:sz w:val="20"/>
          <w:szCs w:val="20"/>
        </w:rPr>
        <w:t>research</w:t>
      </w:r>
      <w:proofErr w:type="spellEnd"/>
      <w:r>
        <w:rPr>
          <w:sz w:val="20"/>
          <w:szCs w:val="20"/>
        </w:rPr>
        <w:t xml:space="preserve"> tool </w:t>
      </w:r>
      <w:proofErr w:type="spellStart"/>
      <w:r>
        <w:rPr>
          <w:sz w:val="20"/>
          <w:szCs w:val="20"/>
        </w:rPr>
        <w:t>that</w:t>
      </w:r>
      <w:proofErr w:type="spellEnd"/>
      <w:r>
        <w:rPr>
          <w:sz w:val="20"/>
          <w:szCs w:val="20"/>
        </w:rPr>
        <w:t xml:space="preserve"> </w:t>
      </w:r>
      <w:proofErr w:type="spellStart"/>
      <w:r>
        <w:rPr>
          <w:sz w:val="20"/>
          <w:szCs w:val="20"/>
        </w:rPr>
        <w:t>simultaneously</w:t>
      </w:r>
      <w:proofErr w:type="spellEnd"/>
      <w:r>
        <w:rPr>
          <w:sz w:val="20"/>
          <w:szCs w:val="20"/>
        </w:rPr>
        <w:t xml:space="preserve"> </w:t>
      </w:r>
      <w:proofErr w:type="spellStart"/>
      <w:r>
        <w:rPr>
          <w:sz w:val="20"/>
          <w:szCs w:val="20"/>
        </w:rPr>
        <w:t>investigates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promotes</w:t>
      </w:r>
      <w:proofErr w:type="spellEnd"/>
      <w:r>
        <w:rPr>
          <w:sz w:val="20"/>
          <w:szCs w:val="20"/>
        </w:rPr>
        <w:t xml:space="preserve"> </w:t>
      </w:r>
      <w:proofErr w:type="spellStart"/>
      <w:r>
        <w:rPr>
          <w:sz w:val="20"/>
          <w:szCs w:val="20"/>
        </w:rPr>
        <w:t>critical</w:t>
      </w:r>
      <w:proofErr w:type="spellEnd"/>
      <w:r>
        <w:rPr>
          <w:sz w:val="20"/>
          <w:szCs w:val="20"/>
        </w:rPr>
        <w:t xml:space="preserve"> </w:t>
      </w:r>
      <w:proofErr w:type="spellStart"/>
      <w:r>
        <w:rPr>
          <w:sz w:val="20"/>
          <w:szCs w:val="20"/>
        </w:rPr>
        <w:t>reflection</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operationalization</w:t>
      </w:r>
      <w:proofErr w:type="spellEnd"/>
      <w:r>
        <w:rPr>
          <w:sz w:val="20"/>
          <w:szCs w:val="20"/>
        </w:rPr>
        <w:t xml:space="preserve"> </w:t>
      </w:r>
      <w:proofErr w:type="spellStart"/>
      <w:r>
        <w:rPr>
          <w:sz w:val="20"/>
          <w:szCs w:val="20"/>
        </w:rPr>
        <w:t>of</w:t>
      </w:r>
      <w:proofErr w:type="spellEnd"/>
      <w:r>
        <w:rPr>
          <w:sz w:val="20"/>
          <w:szCs w:val="20"/>
        </w:rPr>
        <w:t xml:space="preserve"> RAPS, </w:t>
      </w:r>
      <w:proofErr w:type="spellStart"/>
      <w:r>
        <w:rPr>
          <w:sz w:val="20"/>
          <w:szCs w:val="20"/>
        </w:rPr>
        <w:t>encouraging</w:t>
      </w:r>
      <w:proofErr w:type="spellEnd"/>
      <w:r>
        <w:rPr>
          <w:sz w:val="20"/>
          <w:szCs w:val="20"/>
        </w:rPr>
        <w:t xml:space="preserve"> a more </w:t>
      </w:r>
      <w:proofErr w:type="spellStart"/>
      <w:r>
        <w:rPr>
          <w:sz w:val="20"/>
          <w:szCs w:val="20"/>
        </w:rPr>
        <w:t>comprehensive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equitable</w:t>
      </w:r>
      <w:proofErr w:type="spellEnd"/>
      <w:r>
        <w:rPr>
          <w:sz w:val="20"/>
          <w:szCs w:val="20"/>
        </w:rPr>
        <w:t xml:space="preserve"> approach </w:t>
      </w:r>
      <w:proofErr w:type="spellStart"/>
      <w:r>
        <w:rPr>
          <w:sz w:val="20"/>
          <w:szCs w:val="20"/>
        </w:rPr>
        <w:t>to</w:t>
      </w:r>
      <w:proofErr w:type="spellEnd"/>
      <w:r>
        <w:rPr>
          <w:sz w:val="20"/>
          <w:szCs w:val="20"/>
        </w:rPr>
        <w:t xml:space="preserve"> </w:t>
      </w:r>
      <w:proofErr w:type="spellStart"/>
      <w:r>
        <w:rPr>
          <w:sz w:val="20"/>
          <w:szCs w:val="20"/>
        </w:rPr>
        <w:t>health</w:t>
      </w:r>
      <w:proofErr w:type="spellEnd"/>
      <w:r>
        <w:rPr>
          <w:sz w:val="20"/>
          <w:szCs w:val="20"/>
        </w:rPr>
        <w:t xml:space="preserve"> </w:t>
      </w:r>
      <w:proofErr w:type="spellStart"/>
      <w:r>
        <w:rPr>
          <w:sz w:val="20"/>
          <w:szCs w:val="20"/>
        </w:rPr>
        <w:t>care</w:t>
      </w:r>
      <w:proofErr w:type="spellEnd"/>
      <w:r>
        <w:rPr>
          <w:sz w:val="20"/>
          <w:szCs w:val="20"/>
        </w:rPr>
        <w:t>.</w:t>
      </w:r>
    </w:p>
    <w:p w:rsidR="00AB796D" w:rsidRDefault="00895C09" w:rsidP="00401E40">
      <w:pPr>
        <w:spacing w:line="240" w:lineRule="auto"/>
        <w:ind w:leftChars="0" w:left="2880" w:firstLineChars="0" w:firstLine="0"/>
        <w:jc w:val="both"/>
        <w:rPr>
          <w:sz w:val="20"/>
          <w:szCs w:val="20"/>
        </w:rPr>
      </w:pPr>
      <w:r>
        <w:rPr>
          <w:b/>
          <w:sz w:val="20"/>
          <w:szCs w:val="20"/>
        </w:rPr>
        <w:t>Keywords</w:t>
      </w:r>
      <w:r>
        <w:rPr>
          <w:sz w:val="20"/>
          <w:szCs w:val="20"/>
        </w:rPr>
        <w:t xml:space="preserve">: </w:t>
      </w:r>
      <w:proofErr w:type="spellStart"/>
      <w:r>
        <w:rPr>
          <w:sz w:val="20"/>
          <w:szCs w:val="20"/>
        </w:rPr>
        <w:t>Psychosocial</w:t>
      </w:r>
      <w:proofErr w:type="spellEnd"/>
      <w:r>
        <w:rPr>
          <w:sz w:val="20"/>
          <w:szCs w:val="20"/>
        </w:rPr>
        <w:t xml:space="preserve"> </w:t>
      </w:r>
      <w:proofErr w:type="spellStart"/>
      <w:r>
        <w:rPr>
          <w:sz w:val="20"/>
          <w:szCs w:val="20"/>
        </w:rPr>
        <w:t>Care</w:t>
      </w:r>
      <w:proofErr w:type="spellEnd"/>
      <w:r>
        <w:rPr>
          <w:sz w:val="20"/>
          <w:szCs w:val="20"/>
        </w:rPr>
        <w:t xml:space="preserve"> Network</w:t>
      </w:r>
      <w:r>
        <w:rPr>
          <w:sz w:val="20"/>
          <w:szCs w:val="20"/>
        </w:rPr>
        <w:t xml:space="preserve">; </w:t>
      </w:r>
      <w:r>
        <w:rPr>
          <w:sz w:val="20"/>
          <w:szCs w:val="20"/>
        </w:rPr>
        <w:t>Ment</w:t>
      </w:r>
      <w:r>
        <w:rPr>
          <w:sz w:val="20"/>
          <w:szCs w:val="20"/>
        </w:rPr>
        <w:t>al Health</w:t>
      </w:r>
      <w:r>
        <w:rPr>
          <w:sz w:val="20"/>
          <w:szCs w:val="20"/>
        </w:rPr>
        <w:t xml:space="preserve">; </w:t>
      </w:r>
      <w:proofErr w:type="spellStart"/>
      <w:r>
        <w:rPr>
          <w:sz w:val="20"/>
          <w:szCs w:val="20"/>
        </w:rPr>
        <w:t>Intersectionality</w:t>
      </w:r>
      <w:proofErr w:type="spellEnd"/>
      <w:r>
        <w:rPr>
          <w:sz w:val="20"/>
          <w:szCs w:val="20"/>
        </w:rPr>
        <w:t xml:space="preserve">; Popular </w:t>
      </w:r>
      <w:proofErr w:type="spellStart"/>
      <w:r>
        <w:rPr>
          <w:sz w:val="20"/>
          <w:szCs w:val="20"/>
        </w:rPr>
        <w:t>Education</w:t>
      </w:r>
      <w:proofErr w:type="spellEnd"/>
      <w:r>
        <w:rPr>
          <w:sz w:val="20"/>
          <w:szCs w:val="20"/>
        </w:rPr>
        <w:t>.</w:t>
      </w:r>
    </w:p>
    <w:p w:rsidR="00AB796D" w:rsidRDefault="00AB796D">
      <w:pPr>
        <w:spacing w:line="360" w:lineRule="auto"/>
        <w:ind w:left="0" w:hanging="2"/>
        <w:jc w:val="both"/>
        <w:rPr>
          <w:sz w:val="24"/>
          <w:szCs w:val="24"/>
        </w:rPr>
      </w:pPr>
    </w:p>
    <w:p w:rsidR="00AB796D" w:rsidRDefault="00895C09">
      <w:pPr>
        <w:numPr>
          <w:ilvl w:val="0"/>
          <w:numId w:val="1"/>
        </w:numPr>
        <w:spacing w:line="360" w:lineRule="auto"/>
        <w:ind w:left="0" w:hanging="2"/>
        <w:rPr>
          <w:b/>
          <w:sz w:val="24"/>
          <w:szCs w:val="24"/>
        </w:rPr>
      </w:pPr>
      <w:r>
        <w:rPr>
          <w:b/>
          <w:sz w:val="24"/>
          <w:szCs w:val="24"/>
        </w:rPr>
        <w:t>INTRODUÇÃO</w:t>
      </w:r>
    </w:p>
    <w:p w:rsidR="00AB796D" w:rsidRDefault="00895C09" w:rsidP="00401E40">
      <w:pPr>
        <w:spacing w:line="360" w:lineRule="auto"/>
        <w:ind w:leftChars="0" w:left="0" w:firstLineChars="0" w:firstLine="720"/>
        <w:jc w:val="both"/>
        <w:rPr>
          <w:sz w:val="24"/>
          <w:szCs w:val="24"/>
        </w:rPr>
      </w:pPr>
      <w:r>
        <w:rPr>
          <w:sz w:val="24"/>
          <w:szCs w:val="24"/>
        </w:rPr>
        <w:t>O Censo Psicossocial dos usuários dos serviços de Saúde Mental do estado do Rio de Janeiro é primeiramente idealizado e construído pelo Projeto de Pesquisa e Extensão Luta Antimanicomial e Femini</w:t>
      </w:r>
      <w:r>
        <w:rPr>
          <w:sz w:val="24"/>
          <w:szCs w:val="24"/>
        </w:rPr>
        <w:t>smos, vinculado ao Departamento de Métodos e Técnicas da Escola de Serviço Social da Universidade Federal do Rio de Janeiro em parceria da Coordenação de Atenção Psicossocial (COOCAPS)  da Secretaria Estadual de Saúde (SES) do Rio de Janeiro, levando em co</w:t>
      </w:r>
      <w:r>
        <w:rPr>
          <w:sz w:val="24"/>
          <w:szCs w:val="24"/>
        </w:rPr>
        <w:t xml:space="preserve">nsideração uma situação emergencial encontrada nos Centros de Atenção Psicossocial que desenvolviam a atuação do cuidado sem compreender a relevância dos marcadores sociais. </w:t>
      </w:r>
    </w:p>
    <w:p w:rsidR="00AB796D" w:rsidRDefault="00895C09" w:rsidP="00401E40">
      <w:pPr>
        <w:spacing w:line="360" w:lineRule="auto"/>
        <w:ind w:leftChars="0" w:left="0" w:firstLineChars="0" w:firstLine="720"/>
        <w:jc w:val="both"/>
        <w:rPr>
          <w:sz w:val="24"/>
          <w:szCs w:val="24"/>
        </w:rPr>
      </w:pPr>
      <w:r>
        <w:rPr>
          <w:sz w:val="24"/>
          <w:szCs w:val="24"/>
        </w:rPr>
        <w:t xml:space="preserve">Dessa maneira, o objetivo do projeto se define por meio da construção do perfil dos usuários dos serviços em saúde mental atendidos pela Rede de Atenção Psicossocial (RAPS). Além disso, se propôs a elaborar oficinas de sensibilização com </w:t>
      </w:r>
      <w:r>
        <w:rPr>
          <w:sz w:val="24"/>
          <w:szCs w:val="24"/>
        </w:rPr>
        <w:lastRenderedPageBreak/>
        <w:t>os profissionais a</w:t>
      </w:r>
      <w:r>
        <w:rPr>
          <w:sz w:val="24"/>
          <w:szCs w:val="24"/>
        </w:rPr>
        <w:t xml:space="preserve">tuantes dessas instituições, proporcionando o compartilhamento dos saberes pela via da educação permanente e da dialogicidade presente no exercício </w:t>
      </w:r>
      <w:r>
        <w:rPr>
          <w:sz w:val="24"/>
          <w:szCs w:val="24"/>
        </w:rPr>
        <w:t>da educação popular, ampliando-se o impacto para além dos dados imediatos.</w:t>
      </w:r>
    </w:p>
    <w:p w:rsidR="00AB796D" w:rsidRDefault="00895C09" w:rsidP="00401E40">
      <w:pPr>
        <w:spacing w:line="360" w:lineRule="auto"/>
        <w:ind w:leftChars="0" w:left="0" w:firstLineChars="0" w:firstLine="720"/>
        <w:jc w:val="both"/>
        <w:rPr>
          <w:sz w:val="24"/>
          <w:szCs w:val="24"/>
        </w:rPr>
      </w:pPr>
      <w:r>
        <w:rPr>
          <w:sz w:val="24"/>
          <w:szCs w:val="24"/>
        </w:rPr>
        <w:t>Ao definir a linha metodológi</w:t>
      </w:r>
      <w:r>
        <w:rPr>
          <w:sz w:val="24"/>
          <w:szCs w:val="24"/>
        </w:rPr>
        <w:t>ca de embasamento teórico, utilizaram-se os pressupostos da decolonialidade e da interseccionalidade como ferramenta analítica. Essa abordagem nos permite reconhecer os marcadores sociais da diferença – como gênero, raça, classe social, orientação sexual –</w:t>
      </w:r>
      <w:r>
        <w:rPr>
          <w:sz w:val="24"/>
          <w:szCs w:val="24"/>
        </w:rPr>
        <w:t xml:space="preserve"> em seus entrelaçamentos. Em constantes interações presentes também no contexto da saúde coletiva, os marcadores sociais moldam as experiências de trabalho nas instituições e, consequentemente, impactam a saúde mental dos indivíduos.</w:t>
      </w:r>
    </w:p>
    <w:p w:rsidR="00AB796D" w:rsidRDefault="00895C09" w:rsidP="00401E40">
      <w:pPr>
        <w:spacing w:line="360" w:lineRule="auto"/>
        <w:ind w:leftChars="0" w:left="0" w:firstLineChars="0" w:firstLine="720"/>
        <w:jc w:val="both"/>
        <w:rPr>
          <w:sz w:val="24"/>
          <w:szCs w:val="24"/>
        </w:rPr>
      </w:pPr>
      <w:r>
        <w:rPr>
          <w:sz w:val="24"/>
          <w:szCs w:val="24"/>
        </w:rPr>
        <w:t>O presente trabalho ab</w:t>
      </w:r>
      <w:r>
        <w:rPr>
          <w:sz w:val="24"/>
          <w:szCs w:val="24"/>
        </w:rPr>
        <w:t xml:space="preserve">orda primeiramente os elementos da materialidade composta pelas demandas </w:t>
      </w:r>
      <w:r w:rsidR="00401E40">
        <w:rPr>
          <w:sz w:val="24"/>
          <w:szCs w:val="24"/>
        </w:rPr>
        <w:t>sócio históricas</w:t>
      </w:r>
      <w:r>
        <w:rPr>
          <w:sz w:val="24"/>
          <w:szCs w:val="24"/>
        </w:rPr>
        <w:t xml:space="preserve"> oriundas da atenção psicossocial, em relação às desigualdades sociais. Esse complexo conjunto de fatores justificam a relevância da criação e construção do Censo Psic</w:t>
      </w:r>
      <w:r>
        <w:rPr>
          <w:sz w:val="24"/>
          <w:szCs w:val="24"/>
        </w:rPr>
        <w:t xml:space="preserve">ossocial. Além disso, apresenta-se aqui a correlação dos princípios da educação popular e a sua imbricação, inclusive legislativa, com o campo da saúde pública. </w:t>
      </w:r>
    </w:p>
    <w:p w:rsidR="00AB796D" w:rsidRDefault="00895C09" w:rsidP="00401E40">
      <w:pPr>
        <w:spacing w:line="360" w:lineRule="auto"/>
        <w:ind w:leftChars="0" w:left="0" w:firstLineChars="0" w:firstLine="720"/>
        <w:jc w:val="both"/>
        <w:rPr>
          <w:sz w:val="24"/>
          <w:szCs w:val="24"/>
        </w:rPr>
      </w:pPr>
      <w:r>
        <w:rPr>
          <w:sz w:val="24"/>
          <w:szCs w:val="24"/>
        </w:rPr>
        <w:t>Em segundo momento, discorre-se sobre o Censo Psicossocial e os seus fundamentos teóricos, inc</w:t>
      </w:r>
      <w:r>
        <w:rPr>
          <w:sz w:val="24"/>
          <w:szCs w:val="24"/>
        </w:rPr>
        <w:t>orporando como princípios a educação popular, a interseccionalidade e a decolonialidade. Tais fundamentos constituíram a base para a formulação de ferramentas necessárias para a construção do Censo. Em seguida, são apresentadas as oficinas de sensibilizaçã</w:t>
      </w:r>
      <w:r>
        <w:rPr>
          <w:sz w:val="24"/>
          <w:szCs w:val="24"/>
        </w:rPr>
        <w:t>o, realizadas em consonância com a educação permanente em saúde para os profissionais da RAPS, e como foram estruturadas pela equipe.</w:t>
      </w:r>
    </w:p>
    <w:p w:rsidR="00AB796D" w:rsidRDefault="00895C09" w:rsidP="00401E40">
      <w:pPr>
        <w:spacing w:line="360" w:lineRule="auto"/>
        <w:ind w:leftChars="0" w:left="0" w:firstLineChars="0" w:firstLine="720"/>
        <w:jc w:val="both"/>
        <w:rPr>
          <w:sz w:val="24"/>
          <w:szCs w:val="24"/>
        </w:rPr>
      </w:pPr>
      <w:r>
        <w:rPr>
          <w:sz w:val="24"/>
          <w:szCs w:val="24"/>
        </w:rPr>
        <w:t xml:space="preserve">Após a descrição </w:t>
      </w:r>
      <w:r>
        <w:rPr>
          <w:sz w:val="24"/>
          <w:szCs w:val="24"/>
        </w:rPr>
        <w:t>da fase de aplicação das oficinas de sensibilização nas atividades de campo, será abordada a análise d</w:t>
      </w:r>
      <w:r>
        <w:rPr>
          <w:sz w:val="24"/>
          <w:szCs w:val="24"/>
        </w:rPr>
        <w:t xml:space="preserve">a equipe acerca das percepções construídas na realização dessas atividades com os profissionais. Assim, formulando as primeiras impressões em relação ao conteúdo discursivo </w:t>
      </w:r>
      <w:r w:rsidR="00401E40">
        <w:rPr>
          <w:sz w:val="24"/>
          <w:szCs w:val="24"/>
        </w:rPr>
        <w:t>construído pelos</w:t>
      </w:r>
      <w:r>
        <w:rPr>
          <w:sz w:val="24"/>
          <w:szCs w:val="24"/>
        </w:rPr>
        <w:t xml:space="preserve"> trabalhadores/as ao entrar em contato com o conteúdo abordado sob</w:t>
      </w:r>
      <w:r>
        <w:rPr>
          <w:sz w:val="24"/>
          <w:szCs w:val="24"/>
        </w:rPr>
        <w:t>re os marcadores sociais.</w:t>
      </w:r>
    </w:p>
    <w:p w:rsidR="00AB796D" w:rsidRDefault="00AB796D">
      <w:pPr>
        <w:spacing w:line="360" w:lineRule="auto"/>
        <w:ind w:left="0" w:hanging="2"/>
        <w:jc w:val="both"/>
        <w:rPr>
          <w:sz w:val="24"/>
          <w:szCs w:val="24"/>
        </w:rPr>
      </w:pPr>
    </w:p>
    <w:p w:rsidR="00AB796D" w:rsidRDefault="00895C09">
      <w:pPr>
        <w:spacing w:line="360" w:lineRule="auto"/>
        <w:ind w:left="0" w:hanging="2"/>
        <w:jc w:val="both"/>
        <w:rPr>
          <w:b/>
          <w:sz w:val="24"/>
          <w:szCs w:val="24"/>
        </w:rPr>
      </w:pPr>
      <w:r>
        <w:rPr>
          <w:b/>
          <w:sz w:val="24"/>
          <w:szCs w:val="24"/>
        </w:rPr>
        <w:t>2</w:t>
      </w:r>
      <w:r>
        <w:rPr>
          <w:b/>
          <w:sz w:val="24"/>
          <w:szCs w:val="24"/>
        </w:rPr>
        <w:t>. SAÚDE MENTAL, ATENÇÃO PSICOSSOCIAL E INTERSECCIONALIDADE</w:t>
      </w:r>
    </w:p>
    <w:p w:rsidR="00AB796D" w:rsidRDefault="00895C09" w:rsidP="00401E40">
      <w:pPr>
        <w:spacing w:line="360" w:lineRule="auto"/>
        <w:ind w:leftChars="0" w:left="0" w:firstLineChars="0" w:firstLine="720"/>
        <w:jc w:val="both"/>
      </w:pPr>
      <w:r>
        <w:rPr>
          <w:sz w:val="24"/>
          <w:szCs w:val="24"/>
        </w:rPr>
        <w:t>A Interseccionalidade permite compreender que a experiência humana não se limita a uma única dimensão. Raça, classe e gênero, tomados então como categorias de análise nos ajudarão a compreender as dinâmicas de dominação e subordinação em suas bases. A comp</w:t>
      </w:r>
      <w:r>
        <w:rPr>
          <w:sz w:val="24"/>
          <w:szCs w:val="24"/>
        </w:rPr>
        <w:t>lexidade da vida dificilmente pode ser reduzida em análise por um único fator. E ainda, os diversos fatores envolvidos nas trocas sociais não podem ser hierarquizados ou dicotomizados</w:t>
      </w:r>
      <w:r>
        <w:t>.</w:t>
      </w:r>
    </w:p>
    <w:p w:rsidR="00AB796D" w:rsidRDefault="00895C09" w:rsidP="00401E40">
      <w:pPr>
        <w:spacing w:line="360" w:lineRule="auto"/>
        <w:ind w:leftChars="0" w:left="0" w:firstLineChars="0" w:firstLine="720"/>
        <w:jc w:val="both"/>
      </w:pPr>
      <w:r>
        <w:rPr>
          <w:sz w:val="24"/>
          <w:szCs w:val="24"/>
        </w:rPr>
        <w:t>A falta de dados sobre raça, gênero e território na saúde mental eviden</w:t>
      </w:r>
      <w:r>
        <w:rPr>
          <w:sz w:val="24"/>
          <w:szCs w:val="24"/>
        </w:rPr>
        <w:t>cia uma decisão política que intensifica as desigualdades históricas.  Trata-se de uma estratégia de manutenção da branquitude como norma e do racismo institucional como estrutura. Nos equipamentos de saúde mental em nosso país, a discussão sobre a temátic</w:t>
      </w:r>
      <w:r>
        <w:rPr>
          <w:sz w:val="24"/>
          <w:szCs w:val="24"/>
        </w:rPr>
        <w:t xml:space="preserve">a étnico-racial não faz parte da rotina (David; Vincentin, 2020), ainda que a maior parcela de usuários atendidos pelo Sistema Único de Saúde seja a população negra (Brasil, 2017b). </w:t>
      </w:r>
    </w:p>
    <w:p w:rsidR="00AB796D" w:rsidRDefault="00895C09" w:rsidP="00401E40">
      <w:pPr>
        <w:spacing w:line="360" w:lineRule="auto"/>
        <w:ind w:leftChars="0" w:left="0" w:firstLineChars="0" w:firstLine="720"/>
        <w:jc w:val="both"/>
        <w:rPr>
          <w:sz w:val="24"/>
          <w:szCs w:val="24"/>
        </w:rPr>
      </w:pPr>
      <w:r>
        <w:rPr>
          <w:sz w:val="24"/>
          <w:szCs w:val="24"/>
        </w:rPr>
        <w:t>As relações entre a atenção psicossocial e os marcadores sociais constitu</w:t>
      </w:r>
      <w:r>
        <w:rPr>
          <w:sz w:val="24"/>
          <w:szCs w:val="24"/>
        </w:rPr>
        <w:t xml:space="preserve">em elementos estruturantes na operacionalização dos serviços de Atenção Primária à Saúde (APS) e dos Centros de Atenção Psicossocial (CAPS). Essa imbricação visa a um cuidado integral, multiprofissional e interdisciplinar, direcionado à população usuária. </w:t>
      </w:r>
      <w:r>
        <w:rPr>
          <w:sz w:val="24"/>
          <w:szCs w:val="24"/>
        </w:rPr>
        <w:t>Não obstante a relevância intrínseca desses marcadores, observa-se uma lacuna na abordagem de certas temáticas. Tal constatação persiste mesmo diante da instituição, pelo Ministério da Saúde, da Política Nacional de Saúde Integral da População Negra (PNSIP</w:t>
      </w:r>
      <w:r>
        <w:rPr>
          <w:sz w:val="24"/>
          <w:szCs w:val="24"/>
        </w:rPr>
        <w:t xml:space="preserve">N). </w:t>
      </w:r>
    </w:p>
    <w:p w:rsidR="00AB796D" w:rsidRDefault="00895C09" w:rsidP="00401E40">
      <w:pPr>
        <w:spacing w:line="360" w:lineRule="auto"/>
        <w:ind w:leftChars="0" w:left="0" w:firstLineChars="0" w:firstLine="720"/>
        <w:jc w:val="both"/>
        <w:rPr>
          <w:sz w:val="24"/>
          <w:szCs w:val="24"/>
        </w:rPr>
      </w:pPr>
      <w:r>
        <w:rPr>
          <w:sz w:val="24"/>
          <w:szCs w:val="24"/>
        </w:rPr>
        <w:t>A criação dessa política se deu em virtude da identificação de que a população negra representa a maior parcela de usuários atendidos pelo Sistema Único de Saúde (Brasil, 2017b), evidenciando a necessidade premente de um olhar mais aprofundado sobre a</w:t>
      </w:r>
      <w:r>
        <w:rPr>
          <w:sz w:val="24"/>
          <w:szCs w:val="24"/>
        </w:rPr>
        <w:t xml:space="preserve">s especificidades de saúde dessa parcela da população. A oposição às lógicas de opressão estruturadas em torno da cor, do gênero e das assimetrias de poder revela um compromisso ético-político com a superação de diversas problemáticas </w:t>
      </w:r>
      <w:r>
        <w:rPr>
          <w:sz w:val="24"/>
          <w:szCs w:val="24"/>
        </w:rPr>
        <w:lastRenderedPageBreak/>
        <w:t xml:space="preserve">sociais. No campo da </w:t>
      </w:r>
      <w:r>
        <w:rPr>
          <w:sz w:val="24"/>
          <w:szCs w:val="24"/>
        </w:rPr>
        <w:t>saúde mental e do serviço social, esse compromisso se materializa na adoção de abordagens interseccionais que considerem as múltiplas dimensões das desigualdades enfrentadas pelos sujeitos. O conceito de interseccionalidade, nesse contexto, não deve ser re</w:t>
      </w:r>
      <w:r>
        <w:rPr>
          <w:sz w:val="24"/>
          <w:szCs w:val="24"/>
        </w:rPr>
        <w:t xml:space="preserve">stringido a um referencial teórico desprovido de implicações práticas, mas compreendido como uma ferramenta analítica e transformadora na formulação de políticas e práticas que enfrentam as injustiças sociais de forma integrada (Collins; </w:t>
      </w:r>
      <w:proofErr w:type="spellStart"/>
      <w:r>
        <w:rPr>
          <w:sz w:val="24"/>
          <w:szCs w:val="24"/>
        </w:rPr>
        <w:t>Bilge</w:t>
      </w:r>
      <w:proofErr w:type="spellEnd"/>
      <w:r>
        <w:rPr>
          <w:sz w:val="24"/>
          <w:szCs w:val="24"/>
        </w:rPr>
        <w:t>, 2020).</w:t>
      </w:r>
    </w:p>
    <w:p w:rsidR="00AB796D" w:rsidRDefault="00895C09" w:rsidP="00401E40">
      <w:pPr>
        <w:spacing w:line="360" w:lineRule="auto"/>
        <w:ind w:leftChars="0" w:left="0" w:firstLineChars="0" w:firstLine="720"/>
        <w:jc w:val="both"/>
        <w:rPr>
          <w:b/>
          <w:sz w:val="24"/>
          <w:szCs w:val="24"/>
        </w:rPr>
      </w:pPr>
      <w:r>
        <w:rPr>
          <w:sz w:val="24"/>
          <w:szCs w:val="24"/>
        </w:rPr>
        <w:t>Conc</w:t>
      </w:r>
      <w:r>
        <w:rPr>
          <w:sz w:val="24"/>
          <w:szCs w:val="24"/>
        </w:rPr>
        <w:t>omitantemente, verifica-se a carência de um mapeamento preciso do perfil dos indivíduos atendidos nos diversos equipamentos de saúde mental no estado do Rio de Janeiro. Essa lacuna agrava a complexidade da atuação dos profissionais de saúde mental, pois ob</w:t>
      </w:r>
      <w:r>
        <w:rPr>
          <w:sz w:val="24"/>
          <w:szCs w:val="24"/>
        </w:rPr>
        <w:t>serva-se igualmente a ausência de ofertas de qualificação que abordem os marcadores sociais da diferença, com ênfase na ferramenta analítica da interseccionalidade. A formação continuada nesse sentido é crucial para aprimorar a capacidade de resposta da RA</w:t>
      </w:r>
      <w:r>
        <w:rPr>
          <w:sz w:val="24"/>
          <w:szCs w:val="24"/>
        </w:rPr>
        <w:t>PS às necessidades multifacetadas de sua população.</w:t>
      </w:r>
    </w:p>
    <w:p w:rsidR="00AB796D" w:rsidRDefault="00895C09" w:rsidP="00401E40">
      <w:pPr>
        <w:spacing w:line="360" w:lineRule="auto"/>
        <w:ind w:leftChars="0" w:left="0" w:firstLineChars="0" w:firstLine="720"/>
        <w:jc w:val="both"/>
        <w:rPr>
          <w:sz w:val="24"/>
          <w:szCs w:val="24"/>
        </w:rPr>
      </w:pPr>
      <w:r>
        <w:rPr>
          <w:sz w:val="24"/>
          <w:szCs w:val="24"/>
        </w:rPr>
        <w:t xml:space="preserve">Uma vez que </w:t>
      </w:r>
      <w:r w:rsidR="00401E40">
        <w:rPr>
          <w:sz w:val="24"/>
          <w:szCs w:val="24"/>
        </w:rPr>
        <w:t>se admite</w:t>
      </w:r>
      <w:r>
        <w:rPr>
          <w:sz w:val="24"/>
          <w:szCs w:val="24"/>
        </w:rPr>
        <w:t xml:space="preserve"> o compromisso político a que a interseccionalidade implica, entendemos a educação continuada que a </w:t>
      </w:r>
      <w:r w:rsidR="00401E40">
        <w:rPr>
          <w:sz w:val="24"/>
          <w:szCs w:val="24"/>
        </w:rPr>
        <w:t>RAPS demanda</w:t>
      </w:r>
      <w:r>
        <w:rPr>
          <w:sz w:val="24"/>
          <w:szCs w:val="24"/>
        </w:rPr>
        <w:t>, também como um exercício político. A educação está inseparável da mob</w:t>
      </w:r>
      <w:r>
        <w:rPr>
          <w:sz w:val="24"/>
          <w:szCs w:val="24"/>
        </w:rPr>
        <w:t>ilização da sociedade em prol da luta antimanicolonial, promovida pela conscientização coletiva, ao passo que os seres oprimidos se reconhecem como sujeitos transformadores do mundo (Freire, 2001).</w:t>
      </w:r>
    </w:p>
    <w:p w:rsidR="00AB796D" w:rsidRDefault="00895C09" w:rsidP="00401E40">
      <w:pPr>
        <w:spacing w:line="360" w:lineRule="auto"/>
        <w:ind w:leftChars="0" w:left="0" w:firstLineChars="0" w:firstLine="720"/>
        <w:jc w:val="both"/>
        <w:rPr>
          <w:sz w:val="24"/>
          <w:szCs w:val="24"/>
        </w:rPr>
      </w:pPr>
      <w:r>
        <w:rPr>
          <w:sz w:val="24"/>
          <w:szCs w:val="24"/>
        </w:rPr>
        <w:t>A Portaria MS/GM nº 2.761 de 19 de novembro de 2013 instit</w:t>
      </w:r>
      <w:r>
        <w:rPr>
          <w:sz w:val="24"/>
          <w:szCs w:val="24"/>
        </w:rPr>
        <w:t>ui a Política Nacional de Educação Popular em Saúde no âmbito do Sistema Único de Saúde (PNEPS-SUS). E compreende os princípios do diálogo, da amorosidade, da problematização, da construção compartilhada do conhecimento,</w:t>
      </w:r>
      <w:r>
        <w:rPr>
          <w:b/>
          <w:sz w:val="24"/>
          <w:szCs w:val="24"/>
        </w:rPr>
        <w:t xml:space="preserve"> </w:t>
      </w:r>
      <w:r>
        <w:rPr>
          <w:sz w:val="24"/>
          <w:szCs w:val="24"/>
        </w:rPr>
        <w:t>da emancipação e do compromisso com</w:t>
      </w:r>
      <w:r>
        <w:rPr>
          <w:sz w:val="24"/>
          <w:szCs w:val="24"/>
        </w:rPr>
        <w:t xml:space="preserve"> a construção do projeto democrático e popular. </w:t>
      </w:r>
    </w:p>
    <w:p w:rsidR="00AB796D" w:rsidRDefault="00AB796D">
      <w:pPr>
        <w:spacing w:line="360" w:lineRule="auto"/>
        <w:ind w:left="0" w:hanging="2"/>
        <w:jc w:val="both"/>
        <w:rPr>
          <w:b/>
          <w:sz w:val="24"/>
          <w:szCs w:val="24"/>
        </w:rPr>
      </w:pPr>
    </w:p>
    <w:p w:rsidR="00401E40" w:rsidRDefault="00401E40">
      <w:pPr>
        <w:spacing w:line="360" w:lineRule="auto"/>
        <w:ind w:left="0" w:hanging="2"/>
        <w:jc w:val="both"/>
        <w:rPr>
          <w:b/>
          <w:sz w:val="24"/>
          <w:szCs w:val="24"/>
        </w:rPr>
      </w:pPr>
    </w:p>
    <w:p w:rsidR="00401E40" w:rsidRDefault="00401E40">
      <w:pPr>
        <w:spacing w:line="360" w:lineRule="auto"/>
        <w:ind w:left="0" w:hanging="2"/>
        <w:jc w:val="both"/>
        <w:rPr>
          <w:b/>
          <w:sz w:val="24"/>
          <w:szCs w:val="24"/>
        </w:rPr>
      </w:pPr>
    </w:p>
    <w:p w:rsidR="00AB796D" w:rsidRDefault="00895C09">
      <w:pPr>
        <w:spacing w:line="360" w:lineRule="auto"/>
        <w:ind w:left="0" w:hanging="2"/>
        <w:jc w:val="both"/>
        <w:rPr>
          <w:b/>
          <w:sz w:val="24"/>
          <w:szCs w:val="24"/>
        </w:rPr>
      </w:pPr>
      <w:r>
        <w:rPr>
          <w:b/>
          <w:sz w:val="24"/>
          <w:szCs w:val="24"/>
        </w:rPr>
        <w:lastRenderedPageBreak/>
        <w:t xml:space="preserve">3. CENSO PSICOSSOCIAL </w:t>
      </w:r>
    </w:p>
    <w:p w:rsidR="00AB796D" w:rsidRDefault="00895C09" w:rsidP="00401E40">
      <w:pPr>
        <w:spacing w:line="360" w:lineRule="auto"/>
        <w:ind w:leftChars="0" w:left="0" w:firstLineChars="0" w:firstLine="720"/>
        <w:jc w:val="both"/>
        <w:rPr>
          <w:sz w:val="24"/>
          <w:szCs w:val="24"/>
        </w:rPr>
      </w:pPr>
      <w:r>
        <w:rPr>
          <w:sz w:val="24"/>
          <w:szCs w:val="24"/>
        </w:rPr>
        <w:t>A pesquisa Censo Psicossocial, aprovado pelo Comitê de Ética e Pesquisa (CEP), surge como um instrumento de ruptura com a lógica colonialista ao produzir dados sistematizados que reve</w:t>
      </w:r>
      <w:r>
        <w:rPr>
          <w:sz w:val="24"/>
          <w:szCs w:val="24"/>
        </w:rPr>
        <w:t>lem o perfil social, racial e de gênero da população atendida, historicamente invisibilizada pelas estatísticas oficiais. O levantamento se propõe como um ato político e epistemológico de visibilização de corpos e vivências historicamente apagados das esta</w:t>
      </w:r>
      <w:r>
        <w:rPr>
          <w:sz w:val="24"/>
          <w:szCs w:val="24"/>
        </w:rPr>
        <w:t>tísticas oficiais da saúde mental, especialmente da população negra e periférica. Inserido em um contexto de crescimento do debate sobre saúde mental e interseccionalidades, impulsionado por denúncias de violações de direitos, violência institucional e neg</w:t>
      </w:r>
      <w:r>
        <w:rPr>
          <w:sz w:val="24"/>
          <w:szCs w:val="24"/>
        </w:rPr>
        <w:t xml:space="preserve">ligência com populações negras, indígenas, mulheres e pessoas LGBTQIAPN+. </w:t>
      </w:r>
    </w:p>
    <w:p w:rsidR="00AB796D" w:rsidRDefault="00895C09" w:rsidP="00401E40">
      <w:pPr>
        <w:spacing w:line="360" w:lineRule="auto"/>
        <w:ind w:leftChars="0" w:left="0" w:firstLineChars="0" w:firstLine="720"/>
        <w:jc w:val="both"/>
        <w:rPr>
          <w:sz w:val="24"/>
          <w:szCs w:val="24"/>
        </w:rPr>
      </w:pPr>
      <w:r>
        <w:rPr>
          <w:sz w:val="24"/>
          <w:szCs w:val="24"/>
        </w:rPr>
        <w:t xml:space="preserve">A produção desses dados não visa apenas preencher lacunas, mas </w:t>
      </w:r>
      <w:proofErr w:type="spellStart"/>
      <w:r>
        <w:rPr>
          <w:sz w:val="24"/>
          <w:szCs w:val="24"/>
        </w:rPr>
        <w:t>tensionar</w:t>
      </w:r>
      <w:proofErr w:type="spellEnd"/>
      <w:r>
        <w:rPr>
          <w:sz w:val="24"/>
          <w:szCs w:val="24"/>
        </w:rPr>
        <w:t xml:space="preserve"> o modelo biomédico hegemônico e propor outras formas de conhecimento, cuidado e gestão pública pautadas pela</w:t>
      </w:r>
      <w:r>
        <w:rPr>
          <w:sz w:val="24"/>
          <w:szCs w:val="24"/>
        </w:rPr>
        <w:t xml:space="preserve"> agenda da luta antimanicolonial, atrelando a luta antimanicomial à luta antirracista, em uma agenda decolonial. Neste sentido, o Censo Psicossocial é apresentado como uma ferramenta crítica de enfrentamento à branquitude normativa que atravessa a saúde me</w:t>
      </w:r>
      <w:r>
        <w:rPr>
          <w:sz w:val="24"/>
          <w:szCs w:val="24"/>
        </w:rPr>
        <w:t>ntal brasileira, reforçando a noção de que “não apenas nos posicionamos contra a estrutura racista do capitalismo como buscamos fomentar modos de subjetivação desnorteados que criem novas estratégias de aquilombação dentro e fora da Rede de Atenção Psicoss</w:t>
      </w:r>
      <w:r>
        <w:rPr>
          <w:sz w:val="24"/>
          <w:szCs w:val="24"/>
        </w:rPr>
        <w:t>ocial” (David; Vincentin; Schucman</w:t>
      </w:r>
      <w:r>
        <w:rPr>
          <w:i/>
          <w:sz w:val="24"/>
          <w:szCs w:val="24"/>
        </w:rPr>
        <w:t>,</w:t>
      </w:r>
      <w:r>
        <w:rPr>
          <w:sz w:val="24"/>
          <w:szCs w:val="24"/>
        </w:rPr>
        <w:t xml:space="preserve"> 2024, p.8).</w:t>
      </w:r>
    </w:p>
    <w:p w:rsidR="00AB796D" w:rsidRDefault="00895C09" w:rsidP="00401E40">
      <w:pPr>
        <w:spacing w:line="360" w:lineRule="auto"/>
        <w:ind w:leftChars="0" w:left="0" w:firstLineChars="0" w:firstLine="720"/>
        <w:jc w:val="both"/>
        <w:rPr>
          <w:sz w:val="24"/>
          <w:szCs w:val="24"/>
        </w:rPr>
      </w:pPr>
      <w:r>
        <w:rPr>
          <w:sz w:val="24"/>
          <w:szCs w:val="24"/>
        </w:rPr>
        <w:t xml:space="preserve">A aplicação dessa iniciativa se estrutura em duas etapas complementares. A primeira consiste na realização de oficinas de sensibilização, orientadas pelos princípios da educação permanente, simultaneamente à </w:t>
      </w:r>
      <w:r>
        <w:rPr>
          <w:sz w:val="24"/>
          <w:szCs w:val="24"/>
        </w:rPr>
        <w:t xml:space="preserve">condução de uma pesquisa com trabalhadores da saúde, visando compreender suas percepções sobre os impactos dos marcadores sociais da diferença no atendimento e os principais desafios enfrentados. A segunda etapa envolve o mapeamento do perfil dos usuários </w:t>
      </w:r>
      <w:r>
        <w:rPr>
          <w:sz w:val="24"/>
          <w:szCs w:val="24"/>
        </w:rPr>
        <w:t>atendidos pelos Centros de Atenção Psicossocial e pelos Serviços Residenciais Terapêuticos vinculados à RAPS do estado do Rio de Janeiro, no período de 2022 a 2023.</w:t>
      </w:r>
    </w:p>
    <w:p w:rsidR="00AB796D" w:rsidRDefault="00AB796D">
      <w:pPr>
        <w:spacing w:line="360" w:lineRule="auto"/>
        <w:ind w:left="0" w:hanging="2"/>
        <w:jc w:val="both"/>
        <w:rPr>
          <w:sz w:val="24"/>
          <w:szCs w:val="24"/>
        </w:rPr>
      </w:pPr>
    </w:p>
    <w:p w:rsidR="00AB796D" w:rsidRDefault="00895C09">
      <w:pPr>
        <w:spacing w:line="360" w:lineRule="auto"/>
        <w:ind w:left="0" w:hanging="2"/>
        <w:jc w:val="both"/>
        <w:rPr>
          <w:b/>
          <w:sz w:val="24"/>
          <w:szCs w:val="24"/>
        </w:rPr>
      </w:pPr>
      <w:r>
        <w:rPr>
          <w:b/>
          <w:sz w:val="24"/>
          <w:szCs w:val="24"/>
        </w:rPr>
        <w:t>3.1 As oficinas de sensibilização</w:t>
      </w:r>
    </w:p>
    <w:p w:rsidR="00AB796D" w:rsidRDefault="00895C09" w:rsidP="00401E40">
      <w:pPr>
        <w:spacing w:line="360" w:lineRule="auto"/>
        <w:ind w:leftChars="0" w:left="0" w:firstLineChars="0" w:firstLine="720"/>
        <w:jc w:val="both"/>
        <w:rPr>
          <w:sz w:val="24"/>
          <w:szCs w:val="24"/>
        </w:rPr>
      </w:pPr>
      <w:r>
        <w:rPr>
          <w:sz w:val="24"/>
          <w:szCs w:val="24"/>
        </w:rPr>
        <w:t xml:space="preserve">A aproximação com os territórios se deu pelas dezessete </w:t>
      </w:r>
      <w:r>
        <w:rPr>
          <w:sz w:val="24"/>
          <w:szCs w:val="24"/>
        </w:rPr>
        <w:t>oficinas realizadas nas 9 regiões do estado do Rio de Janeiro (Centro-Sul, Baixada Litorânea, Baía da Ilha Grande, Metropolitana I, Metropolitana II, Norte, Noroeste, Serrana e Médio Paraíba). Ao todo, foram 92 municípios participantes. Dividida em 3 momen</w:t>
      </w:r>
      <w:r>
        <w:rPr>
          <w:sz w:val="24"/>
          <w:szCs w:val="24"/>
        </w:rPr>
        <w:t>tos, a oficina foi iniciada com o preenchimento do primeiro formulário, chamado de instrumento 1, com perguntas relacionadas ao perfil dos profissionais e às suas percepções a respeito dos marcadores sociais da diferença, das fichas de acolhimento nos serv</w:t>
      </w:r>
      <w:r>
        <w:rPr>
          <w:sz w:val="24"/>
          <w:szCs w:val="24"/>
        </w:rPr>
        <w:t xml:space="preserve">iços e das políticas públicas existentes. </w:t>
      </w:r>
    </w:p>
    <w:p w:rsidR="00AB796D" w:rsidRDefault="00895C09" w:rsidP="00401E40">
      <w:pPr>
        <w:spacing w:line="360" w:lineRule="auto"/>
        <w:ind w:leftChars="0" w:left="0" w:firstLineChars="0" w:firstLine="720"/>
        <w:jc w:val="both"/>
        <w:rPr>
          <w:sz w:val="24"/>
          <w:szCs w:val="24"/>
        </w:rPr>
      </w:pPr>
      <w:r>
        <w:rPr>
          <w:sz w:val="24"/>
          <w:szCs w:val="24"/>
        </w:rPr>
        <w:t xml:space="preserve">No segundo momento, os participantes foram divididos em subgrupos. Ali cada um deles recebeu uma imagem que deveria ser debatida. Ao </w:t>
      </w:r>
      <w:r w:rsidR="00401E40">
        <w:rPr>
          <w:sz w:val="24"/>
          <w:szCs w:val="24"/>
        </w:rPr>
        <w:t>final, apresentariam</w:t>
      </w:r>
      <w:r>
        <w:rPr>
          <w:sz w:val="24"/>
          <w:szCs w:val="24"/>
        </w:rPr>
        <w:t xml:space="preserve"> os pontos dialogados para o coletivo. Já no terceiro mome</w:t>
      </w:r>
      <w:r>
        <w:rPr>
          <w:sz w:val="24"/>
          <w:szCs w:val="24"/>
        </w:rPr>
        <w:t>nto, houve a discussão sobre os marcadores sociais em cada território e a reforma psiquiátrica, trazendo-se o contexto das imagens apresentadas, com auxílio de material visual em slides. Ademais, durante as oficinas, a educação popular e permanente em saúd</w:t>
      </w:r>
      <w:r>
        <w:rPr>
          <w:sz w:val="24"/>
          <w:szCs w:val="24"/>
        </w:rPr>
        <w:t>e não foi tratada apenas como transmissão de conhecimentos, mas como um espaço de trocas, realizado por meio de debates, falas e escutas sobre a realidade de cada território, através de uma linguagem compreensível a todas as pessoas. No decorrer das oficin</w:t>
      </w:r>
      <w:r>
        <w:rPr>
          <w:sz w:val="24"/>
          <w:szCs w:val="24"/>
        </w:rPr>
        <w:t xml:space="preserve">as, a equipe de pesquisadoras/es registrava, em diários de campo e em atas, os conteúdos abordados. </w:t>
      </w:r>
    </w:p>
    <w:p w:rsidR="00AB796D" w:rsidRDefault="00895C09" w:rsidP="00401E40">
      <w:pPr>
        <w:spacing w:line="360" w:lineRule="auto"/>
        <w:ind w:leftChars="0" w:left="0" w:firstLineChars="0" w:firstLine="720"/>
        <w:jc w:val="both"/>
        <w:rPr>
          <w:sz w:val="24"/>
          <w:szCs w:val="24"/>
        </w:rPr>
      </w:pPr>
      <w:r>
        <w:rPr>
          <w:sz w:val="24"/>
          <w:szCs w:val="24"/>
        </w:rPr>
        <w:t>Como parte do projeto de pesquisa do Censo Psicossocial, tais registros das oficinas foram qualitativamente analisados. O marco teórico da análise qualitat</w:t>
      </w:r>
      <w:r>
        <w:rPr>
          <w:sz w:val="24"/>
          <w:szCs w:val="24"/>
        </w:rPr>
        <w:t>iva realizada foi o da análise do discurso, como via de acesso à linguagem na dimensão pragmática. Com a Análise de Discurso, são abrangidas as condições materiais e históricas que dialeticamente engendram o discurso, construindo-o, mantendo-o ou viabiliza</w:t>
      </w:r>
      <w:r>
        <w:rPr>
          <w:sz w:val="24"/>
          <w:szCs w:val="24"/>
        </w:rPr>
        <w:t>ndo mudanças na estrutura social (</w:t>
      </w:r>
      <w:proofErr w:type="spellStart"/>
      <w:r>
        <w:rPr>
          <w:sz w:val="24"/>
          <w:szCs w:val="24"/>
        </w:rPr>
        <w:t>Orlandi</w:t>
      </w:r>
      <w:proofErr w:type="spellEnd"/>
      <w:r>
        <w:rPr>
          <w:sz w:val="24"/>
          <w:szCs w:val="24"/>
        </w:rPr>
        <w:t>, 2009). Assim, a Análise do Discurso realizada visa abranger a “observação dos processos e mecanismos de produção de sentidos e sujeitos” (</w:t>
      </w:r>
      <w:proofErr w:type="spellStart"/>
      <w:r>
        <w:rPr>
          <w:sz w:val="24"/>
          <w:szCs w:val="24"/>
        </w:rPr>
        <w:t>Orlandi</w:t>
      </w:r>
      <w:proofErr w:type="spellEnd"/>
      <w:r>
        <w:rPr>
          <w:sz w:val="24"/>
          <w:szCs w:val="24"/>
        </w:rPr>
        <w:t xml:space="preserve">, 2009, p.77). O procedimento envolve a </w:t>
      </w:r>
      <w:r>
        <w:rPr>
          <w:sz w:val="24"/>
          <w:szCs w:val="24"/>
        </w:rPr>
        <w:lastRenderedPageBreak/>
        <w:t>análise da materialidade lin</w:t>
      </w:r>
      <w:r>
        <w:rPr>
          <w:sz w:val="24"/>
          <w:szCs w:val="24"/>
        </w:rPr>
        <w:t xml:space="preserve">guística, isto é, como se diz, quem diz, em que circunstâncias o faz. Tal análise realiza, enfim, o estudo das práticas discursivas, considerando a linguagem como prática que produz efeitos. </w:t>
      </w:r>
    </w:p>
    <w:p w:rsidR="00AB796D" w:rsidRDefault="00AB796D">
      <w:pPr>
        <w:spacing w:line="360" w:lineRule="auto"/>
        <w:ind w:left="0" w:hanging="2"/>
        <w:jc w:val="both"/>
        <w:rPr>
          <w:sz w:val="24"/>
          <w:szCs w:val="24"/>
        </w:rPr>
      </w:pPr>
    </w:p>
    <w:p w:rsidR="00AB796D" w:rsidRDefault="00895C09">
      <w:pPr>
        <w:spacing w:line="360" w:lineRule="auto"/>
        <w:ind w:left="0" w:hanging="2"/>
        <w:jc w:val="both"/>
        <w:rPr>
          <w:color w:val="0000FF"/>
          <w:sz w:val="24"/>
          <w:szCs w:val="24"/>
          <w:highlight w:val="green"/>
        </w:rPr>
      </w:pPr>
      <w:r>
        <w:rPr>
          <w:b/>
          <w:sz w:val="24"/>
          <w:szCs w:val="24"/>
        </w:rPr>
        <w:t>4. PERCEPÇÕES DOS TRABALHADORES SOBRE OS MARCADORES SOCIAIS</w:t>
      </w:r>
    </w:p>
    <w:p w:rsidR="00AB796D" w:rsidRDefault="00895C09" w:rsidP="00401E40">
      <w:pPr>
        <w:spacing w:line="360" w:lineRule="auto"/>
        <w:ind w:leftChars="0" w:left="0" w:firstLineChars="0" w:firstLine="720"/>
        <w:jc w:val="both"/>
        <w:rPr>
          <w:sz w:val="24"/>
          <w:szCs w:val="24"/>
        </w:rPr>
      </w:pPr>
      <w:r>
        <w:rPr>
          <w:sz w:val="24"/>
          <w:szCs w:val="24"/>
        </w:rPr>
        <w:t>No cotidiano das interações entre profissionais e usuários, o discurso materializado a partir de marcadores sociais estabelece uma tessitura na construção de relações dos usuários e usuárias com o serviço. Esta pesquisa procurou se aproximar dessas questõe</w:t>
      </w:r>
      <w:r>
        <w:rPr>
          <w:sz w:val="24"/>
          <w:szCs w:val="24"/>
        </w:rPr>
        <w:t>s a partir do debate coletivo suscitado pelas oficinas e pelo levantamento feito pelo Instrumento 1. Retomamos que, aplicado naquele contexto, o questionário abordava os conhecimentos dos trabalhadores/as dos equipamentos sobre marcação social da diferença</w:t>
      </w:r>
      <w:r>
        <w:rPr>
          <w:sz w:val="24"/>
          <w:szCs w:val="24"/>
        </w:rPr>
        <w:t xml:space="preserve">, a partir da tópica da ficha de acolhimento no serviço, bem como a partir de seus saberes acerca das políticas de equidade em saúde. </w:t>
      </w:r>
    </w:p>
    <w:p w:rsidR="00AB796D" w:rsidRDefault="00895C09" w:rsidP="00401E40">
      <w:pPr>
        <w:spacing w:line="360" w:lineRule="auto"/>
        <w:ind w:leftChars="0" w:left="0" w:firstLineChars="0" w:firstLine="720"/>
        <w:jc w:val="both"/>
        <w:rPr>
          <w:sz w:val="24"/>
          <w:szCs w:val="24"/>
          <w:highlight w:val="yellow"/>
        </w:rPr>
      </w:pPr>
      <w:r>
        <w:rPr>
          <w:sz w:val="24"/>
          <w:szCs w:val="24"/>
        </w:rPr>
        <w:t>Da mesma forma, destacamos que esses dois temas compareceram no discurso dos profissionais. Abordar a forma como lidam co</w:t>
      </w:r>
      <w:r>
        <w:rPr>
          <w:sz w:val="24"/>
          <w:szCs w:val="24"/>
        </w:rPr>
        <w:t xml:space="preserve">m a ficha de acolhimento de usuários e usuários nos serviços está interseccionada à viabilização de determinadas políticas públicas, como as voltadas para pessoas negras, pessoas com deficiência e pessoas LGBTQIAPN+. Olhar para o usuário e permitir que se </w:t>
      </w:r>
      <w:r>
        <w:rPr>
          <w:sz w:val="24"/>
          <w:szCs w:val="24"/>
        </w:rPr>
        <w:t>ele se enuncie a partir de sua marcação social aponta para a abertura à efetivação da política. Nesse sentido, a materialidade do apagamento desses marcadores no cotidiano do serviço e na compreensão dos casos e das histórias de vida denota lógicas institu</w:t>
      </w:r>
      <w:r>
        <w:rPr>
          <w:sz w:val="24"/>
          <w:szCs w:val="24"/>
        </w:rPr>
        <w:t>cionais na saúde mental no Brasil marcadas por processos sociais como o racismo, sexismo e por outros pré-conceitos.</w:t>
      </w:r>
    </w:p>
    <w:p w:rsidR="00AB796D" w:rsidRDefault="00895C09" w:rsidP="00401E40">
      <w:pPr>
        <w:spacing w:line="360" w:lineRule="auto"/>
        <w:ind w:leftChars="0" w:left="0" w:firstLineChars="0" w:firstLine="720"/>
        <w:jc w:val="both"/>
        <w:rPr>
          <w:sz w:val="24"/>
          <w:szCs w:val="24"/>
        </w:rPr>
      </w:pPr>
      <w:r>
        <w:rPr>
          <w:sz w:val="24"/>
          <w:szCs w:val="24"/>
        </w:rPr>
        <w:t xml:space="preserve">Com o observado na análise de falas dos participantes trazidas no debate com o </w:t>
      </w:r>
      <w:r w:rsidR="00401E40">
        <w:rPr>
          <w:sz w:val="24"/>
          <w:szCs w:val="24"/>
        </w:rPr>
        <w:t>coletivo, os</w:t>
      </w:r>
      <w:r>
        <w:rPr>
          <w:sz w:val="24"/>
          <w:szCs w:val="24"/>
        </w:rPr>
        <w:t xml:space="preserve"> </w:t>
      </w:r>
      <w:r w:rsidR="00401E40">
        <w:rPr>
          <w:sz w:val="24"/>
          <w:szCs w:val="24"/>
        </w:rPr>
        <w:t>profissionais se</w:t>
      </w:r>
      <w:r>
        <w:rPr>
          <w:sz w:val="24"/>
          <w:szCs w:val="24"/>
        </w:rPr>
        <w:t xml:space="preserve"> colocam como transmissores d</w:t>
      </w:r>
      <w:r>
        <w:rPr>
          <w:sz w:val="24"/>
          <w:szCs w:val="24"/>
        </w:rPr>
        <w:t xml:space="preserve">e “respostas prontas” e reprodutores de normatividades, ao reproduzirem falas </w:t>
      </w:r>
      <w:proofErr w:type="spellStart"/>
      <w:r>
        <w:rPr>
          <w:sz w:val="24"/>
          <w:szCs w:val="24"/>
        </w:rPr>
        <w:t>transfóbicas</w:t>
      </w:r>
      <w:proofErr w:type="spellEnd"/>
      <w:r>
        <w:rPr>
          <w:sz w:val="24"/>
          <w:szCs w:val="24"/>
        </w:rPr>
        <w:t xml:space="preserve"> </w:t>
      </w:r>
      <w:r w:rsidR="00401E40">
        <w:rPr>
          <w:sz w:val="24"/>
          <w:szCs w:val="24"/>
        </w:rPr>
        <w:t>e certo</w:t>
      </w:r>
      <w:r>
        <w:rPr>
          <w:sz w:val="24"/>
          <w:szCs w:val="24"/>
        </w:rPr>
        <w:t xml:space="preserve"> silenciamento sobre a temática racial. Nota-se uma dificuldade concreta em lidar com marcadores sociais da diferença - como raça, gênero e orientação sexual</w:t>
      </w:r>
      <w:r>
        <w:rPr>
          <w:sz w:val="24"/>
          <w:szCs w:val="24"/>
        </w:rPr>
        <w:t xml:space="preserve">. A ausência </w:t>
      </w:r>
      <w:r>
        <w:rPr>
          <w:sz w:val="24"/>
          <w:szCs w:val="24"/>
        </w:rPr>
        <w:lastRenderedPageBreak/>
        <w:t>de debates em algumas regiões trouxe a invisibilidade das populações ribeirinhas, quilombolas e indígenas na região da Baía da Ilha Grande, por exemplo.</w:t>
      </w:r>
    </w:p>
    <w:p w:rsidR="00AB796D" w:rsidRDefault="00895C09" w:rsidP="00401E40">
      <w:pPr>
        <w:spacing w:line="360" w:lineRule="auto"/>
        <w:ind w:leftChars="0" w:left="0" w:firstLineChars="0" w:firstLine="720"/>
        <w:jc w:val="both"/>
        <w:rPr>
          <w:sz w:val="24"/>
          <w:szCs w:val="24"/>
        </w:rPr>
      </w:pPr>
      <w:r>
        <w:rPr>
          <w:sz w:val="24"/>
          <w:szCs w:val="24"/>
        </w:rPr>
        <w:t>Note-se que o território desta região abrange 12,5% da população quilombola do estado do R</w:t>
      </w:r>
      <w:r>
        <w:rPr>
          <w:sz w:val="24"/>
          <w:szCs w:val="24"/>
        </w:rPr>
        <w:t>io de Janeiro (Instituto Brasileiro de Geografia e Estatística, 2022). Com a região Centro-Sul, por exemplo, a omissão do debate racial mostra que, mesmo com a ampliação das políticas públicas, há apagamentos ativos. A fala de um profissional que só reconh</w:t>
      </w:r>
      <w:r>
        <w:rPr>
          <w:sz w:val="24"/>
          <w:szCs w:val="24"/>
        </w:rPr>
        <w:t xml:space="preserve">ece a importância de discutir identidade </w:t>
      </w:r>
      <w:proofErr w:type="spellStart"/>
      <w:r>
        <w:rPr>
          <w:sz w:val="24"/>
          <w:szCs w:val="24"/>
        </w:rPr>
        <w:t>trans</w:t>
      </w:r>
      <w:proofErr w:type="spellEnd"/>
      <w:r>
        <w:rPr>
          <w:sz w:val="24"/>
          <w:szCs w:val="24"/>
        </w:rPr>
        <w:t xml:space="preserve"> “se tiver alguém na sala” reforça a ideia de que a legitimidade da existência ainda precisa ser “provada”, um vestígio direto do modelo excludente anterior à reforma. É perceptível que </w:t>
      </w:r>
      <w:r w:rsidR="00401E40">
        <w:rPr>
          <w:sz w:val="24"/>
          <w:szCs w:val="24"/>
        </w:rPr>
        <w:t>um recorte de trabalhadoras/es não consegue</w:t>
      </w:r>
      <w:r>
        <w:rPr>
          <w:sz w:val="24"/>
          <w:szCs w:val="24"/>
        </w:rPr>
        <w:t xml:space="preserve"> realizar uma discussão com articulação para além das políticas públicas, e quando tensionados, no geral permanecem em silêncio. O desvio do debate ocorre a partir do desconforto de alguns participantes que direcionam os relatos para ex</w:t>
      </w:r>
      <w:r>
        <w:rPr>
          <w:sz w:val="24"/>
          <w:szCs w:val="24"/>
        </w:rPr>
        <w:t xml:space="preserve">periências pessoais e familiares.  </w:t>
      </w:r>
    </w:p>
    <w:p w:rsidR="00401E40" w:rsidRDefault="00895C09" w:rsidP="00401E40">
      <w:pPr>
        <w:spacing w:line="360" w:lineRule="auto"/>
        <w:ind w:leftChars="0" w:left="0" w:firstLineChars="0" w:firstLine="720"/>
        <w:jc w:val="both"/>
        <w:rPr>
          <w:sz w:val="24"/>
          <w:szCs w:val="24"/>
        </w:rPr>
      </w:pPr>
      <w:r>
        <w:rPr>
          <w:sz w:val="24"/>
          <w:szCs w:val="24"/>
        </w:rPr>
        <w:t xml:space="preserve">Há recorrência de falas como “alcoólatra”, “drogado” e “bandido” na oficina da região Centro-Sul. Comparece também a ideia de que negros e </w:t>
      </w:r>
      <w:proofErr w:type="spellStart"/>
      <w:r>
        <w:rPr>
          <w:sz w:val="24"/>
          <w:szCs w:val="24"/>
        </w:rPr>
        <w:t>trans</w:t>
      </w:r>
      <w:proofErr w:type="spellEnd"/>
      <w:r>
        <w:rPr>
          <w:sz w:val="24"/>
          <w:szCs w:val="24"/>
        </w:rPr>
        <w:t xml:space="preserve"> são temas desconfortáveis. Importante destacar que os participantes, em sua</w:t>
      </w:r>
      <w:r>
        <w:rPr>
          <w:sz w:val="24"/>
          <w:szCs w:val="24"/>
        </w:rPr>
        <w:t xml:space="preserve"> maioria, afirmaram que a ficha de acolhimento institucional não apresenta o quesito raça/cor, como previsto pela Portaria nº 344 (Brasil, 2017a). Ainda que a população atendida dos serviços seja predominantemente preta ou parda, predomina nas oficinas o r</w:t>
      </w:r>
      <w:r>
        <w:rPr>
          <w:sz w:val="24"/>
          <w:szCs w:val="24"/>
        </w:rPr>
        <w:t xml:space="preserve">elato acerca de um desconforto relativo ao preenchimento dessa informação - isso quando a instituição trabalha com o levantamento dessa informação. </w:t>
      </w:r>
    </w:p>
    <w:p w:rsidR="00AB796D" w:rsidRDefault="00895C09" w:rsidP="00401E40">
      <w:pPr>
        <w:spacing w:line="360" w:lineRule="auto"/>
        <w:ind w:leftChars="0" w:left="0" w:firstLineChars="0" w:firstLine="720"/>
        <w:jc w:val="both"/>
        <w:rPr>
          <w:sz w:val="24"/>
          <w:szCs w:val="24"/>
        </w:rPr>
      </w:pPr>
      <w:r>
        <w:rPr>
          <w:sz w:val="24"/>
          <w:szCs w:val="24"/>
        </w:rPr>
        <w:t>O incômodo aparece associado à necessidade de abordar a temática étnico-racial realizando-se uma pergunta di</w:t>
      </w:r>
      <w:r>
        <w:rPr>
          <w:sz w:val="24"/>
          <w:szCs w:val="24"/>
        </w:rPr>
        <w:t>reta para os usuários. Abordar a identidade de gênero ou ainda a orientação sexual é ainda mais difícil para os participantes. Como afirmado em uma oficina, realizada na região Médio-Paraíba, “questionar a ‘raça-cor’ poderia sugerir ofensa ou insensibilida</w:t>
      </w:r>
      <w:r>
        <w:rPr>
          <w:sz w:val="24"/>
          <w:szCs w:val="24"/>
        </w:rPr>
        <w:t xml:space="preserve">de ao sofrimento apresentado”. Esse movimento revela a presença de uma ideologia que tenta neutralizar a política no campo do cuidado. </w:t>
      </w:r>
    </w:p>
    <w:p w:rsidR="00AB796D" w:rsidRDefault="00895C09" w:rsidP="00401E40">
      <w:pPr>
        <w:spacing w:line="360" w:lineRule="auto"/>
        <w:ind w:leftChars="0" w:left="0" w:firstLineChars="0" w:firstLine="720"/>
        <w:jc w:val="both"/>
        <w:rPr>
          <w:sz w:val="24"/>
          <w:szCs w:val="24"/>
        </w:rPr>
      </w:pPr>
      <w:r>
        <w:rPr>
          <w:sz w:val="24"/>
          <w:szCs w:val="24"/>
        </w:rPr>
        <w:lastRenderedPageBreak/>
        <w:t>Como destaca Sueli Carneiro (2005), não se trata apenas de reconhecer o racismo ou o machismo, mas de compreendê-los com</w:t>
      </w:r>
      <w:r>
        <w:rPr>
          <w:sz w:val="24"/>
          <w:szCs w:val="24"/>
        </w:rPr>
        <w:t>o estruturantes das relações sociais e institucionais. Isso exige dos serviços de saúde mental uma postura ativa de enfrentamento, e não apenas de tolerância. A Reforma Psiquiátrica não se trata apenas de mudanças de estruturas institucionais, mas de saber</w:t>
      </w:r>
      <w:r>
        <w:rPr>
          <w:sz w:val="24"/>
          <w:szCs w:val="24"/>
        </w:rPr>
        <w:t xml:space="preserve">-poder (Amarante, 2007). </w:t>
      </w:r>
    </w:p>
    <w:p w:rsidR="00AB796D" w:rsidRDefault="00AB796D">
      <w:pPr>
        <w:spacing w:line="360" w:lineRule="auto"/>
        <w:ind w:left="0" w:hanging="2"/>
        <w:jc w:val="both"/>
        <w:rPr>
          <w:sz w:val="24"/>
          <w:szCs w:val="24"/>
        </w:rPr>
      </w:pPr>
    </w:p>
    <w:p w:rsidR="00AB796D" w:rsidRDefault="00895C09">
      <w:pPr>
        <w:spacing w:line="360" w:lineRule="auto"/>
        <w:ind w:left="0" w:hanging="2"/>
        <w:jc w:val="both"/>
        <w:rPr>
          <w:b/>
          <w:sz w:val="24"/>
          <w:szCs w:val="24"/>
        </w:rPr>
      </w:pPr>
      <w:r>
        <w:rPr>
          <w:b/>
          <w:sz w:val="24"/>
          <w:szCs w:val="24"/>
        </w:rPr>
        <w:t xml:space="preserve">5. </w:t>
      </w:r>
      <w:r>
        <w:rPr>
          <w:b/>
          <w:sz w:val="24"/>
          <w:szCs w:val="24"/>
        </w:rPr>
        <w:t>CONCLUSÃO</w:t>
      </w:r>
    </w:p>
    <w:p w:rsidR="00AB796D" w:rsidRDefault="00895C09" w:rsidP="00401E40">
      <w:pPr>
        <w:spacing w:line="360" w:lineRule="auto"/>
        <w:ind w:leftChars="0" w:left="0" w:firstLineChars="0" w:firstLine="720"/>
        <w:jc w:val="both"/>
        <w:rPr>
          <w:sz w:val="24"/>
          <w:szCs w:val="24"/>
        </w:rPr>
      </w:pPr>
      <w:r>
        <w:rPr>
          <w:sz w:val="24"/>
          <w:szCs w:val="24"/>
        </w:rPr>
        <w:t>O projeto de extensão e pesquisa, através das ações de educação permanente com os profissionais da RAPS do Rio de Janeiro, se propôs a provocar o debate sobre a marcação social da diferença e o cuidado em saúde menta</w:t>
      </w:r>
      <w:r>
        <w:rPr>
          <w:sz w:val="24"/>
          <w:szCs w:val="24"/>
        </w:rPr>
        <w:t xml:space="preserve">l. Buscou inserir os profissionais em um espaço dialógico, a fim de fazer </w:t>
      </w:r>
      <w:r w:rsidR="00401E40">
        <w:rPr>
          <w:sz w:val="24"/>
          <w:szCs w:val="24"/>
        </w:rPr>
        <w:t>circular produções</w:t>
      </w:r>
      <w:r>
        <w:rPr>
          <w:sz w:val="24"/>
          <w:szCs w:val="24"/>
        </w:rPr>
        <w:t xml:space="preserve"> discursivas e </w:t>
      </w:r>
      <w:r w:rsidR="00401E40">
        <w:rPr>
          <w:sz w:val="24"/>
          <w:szCs w:val="24"/>
        </w:rPr>
        <w:t>concepções ao</w:t>
      </w:r>
      <w:r>
        <w:rPr>
          <w:sz w:val="24"/>
          <w:szCs w:val="24"/>
        </w:rPr>
        <w:t xml:space="preserve"> problematizar a relação entre marcadores sociais e atenção psicossocial, ancorada na decolonialidade e interseccionalidade. </w:t>
      </w:r>
    </w:p>
    <w:p w:rsidR="00AB796D" w:rsidRDefault="00895C09" w:rsidP="00401E40">
      <w:pPr>
        <w:spacing w:line="360" w:lineRule="auto"/>
        <w:ind w:leftChars="0" w:left="0" w:firstLineChars="0" w:firstLine="720"/>
        <w:jc w:val="both"/>
        <w:rPr>
          <w:sz w:val="24"/>
          <w:szCs w:val="24"/>
        </w:rPr>
      </w:pPr>
      <w:r>
        <w:rPr>
          <w:sz w:val="24"/>
          <w:szCs w:val="24"/>
        </w:rPr>
        <w:t>A educaç</w:t>
      </w:r>
      <w:r>
        <w:rPr>
          <w:sz w:val="24"/>
          <w:szCs w:val="24"/>
        </w:rPr>
        <w:t xml:space="preserve">ão permanente em saúde encarna o desafio de ser uma resposta às problemáticas presentes no âmbito das instituições públicas, em um cenário em que as próprias práticas não conseguem alcançar uma transformação de suas lógicas cotidianas (Brasil, 2007). Como </w:t>
      </w:r>
      <w:r>
        <w:rPr>
          <w:sz w:val="24"/>
          <w:szCs w:val="24"/>
        </w:rPr>
        <w:t>vimos, ao abrir o espaço para sensibilização sobre a marcação social da diferença no cuidado em saúde mental na RAPS do estado fluminense, perceberam-se os incômodos e os silenciamentos em torno da questão junto aos usuários. Entendemos que o processo de f</w:t>
      </w:r>
      <w:r>
        <w:rPr>
          <w:sz w:val="24"/>
          <w:szCs w:val="24"/>
        </w:rPr>
        <w:t xml:space="preserve">ormação dos profissionais da saúde mental é exigente uma vez que atravessa também a implicação subjetiva e a compreensão dos modos de produção de subjetividade de usuários e trabalhadores (Costa-Rosa, 2013).  </w:t>
      </w:r>
    </w:p>
    <w:p w:rsidR="00AB796D" w:rsidRDefault="00895C09" w:rsidP="00401E40">
      <w:pPr>
        <w:spacing w:line="360" w:lineRule="auto"/>
        <w:ind w:leftChars="0" w:left="0" w:firstLineChars="0" w:firstLine="720"/>
        <w:jc w:val="both"/>
        <w:rPr>
          <w:sz w:val="24"/>
          <w:szCs w:val="24"/>
        </w:rPr>
      </w:pPr>
      <w:r>
        <w:rPr>
          <w:sz w:val="24"/>
          <w:szCs w:val="24"/>
        </w:rPr>
        <w:t xml:space="preserve">O que se encontrou nas oficinas aponta para a </w:t>
      </w:r>
      <w:r>
        <w:rPr>
          <w:sz w:val="24"/>
          <w:szCs w:val="24"/>
        </w:rPr>
        <w:t>discussão no âmbito das experiências privadas ou mesmo restritas às vivências e idealizações dos/as próprios/as trabalhadores/as. As lógicas manicomiais, patriarcais, racistas e de exclusão social que são próprias à formação social brasileira agenciam as s</w:t>
      </w:r>
      <w:r>
        <w:rPr>
          <w:sz w:val="24"/>
          <w:szCs w:val="24"/>
        </w:rPr>
        <w:t>ubjetividades no cotidiano dos serviços da Atenção Psicossocial.</w:t>
      </w:r>
    </w:p>
    <w:p w:rsidR="00AB796D" w:rsidRDefault="00895C09" w:rsidP="00401E40">
      <w:pPr>
        <w:spacing w:line="360" w:lineRule="auto"/>
        <w:ind w:leftChars="0" w:left="0" w:firstLineChars="0" w:firstLine="720"/>
        <w:jc w:val="both"/>
        <w:rPr>
          <w:b/>
          <w:sz w:val="24"/>
          <w:szCs w:val="24"/>
        </w:rPr>
      </w:pPr>
      <w:bookmarkStart w:id="0" w:name="_GoBack"/>
      <w:bookmarkEnd w:id="0"/>
      <w:r>
        <w:rPr>
          <w:sz w:val="24"/>
          <w:szCs w:val="24"/>
        </w:rPr>
        <w:lastRenderedPageBreak/>
        <w:t>O desafio da educação permanente perpassa, assim, o trabalho e a lógica de sua produção bem como a implicação subjetiva dos trabalhadores, imersos que estavam em seu receio de ofender ou de c</w:t>
      </w:r>
      <w:r>
        <w:rPr>
          <w:sz w:val="24"/>
          <w:szCs w:val="24"/>
        </w:rPr>
        <w:t>ausar constrangimentos. Como entendemos, educação no trabalho da Atenção Psicossocial exigirá dos/das profissionais essa “implicação subjetiva traduzida, antes de tudo, na própria relação de trabalho, isto é, no seu posicionamento no processo de produção d</w:t>
      </w:r>
      <w:r>
        <w:rPr>
          <w:sz w:val="24"/>
          <w:szCs w:val="24"/>
        </w:rPr>
        <w:t>e que se trata” (Costa-Rosa, 2013, p. 32).</w:t>
      </w:r>
    </w:p>
    <w:p w:rsidR="00AB796D" w:rsidRDefault="00AB796D">
      <w:pPr>
        <w:spacing w:line="360" w:lineRule="auto"/>
        <w:ind w:left="0" w:hanging="2"/>
        <w:jc w:val="center"/>
        <w:rPr>
          <w:b/>
          <w:sz w:val="24"/>
          <w:szCs w:val="24"/>
        </w:rPr>
      </w:pPr>
    </w:p>
    <w:p w:rsidR="00AB796D" w:rsidRDefault="00895C09">
      <w:pPr>
        <w:spacing w:line="360" w:lineRule="auto"/>
        <w:ind w:left="0" w:hanging="2"/>
        <w:rPr>
          <w:sz w:val="24"/>
          <w:szCs w:val="24"/>
        </w:rPr>
      </w:pPr>
      <w:r>
        <w:rPr>
          <w:b/>
          <w:sz w:val="24"/>
          <w:szCs w:val="24"/>
        </w:rPr>
        <w:t xml:space="preserve">6. </w:t>
      </w:r>
      <w:r>
        <w:rPr>
          <w:b/>
          <w:sz w:val="24"/>
          <w:szCs w:val="24"/>
        </w:rPr>
        <w:t>REFERÊNCIAS</w:t>
      </w:r>
    </w:p>
    <w:p w:rsidR="00AB796D" w:rsidRDefault="00895C09">
      <w:pPr>
        <w:spacing w:line="240" w:lineRule="auto"/>
        <w:ind w:left="0" w:hanging="2"/>
        <w:jc w:val="both"/>
        <w:rPr>
          <w:sz w:val="24"/>
          <w:szCs w:val="24"/>
        </w:rPr>
      </w:pPr>
      <w:r>
        <w:rPr>
          <w:sz w:val="24"/>
          <w:szCs w:val="24"/>
        </w:rPr>
        <w:t xml:space="preserve">AMARANTE, Paulo. </w:t>
      </w:r>
      <w:r>
        <w:rPr>
          <w:b/>
          <w:sz w:val="24"/>
          <w:szCs w:val="24"/>
        </w:rPr>
        <w:t>Saúde mental e atenção psicossocial</w:t>
      </w:r>
      <w:r>
        <w:rPr>
          <w:sz w:val="24"/>
          <w:szCs w:val="24"/>
        </w:rPr>
        <w:t>. 3</w:t>
      </w:r>
      <w:r>
        <w:rPr>
          <w:sz w:val="24"/>
          <w:szCs w:val="24"/>
          <w:vertAlign w:val="superscript"/>
        </w:rPr>
        <w:t>a</w:t>
      </w:r>
      <w:r>
        <w:rPr>
          <w:sz w:val="24"/>
          <w:szCs w:val="24"/>
        </w:rPr>
        <w:t xml:space="preserve"> Edição. Rio de Janeiro: Editora Fiocruz, 2007.</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 xml:space="preserve">BASAGLIA, Franco. </w:t>
      </w:r>
      <w:r>
        <w:rPr>
          <w:b/>
          <w:sz w:val="24"/>
          <w:szCs w:val="24"/>
        </w:rPr>
        <w:t>A instituição negada: Relato de um Hospital psiquiátrico</w:t>
      </w:r>
      <w:r>
        <w:rPr>
          <w:sz w:val="24"/>
          <w:szCs w:val="24"/>
        </w:rPr>
        <w:t>. 3</w:t>
      </w:r>
      <w:r>
        <w:rPr>
          <w:sz w:val="24"/>
          <w:szCs w:val="24"/>
          <w:vertAlign w:val="superscript"/>
        </w:rPr>
        <w:t>a</w:t>
      </w:r>
      <w:r>
        <w:rPr>
          <w:sz w:val="24"/>
          <w:szCs w:val="24"/>
        </w:rPr>
        <w:t xml:space="preserve"> Edição. Rio de Janeiro: Edições Graal, 1985.</w:t>
      </w:r>
    </w:p>
    <w:p w:rsidR="00AB796D" w:rsidRDefault="00AB796D">
      <w:pPr>
        <w:spacing w:line="240" w:lineRule="auto"/>
        <w:ind w:left="0" w:hanging="2"/>
        <w:jc w:val="both"/>
        <w:rPr>
          <w:sz w:val="24"/>
          <w:szCs w:val="24"/>
        </w:rPr>
      </w:pPr>
    </w:p>
    <w:p w:rsidR="00AB796D" w:rsidRDefault="00895C09">
      <w:pPr>
        <w:spacing w:after="200" w:line="240" w:lineRule="auto"/>
        <w:ind w:left="0" w:hanging="2"/>
        <w:jc w:val="both"/>
        <w:rPr>
          <w:sz w:val="24"/>
          <w:szCs w:val="24"/>
        </w:rPr>
      </w:pPr>
      <w:r>
        <w:rPr>
          <w:sz w:val="24"/>
          <w:szCs w:val="24"/>
        </w:rPr>
        <w:t>BRASIL. Código de ética do/a assistente social.</w:t>
      </w:r>
      <w:r>
        <w:rPr>
          <w:b/>
          <w:sz w:val="24"/>
          <w:szCs w:val="24"/>
        </w:rPr>
        <w:t xml:space="preserve"> Lei 8.662/93 de regulamentação da profissão</w:t>
      </w:r>
      <w:r>
        <w:rPr>
          <w:sz w:val="24"/>
          <w:szCs w:val="24"/>
        </w:rPr>
        <w:t>. Brasília, Conselho Federal de Serviço Social. 1993</w:t>
      </w:r>
    </w:p>
    <w:p w:rsidR="00AB796D" w:rsidRDefault="00895C09">
      <w:pPr>
        <w:spacing w:line="240" w:lineRule="auto"/>
        <w:ind w:left="0" w:hanging="2"/>
        <w:jc w:val="both"/>
        <w:rPr>
          <w:sz w:val="24"/>
          <w:szCs w:val="24"/>
        </w:rPr>
      </w:pPr>
      <w:r>
        <w:rPr>
          <w:sz w:val="24"/>
          <w:szCs w:val="24"/>
        </w:rPr>
        <w:t>______. Ministério da Saúde.</w:t>
      </w:r>
      <w:r>
        <w:rPr>
          <w:b/>
          <w:sz w:val="24"/>
          <w:szCs w:val="24"/>
        </w:rPr>
        <w:t xml:space="preserve"> </w:t>
      </w:r>
      <w:r>
        <w:rPr>
          <w:b/>
          <w:sz w:val="24"/>
          <w:szCs w:val="24"/>
        </w:rPr>
        <w:t>Portaria nº 344, de 1º de fevereiro de 2017</w:t>
      </w:r>
      <w:r>
        <w:rPr>
          <w:sz w:val="24"/>
          <w:szCs w:val="24"/>
        </w:rPr>
        <w:t>. Dispõe sobre o preenchimento do quesito raça/cor nos formulários dos sistemas de informação em saúde. Diário Oficial da União: seção 1, Brasília, DF, n. 24, p. 62, 2 fev. 2017a.</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______. Ministério da Saúde. Sec</w:t>
      </w:r>
      <w:r>
        <w:rPr>
          <w:sz w:val="24"/>
          <w:szCs w:val="24"/>
        </w:rPr>
        <w:t xml:space="preserve">retaria de Gestão Estratégica e Participativa. Departamento de Apoio à Gestão Participativa e ao Controle Social. </w:t>
      </w:r>
      <w:r>
        <w:rPr>
          <w:b/>
          <w:sz w:val="24"/>
          <w:szCs w:val="24"/>
        </w:rPr>
        <w:t>Política Nacional de Saúde Integral da População Negra: uma política para o SUS</w:t>
      </w:r>
      <w:r>
        <w:rPr>
          <w:sz w:val="24"/>
          <w:szCs w:val="24"/>
        </w:rPr>
        <w:t>. 3ª. ed. – Brasília: Editora do Ministério da Saúde, 2017b. Di</w:t>
      </w:r>
      <w:r>
        <w:rPr>
          <w:sz w:val="24"/>
          <w:szCs w:val="24"/>
        </w:rPr>
        <w:t xml:space="preserve">sponível em: </w:t>
      </w:r>
      <w:hyperlink r:id="rId8">
        <w:r>
          <w:rPr>
            <w:color w:val="1155CC"/>
            <w:sz w:val="24"/>
            <w:szCs w:val="24"/>
            <w:u w:val="single"/>
          </w:rPr>
          <w:t>https://bvsms.saude.gov.br/bvs/publicacoes/politica_nacional_saude_populacao_negra_3d.pdf</w:t>
        </w:r>
      </w:hyperlink>
      <w:r>
        <w:rPr>
          <w:sz w:val="24"/>
          <w:szCs w:val="24"/>
        </w:rPr>
        <w:t>. Acesso em: 30 mai. 2025.</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 xml:space="preserve">______. Portaria </w:t>
      </w:r>
      <w:r>
        <w:rPr>
          <w:sz w:val="24"/>
          <w:szCs w:val="24"/>
        </w:rPr>
        <w:t>GM/MS nº 1.996, de 20 de agosto de 2007. Dispõe sobre as diretrizes para a implementação da Política Nacional de Educação Permanente em Saúde. Disponível em:</w:t>
      </w:r>
      <w:hyperlink r:id="rId9">
        <w:r>
          <w:rPr>
            <w:sz w:val="24"/>
            <w:szCs w:val="24"/>
          </w:rPr>
          <w:t xml:space="preserve"> </w:t>
        </w:r>
      </w:hyperlink>
      <w:hyperlink r:id="rId10">
        <w:r>
          <w:rPr>
            <w:color w:val="1155CC"/>
            <w:sz w:val="24"/>
            <w:szCs w:val="24"/>
            <w:u w:val="single"/>
          </w:rPr>
          <w:t>http://bvsms.saude.gov.br/bvs/saudelegis/gm/2007/prt1996_20_08_2007.html</w:t>
        </w:r>
      </w:hyperlink>
      <w:r>
        <w:rPr>
          <w:sz w:val="24"/>
          <w:szCs w:val="24"/>
        </w:rPr>
        <w:t>. Acesso em: 29 jun. 2025.</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 xml:space="preserve">CAMELO, A. </w:t>
      </w:r>
      <w:proofErr w:type="gramStart"/>
      <w:r>
        <w:rPr>
          <w:sz w:val="24"/>
          <w:szCs w:val="24"/>
        </w:rPr>
        <w:t>C. :</w:t>
      </w:r>
      <w:proofErr w:type="gramEnd"/>
      <w:r>
        <w:rPr>
          <w:sz w:val="24"/>
          <w:szCs w:val="24"/>
        </w:rPr>
        <w:t xml:space="preserve"> SEVERIANO E. M. O.: SILVA, L. A. RIBEIRO, H. M. C. B. </w:t>
      </w:r>
      <w:r>
        <w:rPr>
          <w:b/>
          <w:sz w:val="24"/>
          <w:szCs w:val="24"/>
        </w:rPr>
        <w:t xml:space="preserve">A Dimensão Pedagógica no Trabalho do Assistente Social: possibilidades de </w:t>
      </w:r>
      <w:r>
        <w:rPr>
          <w:b/>
          <w:sz w:val="24"/>
          <w:szCs w:val="24"/>
        </w:rPr>
        <w:lastRenderedPageBreak/>
        <w:t xml:space="preserve">desenvolvimento de práticas emancipatórias na política de assistência </w:t>
      </w:r>
      <w:proofErr w:type="spellStart"/>
      <w:proofErr w:type="gramStart"/>
      <w:r>
        <w:rPr>
          <w:b/>
          <w:sz w:val="24"/>
          <w:szCs w:val="24"/>
        </w:rPr>
        <w:t>social</w:t>
      </w:r>
      <w:r>
        <w:rPr>
          <w:sz w:val="24"/>
          <w:szCs w:val="24"/>
        </w:rPr>
        <w:t>.IX</w:t>
      </w:r>
      <w:proofErr w:type="spellEnd"/>
      <w:proofErr w:type="gramEnd"/>
      <w:r>
        <w:rPr>
          <w:sz w:val="24"/>
          <w:szCs w:val="24"/>
        </w:rPr>
        <w:t xml:space="preserve"> Jornada internacional de Políticas Públicas. Universidade Federal do Maranhão, 2019. Disponível em: &lt;</w:t>
      </w:r>
      <w:hyperlink r:id="rId11">
        <w:r>
          <w:rPr>
            <w:color w:val="1155CC"/>
            <w:sz w:val="24"/>
            <w:szCs w:val="24"/>
            <w:u w:val="single"/>
          </w:rPr>
          <w:t>http://www.joinpp.ufma.br/jornadas/joinpp2019/images/trabalhos/trabalho_submissaoId_441_4415cbbb5ee8a5d9.pdf</w:t>
        </w:r>
      </w:hyperlink>
      <w:r>
        <w:rPr>
          <w:sz w:val="24"/>
          <w:szCs w:val="24"/>
        </w:rPr>
        <w:t xml:space="preserve">&gt; Acesso em: 30 mai. </w:t>
      </w:r>
      <w:r>
        <w:rPr>
          <w:sz w:val="24"/>
          <w:szCs w:val="24"/>
        </w:rPr>
        <w:t>2025.</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 xml:space="preserve">CARNEIRO, Sueli. </w:t>
      </w:r>
      <w:r>
        <w:rPr>
          <w:b/>
          <w:sz w:val="24"/>
          <w:szCs w:val="24"/>
        </w:rPr>
        <w:t xml:space="preserve">Dispositivo de </w:t>
      </w:r>
      <w:proofErr w:type="spellStart"/>
      <w:r>
        <w:rPr>
          <w:b/>
          <w:sz w:val="24"/>
          <w:szCs w:val="24"/>
        </w:rPr>
        <w:t>Racialidade</w:t>
      </w:r>
      <w:proofErr w:type="spellEnd"/>
      <w:r>
        <w:rPr>
          <w:b/>
          <w:sz w:val="24"/>
          <w:szCs w:val="24"/>
        </w:rPr>
        <w:t>: A construção do outro como não-ser como fundamento do ser</w:t>
      </w:r>
      <w:r>
        <w:rPr>
          <w:sz w:val="24"/>
          <w:szCs w:val="24"/>
        </w:rPr>
        <w:t>. São Paulo: ZAHAR, 2005.</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 xml:space="preserve">COLLINS, P. H. BILGE, S. </w:t>
      </w:r>
      <w:r>
        <w:rPr>
          <w:b/>
          <w:sz w:val="24"/>
          <w:szCs w:val="24"/>
        </w:rPr>
        <w:t>Interseccionalidade</w:t>
      </w:r>
      <w:r>
        <w:rPr>
          <w:sz w:val="24"/>
          <w:szCs w:val="24"/>
        </w:rPr>
        <w:t xml:space="preserve">.  São Paulo: </w:t>
      </w:r>
      <w:proofErr w:type="spellStart"/>
      <w:r>
        <w:rPr>
          <w:sz w:val="24"/>
          <w:szCs w:val="24"/>
        </w:rPr>
        <w:t>Boitempo</w:t>
      </w:r>
      <w:proofErr w:type="spellEnd"/>
      <w:r>
        <w:rPr>
          <w:sz w:val="24"/>
          <w:szCs w:val="24"/>
        </w:rPr>
        <w:t>, 2020.</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 xml:space="preserve">COSTA-ROSA, Abílio da. </w:t>
      </w:r>
      <w:r>
        <w:rPr>
          <w:b/>
          <w:sz w:val="24"/>
          <w:szCs w:val="24"/>
        </w:rPr>
        <w:t>Atenção psicossocial a</w:t>
      </w:r>
      <w:r>
        <w:rPr>
          <w:b/>
          <w:sz w:val="24"/>
          <w:szCs w:val="24"/>
        </w:rPr>
        <w:t xml:space="preserve">lém da reforma psiquiátrica: contribuições a uma clínica crítica dos processos de subjetivação na saúde coletiva. </w:t>
      </w:r>
      <w:r>
        <w:rPr>
          <w:sz w:val="24"/>
          <w:szCs w:val="24"/>
        </w:rPr>
        <w:t>São Paulo: Editora Unesp, 2013.</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 xml:space="preserve">FREIRE, P. </w:t>
      </w:r>
      <w:r>
        <w:rPr>
          <w:b/>
          <w:sz w:val="24"/>
          <w:szCs w:val="24"/>
        </w:rPr>
        <w:t>Política e Educação</w:t>
      </w:r>
      <w:r>
        <w:rPr>
          <w:sz w:val="24"/>
          <w:szCs w:val="24"/>
        </w:rPr>
        <w:t xml:space="preserve">. 5 </w:t>
      </w:r>
      <w:proofErr w:type="spellStart"/>
      <w:r>
        <w:rPr>
          <w:sz w:val="24"/>
          <w:szCs w:val="24"/>
        </w:rPr>
        <w:t>ed</w:t>
      </w:r>
      <w:proofErr w:type="spellEnd"/>
      <w:r>
        <w:rPr>
          <w:sz w:val="24"/>
          <w:szCs w:val="24"/>
        </w:rPr>
        <w:t xml:space="preserve"> - São Paulo: Cortez, 2001.</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DAVID, E; VINCENTIN, M. Nem crioulo doido ne</w:t>
      </w:r>
      <w:r>
        <w:rPr>
          <w:sz w:val="24"/>
          <w:szCs w:val="24"/>
        </w:rPr>
        <w:t xml:space="preserve">m negra maluca: por um </w:t>
      </w:r>
      <w:proofErr w:type="spellStart"/>
      <w:r>
        <w:rPr>
          <w:sz w:val="24"/>
          <w:szCs w:val="24"/>
        </w:rPr>
        <w:t>aquilombamento</w:t>
      </w:r>
      <w:proofErr w:type="spellEnd"/>
      <w:r>
        <w:rPr>
          <w:sz w:val="24"/>
          <w:szCs w:val="24"/>
        </w:rPr>
        <w:t xml:space="preserve"> da Reforma Psiquiátrica Brasileira. </w:t>
      </w:r>
      <w:r>
        <w:rPr>
          <w:b/>
          <w:sz w:val="24"/>
          <w:szCs w:val="24"/>
        </w:rPr>
        <w:t>Saúde Debate</w:t>
      </w:r>
      <w:r>
        <w:rPr>
          <w:sz w:val="24"/>
          <w:szCs w:val="24"/>
        </w:rPr>
        <w:t>. Rio de Janeiro, V. 44, N. Especial 3, P. 264-277, outubro 2020.</w:t>
      </w:r>
    </w:p>
    <w:p w:rsidR="00AB796D" w:rsidRDefault="00895C09">
      <w:pPr>
        <w:spacing w:before="200" w:line="240" w:lineRule="auto"/>
        <w:ind w:left="0" w:hanging="2"/>
        <w:jc w:val="both"/>
        <w:rPr>
          <w:sz w:val="24"/>
          <w:szCs w:val="24"/>
        </w:rPr>
      </w:pPr>
      <w:r>
        <w:rPr>
          <w:sz w:val="24"/>
          <w:szCs w:val="24"/>
        </w:rPr>
        <w:t>DAVID, E. C.; VINCENTIN, M. C.; SCHUCMAN, L. V. Desnortear, aquilombar e o antimanicolonial: três ideias</w:t>
      </w:r>
      <w:r>
        <w:rPr>
          <w:sz w:val="24"/>
          <w:szCs w:val="24"/>
        </w:rPr>
        <w:t xml:space="preserve">-força para </w:t>
      </w:r>
      <w:proofErr w:type="spellStart"/>
      <w:r>
        <w:rPr>
          <w:sz w:val="24"/>
          <w:szCs w:val="24"/>
        </w:rPr>
        <w:t>racializar</w:t>
      </w:r>
      <w:proofErr w:type="spellEnd"/>
      <w:r>
        <w:rPr>
          <w:sz w:val="24"/>
          <w:szCs w:val="24"/>
        </w:rPr>
        <w:t xml:space="preserve"> a Reforma Psiquiátrica Brasileira. </w:t>
      </w:r>
      <w:r>
        <w:rPr>
          <w:b/>
          <w:sz w:val="24"/>
          <w:szCs w:val="24"/>
        </w:rPr>
        <w:t>Revista Ciência &amp; Saúde Coletiva.</w:t>
      </w:r>
      <w:r>
        <w:rPr>
          <w:sz w:val="24"/>
          <w:szCs w:val="24"/>
        </w:rPr>
        <w:t xml:space="preserve"> 2024. Disponível em: </w:t>
      </w:r>
      <w:hyperlink r:id="rId12">
        <w:r>
          <w:rPr>
            <w:color w:val="1155CC"/>
            <w:sz w:val="24"/>
            <w:szCs w:val="24"/>
            <w:u w:val="single"/>
          </w:rPr>
          <w:t>https://doi.org/10.1590/1413-81232024293.04432023</w:t>
        </w:r>
      </w:hyperlink>
      <w:r>
        <w:rPr>
          <w:sz w:val="24"/>
          <w:szCs w:val="24"/>
        </w:rPr>
        <w:t>. Acesso em: 27 jun. 2025</w:t>
      </w:r>
      <w:r>
        <w:rPr>
          <w:sz w:val="24"/>
          <w:szCs w:val="24"/>
        </w:rPr>
        <w:t>.</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 xml:space="preserve">GUIMARÃES, A.C.A. VERAS, A.B. CARLI, A.D. Cuidado em Liberdade, um Encontro Entre Paulo Freire e a Reforma Psiquiátrica. </w:t>
      </w:r>
      <w:r>
        <w:rPr>
          <w:b/>
          <w:sz w:val="24"/>
          <w:szCs w:val="24"/>
        </w:rPr>
        <w:t>Revista Psicologia e Saúde</w:t>
      </w:r>
      <w:r>
        <w:rPr>
          <w:sz w:val="24"/>
          <w:szCs w:val="24"/>
        </w:rPr>
        <w:t xml:space="preserve">, v. 10, n. 1, jan./abr. 2018, p. 91-103. Disponível em:  </w:t>
      </w:r>
      <w:hyperlink r:id="rId13">
        <w:r>
          <w:rPr>
            <w:color w:val="1155CC"/>
            <w:sz w:val="24"/>
            <w:szCs w:val="24"/>
            <w:u w:val="single"/>
          </w:rPr>
          <w:t>http://dx.doi.org/10.20435/pssa.v10i1.696</w:t>
        </w:r>
      </w:hyperlink>
      <w:r>
        <w:rPr>
          <w:sz w:val="24"/>
          <w:szCs w:val="24"/>
        </w:rPr>
        <w:t>. Acesso em: 30 mai. 2025.</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 xml:space="preserve">INSTITUTO BRASILEIRO DE GEOGRAFIA E ESTATÍSTICA (IBGE). </w:t>
      </w:r>
      <w:r>
        <w:rPr>
          <w:b/>
          <w:sz w:val="24"/>
          <w:szCs w:val="24"/>
        </w:rPr>
        <w:t>Censo Demográfico 2022</w:t>
      </w:r>
      <w:r>
        <w:rPr>
          <w:sz w:val="24"/>
          <w:szCs w:val="24"/>
        </w:rPr>
        <w:t>. Rio de Janeiro: IBGE, 2022. Disponível em:</w:t>
      </w:r>
      <w:hyperlink r:id="rId14">
        <w:r>
          <w:rPr>
            <w:sz w:val="24"/>
            <w:szCs w:val="24"/>
          </w:rPr>
          <w:t xml:space="preserve"> </w:t>
        </w:r>
      </w:hyperlink>
      <w:hyperlink r:id="rId15">
        <w:r>
          <w:rPr>
            <w:color w:val="1155CC"/>
            <w:sz w:val="24"/>
            <w:szCs w:val="24"/>
            <w:u w:val="single"/>
          </w:rPr>
          <w:t>https://www.ibge.gov.br/estatisticas/sociais/saud</w:t>
        </w:r>
        <w:r>
          <w:rPr>
            <w:color w:val="1155CC"/>
            <w:sz w:val="24"/>
            <w:szCs w:val="24"/>
            <w:u w:val="single"/>
          </w:rPr>
          <w:t>e/22827-censo-demografico-2022.html</w:t>
        </w:r>
      </w:hyperlink>
      <w:r>
        <w:rPr>
          <w:sz w:val="24"/>
          <w:szCs w:val="24"/>
        </w:rPr>
        <w:t>. Acesso em: 28 jun. 2025.</w:t>
      </w:r>
    </w:p>
    <w:p w:rsidR="00AB796D" w:rsidRDefault="00AB796D">
      <w:pPr>
        <w:spacing w:line="240" w:lineRule="auto"/>
        <w:ind w:left="0" w:hanging="2"/>
        <w:jc w:val="both"/>
        <w:rPr>
          <w:sz w:val="24"/>
          <w:szCs w:val="24"/>
        </w:rPr>
      </w:pPr>
    </w:p>
    <w:p w:rsidR="00AB796D" w:rsidRDefault="00895C09">
      <w:pPr>
        <w:spacing w:line="240" w:lineRule="auto"/>
        <w:ind w:left="0" w:hanging="2"/>
        <w:jc w:val="both"/>
        <w:rPr>
          <w:sz w:val="24"/>
          <w:szCs w:val="24"/>
        </w:rPr>
      </w:pPr>
      <w:r>
        <w:rPr>
          <w:sz w:val="24"/>
          <w:szCs w:val="24"/>
        </w:rPr>
        <w:t xml:space="preserve">SANTOS, E.R. LANZA. L. M. B. CARVALHO, B. G. Educação Permanente em Saúde: a experiência do serviço social com Equipes Saúde da Família. </w:t>
      </w:r>
      <w:r>
        <w:rPr>
          <w:b/>
          <w:sz w:val="24"/>
          <w:szCs w:val="24"/>
        </w:rPr>
        <w:t>Textos &amp; Contextos</w:t>
      </w:r>
      <w:r>
        <w:rPr>
          <w:sz w:val="24"/>
          <w:szCs w:val="24"/>
        </w:rPr>
        <w:t>. Porto Alegre, v. 10, n. 1, p. 16 - 2</w:t>
      </w:r>
      <w:r>
        <w:rPr>
          <w:sz w:val="24"/>
          <w:szCs w:val="24"/>
        </w:rPr>
        <w:t>5, jan./jul. 2011.</w:t>
      </w:r>
    </w:p>
    <w:p w:rsidR="00AB796D" w:rsidRDefault="00AB796D">
      <w:pPr>
        <w:spacing w:line="240" w:lineRule="auto"/>
        <w:ind w:left="0" w:hanging="2"/>
        <w:jc w:val="both"/>
        <w:rPr>
          <w:sz w:val="24"/>
          <w:szCs w:val="24"/>
        </w:rPr>
      </w:pPr>
    </w:p>
    <w:sectPr w:rsidR="00AB796D">
      <w:headerReference w:type="default" r:id="rId16"/>
      <w:footerReference w:type="default" r:id="rId17"/>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C09" w:rsidRDefault="00895C09">
      <w:pPr>
        <w:spacing w:line="240" w:lineRule="auto"/>
        <w:ind w:left="0" w:hanging="2"/>
      </w:pPr>
      <w:r>
        <w:separator/>
      </w:r>
    </w:p>
  </w:endnote>
  <w:endnote w:type="continuationSeparator" w:id="0">
    <w:p w:rsidR="00895C09" w:rsidRDefault="00895C0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796D" w:rsidRDefault="00AB796D">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C09" w:rsidRDefault="00895C09">
      <w:pPr>
        <w:spacing w:line="240" w:lineRule="auto"/>
        <w:ind w:left="0" w:hanging="2"/>
      </w:pPr>
      <w:r>
        <w:separator/>
      </w:r>
    </w:p>
  </w:footnote>
  <w:footnote w:type="continuationSeparator" w:id="0">
    <w:p w:rsidR="00895C09" w:rsidRDefault="00895C09">
      <w:pPr>
        <w:spacing w:line="240" w:lineRule="auto"/>
        <w:ind w:left="0" w:hanging="2"/>
      </w:pPr>
      <w:r>
        <w:continuationSeparator/>
      </w:r>
    </w:p>
  </w:footnote>
  <w:footnote w:id="1">
    <w:p w:rsidR="00AB796D" w:rsidRDefault="00895C09">
      <w:pPr>
        <w:spacing w:line="240" w:lineRule="auto"/>
        <w:ind w:left="0" w:hanging="2"/>
        <w:jc w:val="both"/>
        <w:rPr>
          <w:sz w:val="20"/>
          <w:szCs w:val="20"/>
        </w:rPr>
      </w:pPr>
      <w:r>
        <w:rPr>
          <w:vertAlign w:val="superscript"/>
        </w:rPr>
        <w:footnoteRef/>
      </w:r>
      <w:r>
        <w:rPr>
          <w:sz w:val="20"/>
          <w:szCs w:val="20"/>
        </w:rPr>
        <w:t xml:space="preserve"> </w:t>
      </w:r>
      <w:r>
        <w:rPr>
          <w:sz w:val="20"/>
          <w:szCs w:val="20"/>
        </w:rPr>
        <w:t xml:space="preserve">Assistente Social. Mestrando em Serviço Social na Escola de Serviço Social da UFRJ. Técnico da Política de Assistência Social do município de Nova Iguaçu pela Casa de Acolhida para Crianças Laranja Lima.  Pesquisador do Projeto de Pesquisa e Extensão Luta </w:t>
      </w:r>
      <w:r>
        <w:rPr>
          <w:sz w:val="20"/>
          <w:szCs w:val="20"/>
        </w:rPr>
        <w:t xml:space="preserve">Antimanicomial e Feminismos e da Pesquisa Censo Psicossocial dos usuários dos serviços de saúde mental do Estado do Rio de Janeiro, financiado pelo CNPQ, CAPES e FAPERJ. E-mail: </w:t>
      </w:r>
      <w:hyperlink r:id="rId1">
        <w:r>
          <w:rPr>
            <w:color w:val="1155CC"/>
            <w:sz w:val="20"/>
            <w:szCs w:val="20"/>
            <w:u w:val="single"/>
          </w:rPr>
          <w:t>mathmoreirasoares@gmail.</w:t>
        </w:r>
        <w:r>
          <w:rPr>
            <w:color w:val="1155CC"/>
            <w:sz w:val="20"/>
            <w:szCs w:val="20"/>
            <w:u w:val="single"/>
          </w:rPr>
          <w:t>com</w:t>
        </w:r>
      </w:hyperlink>
      <w:r>
        <w:rPr>
          <w:sz w:val="20"/>
          <w:szCs w:val="20"/>
        </w:rPr>
        <w:t xml:space="preserve"> </w:t>
      </w:r>
    </w:p>
  </w:footnote>
  <w:footnote w:id="2">
    <w:p w:rsidR="00AB796D" w:rsidRDefault="00895C09">
      <w:pPr>
        <w:spacing w:line="240" w:lineRule="auto"/>
        <w:ind w:left="0" w:hanging="2"/>
        <w:jc w:val="both"/>
        <w:rPr>
          <w:sz w:val="20"/>
          <w:szCs w:val="20"/>
        </w:rPr>
      </w:pPr>
      <w:r>
        <w:rPr>
          <w:vertAlign w:val="superscript"/>
        </w:rPr>
        <w:footnoteRef/>
      </w:r>
      <w:r>
        <w:rPr>
          <w:sz w:val="20"/>
          <w:szCs w:val="20"/>
        </w:rPr>
        <w:t xml:space="preserve"> Bacharel em Saúde Coletiva pela Universidade Federal do Rio de Janeiro (IESC/UFRJ). Pesquisadora do Projeto de Pesquisa e Extensão Luta Antimanicomial e Feminismos e da Pesquisa Censo Psicossocial dos usuários dos serviços de saúde mental do Estado </w:t>
      </w:r>
      <w:r>
        <w:rPr>
          <w:sz w:val="20"/>
          <w:szCs w:val="20"/>
        </w:rPr>
        <w:t xml:space="preserve">do Rio de Janeiro, financiado pelo CNPQ, CAPES e FAPERJ. E-mail: </w:t>
      </w:r>
      <w:hyperlink r:id="rId2">
        <w:r>
          <w:rPr>
            <w:color w:val="1155CC"/>
            <w:sz w:val="20"/>
            <w:szCs w:val="20"/>
            <w:u w:val="single"/>
          </w:rPr>
          <w:t>Stefanyvieira@ufrj.br</w:t>
        </w:r>
      </w:hyperlink>
      <w:r>
        <w:rPr>
          <w:sz w:val="20"/>
          <w:szCs w:val="20"/>
        </w:rPr>
        <w:t>.</w:t>
      </w:r>
    </w:p>
  </w:footnote>
  <w:footnote w:id="3">
    <w:p w:rsidR="00AB796D" w:rsidRDefault="00895C09">
      <w:pPr>
        <w:spacing w:line="240" w:lineRule="auto"/>
        <w:ind w:left="0" w:hanging="2"/>
        <w:jc w:val="both"/>
        <w:rPr>
          <w:sz w:val="20"/>
          <w:szCs w:val="20"/>
        </w:rPr>
      </w:pPr>
      <w:r>
        <w:rPr>
          <w:vertAlign w:val="superscript"/>
        </w:rPr>
        <w:footnoteRef/>
      </w:r>
      <w:r>
        <w:rPr>
          <w:sz w:val="20"/>
          <w:szCs w:val="20"/>
        </w:rPr>
        <w:t xml:space="preserve"> Bacharel em Serviço Social. Mestranda no Programa de </w:t>
      </w:r>
      <w:proofErr w:type="gramStart"/>
      <w:r>
        <w:rPr>
          <w:sz w:val="20"/>
          <w:szCs w:val="20"/>
        </w:rPr>
        <w:t>Pós Graduação</w:t>
      </w:r>
      <w:proofErr w:type="gramEnd"/>
      <w:r>
        <w:rPr>
          <w:sz w:val="20"/>
          <w:szCs w:val="20"/>
        </w:rPr>
        <w:t xml:space="preserve"> em Serviço Social da Universidade Federal do Rio de J</w:t>
      </w:r>
      <w:r>
        <w:rPr>
          <w:sz w:val="20"/>
          <w:szCs w:val="20"/>
        </w:rPr>
        <w:t>aneiro (PPGSS/UFRJ). Pesquisadora do Projeto de Pesquisa e Extensão Luta Antimanicomial e da Pesquisa Censo Psicossocial dos usuários dos serviços de saúde mental do Estado do Rio de Janeiro, financiado pelo CNPQ e Capes. Pesquisadora da Rede de Estudos, P</w:t>
      </w:r>
      <w:r>
        <w:rPr>
          <w:sz w:val="20"/>
          <w:szCs w:val="20"/>
        </w:rPr>
        <w:t xml:space="preserve">esquisa, Extensão e Ensino (REPENSSE) da Escola de Serviço Social da UFRJ. E-mail: </w:t>
      </w:r>
      <w:hyperlink r:id="rId3">
        <w:r>
          <w:rPr>
            <w:color w:val="1155CC"/>
            <w:sz w:val="20"/>
            <w:szCs w:val="20"/>
            <w:u w:val="single"/>
          </w:rPr>
          <w:t>leticiabreufrj@gmail.com</w:t>
        </w:r>
      </w:hyperlink>
    </w:p>
  </w:footnote>
  <w:footnote w:id="4">
    <w:p w:rsidR="00AB796D" w:rsidRDefault="00895C09">
      <w:pPr>
        <w:spacing w:line="240" w:lineRule="auto"/>
        <w:ind w:left="0" w:hanging="2"/>
        <w:jc w:val="both"/>
      </w:pPr>
      <w:r>
        <w:rPr>
          <w:vertAlign w:val="superscript"/>
        </w:rPr>
        <w:footnoteRef/>
      </w:r>
      <w:r>
        <w:rPr>
          <w:sz w:val="20"/>
          <w:szCs w:val="20"/>
        </w:rPr>
        <w:t xml:space="preserve"> Pós-Doutoranda pela Escola de Serviço Social da Universidade Federal do Rio de Janeiro. Psicólo</w:t>
      </w:r>
      <w:r>
        <w:rPr>
          <w:sz w:val="20"/>
          <w:szCs w:val="20"/>
        </w:rPr>
        <w:t>ga graduada pela Universidade de Brasília (2011). Mestrado em Psicologia Clínica e Cultura - UnB (2013), com temática relacionada à violência sexual contra criança/adolescente e a intervenções psicossociais em rede. Doutorado em Processos do Desenvolviment</w:t>
      </w:r>
      <w:r>
        <w:rPr>
          <w:sz w:val="20"/>
          <w:szCs w:val="20"/>
        </w:rPr>
        <w:t xml:space="preserve">o Humano e Saúde - UnB (2017), direcionado à análise de práticas profissionais de trabalhadores sociais que atendem as situações de violação de direitos da infância e da adolescência. Atualmente, é Analista de Promotoria do Ministério Público do Estado de </w:t>
      </w:r>
      <w:r>
        <w:rPr>
          <w:sz w:val="20"/>
          <w:szCs w:val="20"/>
        </w:rPr>
        <w:t xml:space="preserve">São Paulo. Pesquisadora do Projeto de Pesquisa e Extensão Luta Antimanicomial e Feminismos e da Pesquisa Censo Psicossocial dos usuários dos serviços de saúde mental do Estado do Rio de Janeiro, financiado pelo CNPQ, CAPES e FAPERJ. E-mail: </w:t>
      </w:r>
      <w:hyperlink r:id="rId4">
        <w:r>
          <w:rPr>
            <w:color w:val="1155CC"/>
            <w:sz w:val="20"/>
            <w:szCs w:val="20"/>
            <w:u w:val="single"/>
          </w:rPr>
          <w:t>jessicamalaquiasunb@gmail.com</w:t>
        </w:r>
      </w:hyperlink>
      <w:r>
        <w:rPr>
          <w:sz w:val="20"/>
          <w:szCs w:val="20"/>
        </w:rPr>
        <w:t xml:space="preserve"> </w:t>
      </w:r>
    </w:p>
  </w:footnote>
  <w:footnote w:id="5">
    <w:p w:rsidR="00AB796D" w:rsidRDefault="00895C09">
      <w:pPr>
        <w:spacing w:line="240" w:lineRule="auto"/>
        <w:ind w:left="0" w:hanging="2"/>
        <w:jc w:val="both"/>
        <w:rPr>
          <w:sz w:val="20"/>
          <w:szCs w:val="20"/>
        </w:rPr>
      </w:pPr>
      <w:r>
        <w:rPr>
          <w:vertAlign w:val="superscript"/>
        </w:rPr>
        <w:footnoteRef/>
      </w:r>
      <w:r>
        <w:rPr>
          <w:sz w:val="20"/>
          <w:szCs w:val="20"/>
        </w:rPr>
        <w:t xml:space="preserve"> Assistente Social. Pós-Doutora em Direito (PUC/RJ). Professora da Graduação e da Pós-Graduação da Escola de Serviço So</w:t>
      </w:r>
      <w:r>
        <w:rPr>
          <w:sz w:val="20"/>
          <w:szCs w:val="20"/>
        </w:rPr>
        <w:t>cial da UFRJ. Colaboradora do Programa de Pós-Graduação em Política Social da UFF. Coordenadora do Projeto de Pesquisa e Extensão Luta Antimanicomial e Feminismos e da Pesquisa Censo Psicossocial dos usuários dos serviços de saúde mental do Estado do Rio d</w:t>
      </w:r>
      <w:r>
        <w:rPr>
          <w:sz w:val="20"/>
          <w:szCs w:val="20"/>
        </w:rPr>
        <w:t xml:space="preserve">e Janeiro, financiado pelo CNPQ, CAPES e FAPERJ. E-mail: </w:t>
      </w:r>
      <w:hyperlink r:id="rId5">
        <w:r>
          <w:rPr>
            <w:color w:val="1155CC"/>
            <w:sz w:val="20"/>
            <w:szCs w:val="20"/>
            <w:u w:val="single"/>
          </w:rPr>
          <w:t>rachel.gouveia@gmail.com</w:t>
        </w:r>
      </w:hyperlink>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796D" w:rsidRDefault="00895C09">
    <w:pPr>
      <w:ind w:left="0" w:hanging="2"/>
    </w:pPr>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B7E26"/>
    <w:multiLevelType w:val="multilevel"/>
    <w:tmpl w:val="B262E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96D"/>
    <w:rsid w:val="00401E40"/>
    <w:rsid w:val="00895C09"/>
    <w:rsid w:val="00AB79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2E14B"/>
  <w15:docId w15:val="{F1EEFF40-9CD0-4010-89D6-322534D9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bvsms.saude.gov.br/bvs/publicacoes/politica_nacional_saude_populacao_negra_3d.pdf" TargetMode="External"/><Relationship Id="rId13" Type="http://schemas.openxmlformats.org/officeDocument/2006/relationships/hyperlink" Target="http://dx.doi.org/10.20435/pssa.v10i1.69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590/1413-81232024293.0443202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inpp.ufma.br/jornadas/joinpp2019/images/trabalhos/trabalho_submissaoId_441_4415cbbb5ee8a5d9.pdf" TargetMode="External"/><Relationship Id="rId5" Type="http://schemas.openxmlformats.org/officeDocument/2006/relationships/webSettings" Target="webSettings.xml"/><Relationship Id="rId15" Type="http://schemas.openxmlformats.org/officeDocument/2006/relationships/hyperlink" Target="https://www.ibge.gov.br/estatisticas/sociais/saude/22827-censo-demografico-2022.html" TargetMode="External"/><Relationship Id="rId10" Type="http://schemas.openxmlformats.org/officeDocument/2006/relationships/hyperlink" Target="http://bvsms.saude.gov.br/bvs/saudelegis/gm/2007/prt1996_20_08_2007.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vsms.saude.gov.br/bvs/saudelegis/gm/2007/prt1996_20_08_2007.html" TargetMode="External"/><Relationship Id="rId14" Type="http://schemas.openxmlformats.org/officeDocument/2006/relationships/hyperlink" Target="https://www.ibge.gov.br/estatisticas/sociais/saude/22827-censo-demografico-2022.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leticiabreufrj@gmail.com" TargetMode="External"/><Relationship Id="rId2" Type="http://schemas.openxmlformats.org/officeDocument/2006/relationships/hyperlink" Target="mailto:Stefanyvieira@ufrj.br" TargetMode="External"/><Relationship Id="rId1" Type="http://schemas.openxmlformats.org/officeDocument/2006/relationships/hyperlink" Target="mailto:mathmoreirasoares@gmail.com" TargetMode="External"/><Relationship Id="rId5" Type="http://schemas.openxmlformats.org/officeDocument/2006/relationships/hyperlink" Target="mailto:rachel.gouveia@gmail.com" TargetMode="External"/><Relationship Id="rId4" Type="http://schemas.openxmlformats.org/officeDocument/2006/relationships/hyperlink" Target="mailto:jessicamalaquiasunb@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eOfc37CJojMT3kaUdBFE5njWQ==">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3823</Words>
  <Characters>20650</Characters>
  <Application>Microsoft Office Word</Application>
  <DocSecurity>0</DocSecurity>
  <Lines>172</Lines>
  <Paragraphs>48</Paragraphs>
  <ScaleCrop>false</ScaleCrop>
  <Company/>
  <LinksUpToDate>false</LinksUpToDate>
  <CharactersWithSpaces>24425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dcterms:created xsi:type="dcterms:W3CDTF">2025-02-17T16:43:00Z</dcterms:created>
  <dcterms:modified xsi:type="dcterms:W3CDTF">2025-07-03T14:58:00Z</dcterms:modified>
</cp:coreProperties>
</file>