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38711" w14:textId="77777777" w:rsidR="004F776F" w:rsidRPr="00C30BB9" w:rsidRDefault="00431F3D" w:rsidP="00C30BB9">
      <w:pPr>
        <w:spacing w:line="360" w:lineRule="auto"/>
        <w:jc w:val="center"/>
        <w:rPr>
          <w:sz w:val="24"/>
          <w:szCs w:val="24"/>
        </w:rPr>
      </w:pPr>
      <w:r w:rsidRPr="00431F3D">
        <w:rPr>
          <w:b/>
          <w:bCs/>
          <w:sz w:val="24"/>
          <w:szCs w:val="24"/>
        </w:rPr>
        <w:t>ENTRE AFETOS E DIREITOS</w:t>
      </w:r>
      <w:r w:rsidRPr="00431F3D">
        <w:rPr>
          <w:sz w:val="24"/>
          <w:szCs w:val="24"/>
        </w:rPr>
        <w:t>: As Lutas das Mulheres LBTIAP por Reconhecimento Familiar no Brasil</w:t>
      </w:r>
    </w:p>
    <w:p w14:paraId="1CA179A2" w14:textId="77777777" w:rsidR="004F776F" w:rsidRDefault="00431F3D" w:rsidP="00ED6F48">
      <w:pPr>
        <w:spacing w:line="240" w:lineRule="auto"/>
        <w:jc w:val="right"/>
        <w:rPr>
          <w:bCs/>
        </w:rPr>
      </w:pPr>
      <w:r w:rsidRPr="00431F3D">
        <w:rPr>
          <w:bCs/>
        </w:rPr>
        <w:t>Laryssa Fernanda Pires Cruz</w:t>
      </w:r>
      <w:r>
        <w:rPr>
          <w:rStyle w:val="Refdenotaderodap"/>
          <w:bCs/>
        </w:rPr>
        <w:footnoteReference w:id="1"/>
      </w:r>
    </w:p>
    <w:p w14:paraId="79C40940" w14:textId="77777777" w:rsidR="00431F3D" w:rsidRPr="00431F3D" w:rsidRDefault="00431F3D" w:rsidP="00ED6F48">
      <w:pPr>
        <w:spacing w:line="240" w:lineRule="auto"/>
        <w:jc w:val="right"/>
        <w:rPr>
          <w:bCs/>
        </w:rPr>
      </w:pPr>
      <w:r>
        <w:rPr>
          <w:bCs/>
        </w:rPr>
        <w:t>Marjorie</w:t>
      </w:r>
      <w:r w:rsidR="00ED6F48">
        <w:rPr>
          <w:bCs/>
        </w:rPr>
        <w:t xml:space="preserve"> Evelyn Maranhão Silva</w:t>
      </w:r>
      <w:r w:rsidR="00ED6F48">
        <w:rPr>
          <w:rStyle w:val="Refdenotaderodap"/>
          <w:bCs/>
        </w:rPr>
        <w:footnoteReference w:id="2"/>
      </w:r>
    </w:p>
    <w:p w14:paraId="70A3CE70" w14:textId="77777777" w:rsidR="005C4655" w:rsidRPr="00C30BB9" w:rsidRDefault="005C4655" w:rsidP="00C30BB9">
      <w:pPr>
        <w:spacing w:line="360" w:lineRule="auto"/>
        <w:ind w:left="2835"/>
        <w:jc w:val="both"/>
        <w:rPr>
          <w:b/>
          <w:sz w:val="24"/>
          <w:szCs w:val="24"/>
        </w:rPr>
      </w:pPr>
    </w:p>
    <w:p w14:paraId="573397FF" w14:textId="77777777" w:rsidR="004F776F" w:rsidRPr="00C30BB9" w:rsidRDefault="004F776F" w:rsidP="00C30BB9">
      <w:pPr>
        <w:spacing w:line="240" w:lineRule="auto"/>
        <w:ind w:left="2835"/>
        <w:jc w:val="both"/>
        <w:rPr>
          <w:b/>
          <w:sz w:val="20"/>
          <w:szCs w:val="20"/>
        </w:rPr>
      </w:pPr>
      <w:r w:rsidRPr="00C30BB9">
        <w:rPr>
          <w:b/>
          <w:sz w:val="20"/>
          <w:szCs w:val="20"/>
        </w:rPr>
        <w:t>Resumo</w:t>
      </w:r>
    </w:p>
    <w:p w14:paraId="715AEE78" w14:textId="77777777" w:rsidR="00B72D78" w:rsidRDefault="00B72D78" w:rsidP="00C30BB9">
      <w:pPr>
        <w:spacing w:line="240" w:lineRule="auto"/>
        <w:ind w:left="2835"/>
        <w:jc w:val="both"/>
        <w:rPr>
          <w:sz w:val="20"/>
          <w:szCs w:val="20"/>
        </w:rPr>
      </w:pPr>
      <w:r w:rsidRPr="00B72D78">
        <w:rPr>
          <w:sz w:val="20"/>
          <w:szCs w:val="20"/>
        </w:rPr>
        <w:t>Este trabalho analisa os desafios enfrentados por mulheres LBTIAP no reconhecimento de seus direitos familiares no Brasil. Partindo da exclusão histórica de modelos familiares dissidentes da cisheteronormatividade, a pesquisa destac</w:t>
      </w:r>
      <w:r w:rsidR="00960F93">
        <w:rPr>
          <w:sz w:val="20"/>
          <w:szCs w:val="20"/>
        </w:rPr>
        <w:t>a a evolução jurídica e social</w:t>
      </w:r>
      <w:r w:rsidRPr="00B72D78">
        <w:rPr>
          <w:sz w:val="20"/>
          <w:szCs w:val="20"/>
        </w:rPr>
        <w:t xml:space="preserve"> em favor da diversidade, como o reconhecimento da união estável homoafetiva e o registro de dupla maternidade. Contudo, ainda persistem obstáculos legais e institucionais, como a exigência de formalização da união para fins de filiação, a lentidão legislativa e o preconceito nos serviços de saúde. A pesquisa defende uma abordagem interseccional e inclusiva no direito das famílias, que reconheça a pluralidade das formas de afeto e parentalidade. Conclui que apenas com políticas públicas robustas e participação ativa das mulheres LBTIAP será possível garantir cidadania plena e justiça social.</w:t>
      </w:r>
    </w:p>
    <w:p w14:paraId="487B73D2" w14:textId="661D4014" w:rsidR="004F776F" w:rsidRDefault="004F776F" w:rsidP="00C30BB9">
      <w:pPr>
        <w:spacing w:line="240" w:lineRule="auto"/>
        <w:ind w:left="2835"/>
        <w:jc w:val="both"/>
        <w:rPr>
          <w:sz w:val="20"/>
          <w:szCs w:val="20"/>
        </w:rPr>
      </w:pPr>
      <w:r w:rsidRPr="00C30BB9">
        <w:rPr>
          <w:b/>
          <w:sz w:val="20"/>
          <w:szCs w:val="20"/>
        </w:rPr>
        <w:t>Palavras-chave</w:t>
      </w:r>
      <w:r w:rsidRPr="00C30BB9">
        <w:rPr>
          <w:sz w:val="20"/>
          <w:szCs w:val="20"/>
        </w:rPr>
        <w:t>:</w:t>
      </w:r>
      <w:r w:rsidR="00FC0F40">
        <w:rPr>
          <w:sz w:val="20"/>
          <w:szCs w:val="20"/>
        </w:rPr>
        <w:t xml:space="preserve"> mulheres; famílias homoafetivas;</w:t>
      </w:r>
      <w:r w:rsidR="00467F63">
        <w:rPr>
          <w:sz w:val="20"/>
          <w:szCs w:val="20"/>
        </w:rPr>
        <w:t xml:space="preserve"> </w:t>
      </w:r>
      <w:r w:rsidR="00FC0F40">
        <w:rPr>
          <w:sz w:val="20"/>
          <w:szCs w:val="20"/>
        </w:rPr>
        <w:t>maternidade</w:t>
      </w:r>
      <w:r w:rsidR="00467F63">
        <w:rPr>
          <w:sz w:val="20"/>
          <w:szCs w:val="20"/>
        </w:rPr>
        <w:t>.</w:t>
      </w:r>
    </w:p>
    <w:p w14:paraId="43170D70" w14:textId="77777777" w:rsidR="00FC0F40" w:rsidRPr="00FC0F40" w:rsidRDefault="00FC0F40" w:rsidP="00C30BB9">
      <w:pPr>
        <w:spacing w:line="240" w:lineRule="auto"/>
        <w:ind w:left="2835"/>
        <w:jc w:val="both"/>
        <w:rPr>
          <w:sz w:val="20"/>
          <w:szCs w:val="20"/>
        </w:rPr>
      </w:pPr>
    </w:p>
    <w:p w14:paraId="666B6CD5" w14:textId="77777777" w:rsidR="004F776F" w:rsidRPr="00C30BB9" w:rsidRDefault="004F776F" w:rsidP="00C30BB9">
      <w:pPr>
        <w:spacing w:line="240" w:lineRule="auto"/>
        <w:ind w:left="2835"/>
        <w:jc w:val="both"/>
        <w:rPr>
          <w:b/>
          <w:sz w:val="20"/>
          <w:szCs w:val="20"/>
          <w:lang w:val="en-US"/>
        </w:rPr>
      </w:pPr>
      <w:r w:rsidRPr="00C30BB9">
        <w:rPr>
          <w:b/>
          <w:sz w:val="20"/>
          <w:szCs w:val="20"/>
          <w:lang w:val="en-US"/>
        </w:rPr>
        <w:t>Abstract</w:t>
      </w:r>
    </w:p>
    <w:p w14:paraId="423B1DD7" w14:textId="77777777" w:rsidR="00B72D78" w:rsidRPr="00B72D78" w:rsidRDefault="00B72D78" w:rsidP="00B35D04">
      <w:pPr>
        <w:spacing w:line="240" w:lineRule="auto"/>
        <w:ind w:left="2835"/>
        <w:jc w:val="both"/>
        <w:rPr>
          <w:sz w:val="20"/>
          <w:szCs w:val="20"/>
          <w:lang w:val="de-DE"/>
        </w:rPr>
      </w:pPr>
      <w:r w:rsidRPr="00B72D78">
        <w:rPr>
          <w:sz w:val="20"/>
          <w:szCs w:val="20"/>
          <w:lang w:val="de-DE"/>
        </w:rPr>
        <w:t>This paper analyzes the challenges faced by LBTIAP women in securing family rights in Brazil. Starting from the historical exclusion of family models that deviate from cisheteronormativity, the researc</w:t>
      </w:r>
      <w:r w:rsidR="00960F93">
        <w:rPr>
          <w:sz w:val="20"/>
          <w:szCs w:val="20"/>
          <w:lang w:val="de-DE"/>
        </w:rPr>
        <w:t>h highlights legal and social</w:t>
      </w:r>
      <w:r w:rsidRPr="00B72D78">
        <w:rPr>
          <w:sz w:val="20"/>
          <w:szCs w:val="20"/>
          <w:lang w:val="de-DE"/>
        </w:rPr>
        <w:t xml:space="preserve"> advances toward diversity, such as the recognition of same-gender civil unions and dual motherhood registration. However, legal and institutional barriers persist, including the requirement of formalized unions for parental recognition, legislative delays, and prejudice in healthcare services. The study advocates for an intersectional and inclusive approach to family law that embraces the plurality of affective and parental bonds. It concludes that only with robust public policies and the active participation of LBTIAP women will it be possible to ensure full citizenship and social justice.</w:t>
      </w:r>
    </w:p>
    <w:p w14:paraId="70F4A19C" w14:textId="59940F0B" w:rsidR="00B72D78" w:rsidRPr="00467F63" w:rsidRDefault="00B72D78" w:rsidP="00B35D04">
      <w:pPr>
        <w:spacing w:line="240" w:lineRule="auto"/>
        <w:ind w:left="2835"/>
        <w:jc w:val="both"/>
        <w:rPr>
          <w:sz w:val="20"/>
          <w:szCs w:val="20"/>
          <w:lang w:val="de-DE"/>
        </w:rPr>
      </w:pPr>
      <w:r w:rsidRPr="00467F63">
        <w:rPr>
          <w:b/>
          <w:bCs/>
          <w:sz w:val="20"/>
          <w:szCs w:val="20"/>
          <w:lang w:val="de-DE"/>
        </w:rPr>
        <w:t>Keywords</w:t>
      </w:r>
      <w:r w:rsidRPr="00467F63">
        <w:rPr>
          <w:sz w:val="20"/>
          <w:szCs w:val="20"/>
          <w:lang w:val="de-DE"/>
        </w:rPr>
        <w:t>: LBTIAP women; same-gender families; motherhood</w:t>
      </w:r>
      <w:r w:rsidR="00467F63">
        <w:rPr>
          <w:sz w:val="20"/>
          <w:szCs w:val="20"/>
          <w:lang w:val="de-DE"/>
        </w:rPr>
        <w:t>.</w:t>
      </w:r>
    </w:p>
    <w:p w14:paraId="73E8DC13" w14:textId="77777777" w:rsidR="004F776F" w:rsidRPr="00467F63" w:rsidRDefault="004F776F" w:rsidP="00C30BB9">
      <w:pPr>
        <w:spacing w:line="240" w:lineRule="auto"/>
        <w:jc w:val="both"/>
        <w:rPr>
          <w:sz w:val="20"/>
          <w:szCs w:val="20"/>
          <w:lang w:val="de-DE"/>
        </w:rPr>
      </w:pPr>
    </w:p>
    <w:p w14:paraId="474FAF3A" w14:textId="77777777" w:rsidR="004F776F" w:rsidRPr="00467F63" w:rsidRDefault="004F776F" w:rsidP="00C30BB9">
      <w:pPr>
        <w:spacing w:line="240" w:lineRule="auto"/>
        <w:jc w:val="both"/>
        <w:rPr>
          <w:sz w:val="20"/>
          <w:szCs w:val="20"/>
          <w:lang w:val="de-DE"/>
        </w:rPr>
      </w:pPr>
    </w:p>
    <w:p w14:paraId="57021451" w14:textId="77777777" w:rsidR="004F776F" w:rsidRPr="00467F63" w:rsidRDefault="004F776F" w:rsidP="00C30BB9">
      <w:pPr>
        <w:spacing w:line="240" w:lineRule="auto"/>
        <w:jc w:val="both"/>
        <w:rPr>
          <w:sz w:val="20"/>
          <w:szCs w:val="20"/>
          <w:lang w:val="de-DE"/>
        </w:rPr>
      </w:pPr>
    </w:p>
    <w:p w14:paraId="05D255E0" w14:textId="77777777" w:rsidR="004F776F" w:rsidRPr="00C30BB9" w:rsidRDefault="004F776F" w:rsidP="00C30BB9">
      <w:pPr>
        <w:spacing w:line="240" w:lineRule="auto"/>
        <w:rPr>
          <w:b/>
          <w:sz w:val="24"/>
          <w:szCs w:val="24"/>
        </w:rPr>
      </w:pPr>
      <w:r w:rsidRPr="00467F63">
        <w:rPr>
          <w:b/>
          <w:sz w:val="20"/>
          <w:szCs w:val="20"/>
          <w:lang w:val="de-DE"/>
        </w:rPr>
        <w:br w:type="page"/>
      </w:r>
      <w:r w:rsidR="00900D21" w:rsidRPr="00C30BB9">
        <w:rPr>
          <w:b/>
          <w:sz w:val="24"/>
          <w:szCs w:val="24"/>
        </w:rPr>
        <w:lastRenderedPageBreak/>
        <w:t xml:space="preserve">1 </w:t>
      </w:r>
      <w:r w:rsidRPr="00C30BB9">
        <w:rPr>
          <w:b/>
          <w:sz w:val="24"/>
          <w:szCs w:val="24"/>
        </w:rPr>
        <w:t>INTRODUÇÃO</w:t>
      </w:r>
    </w:p>
    <w:p w14:paraId="71351BCF" w14:textId="77777777" w:rsidR="004F776F" w:rsidRPr="00C30BB9" w:rsidRDefault="004F776F" w:rsidP="00C30BB9">
      <w:pPr>
        <w:spacing w:line="360" w:lineRule="auto"/>
        <w:jc w:val="both"/>
        <w:rPr>
          <w:sz w:val="24"/>
          <w:szCs w:val="24"/>
        </w:rPr>
      </w:pPr>
    </w:p>
    <w:p w14:paraId="1D78BF33" w14:textId="77777777" w:rsidR="001260A6" w:rsidRPr="00C30BB9" w:rsidRDefault="001260A6" w:rsidP="00C30BB9">
      <w:pPr>
        <w:spacing w:line="360" w:lineRule="auto"/>
        <w:ind w:firstLine="709"/>
        <w:jc w:val="both"/>
        <w:rPr>
          <w:sz w:val="24"/>
          <w:szCs w:val="24"/>
        </w:rPr>
      </w:pPr>
      <w:r w:rsidRPr="00C30BB9">
        <w:rPr>
          <w:sz w:val="24"/>
          <w:szCs w:val="24"/>
        </w:rPr>
        <w:t xml:space="preserve">A luta das mulheres por igualdade é histórica e marcada por profundas desigualdades. No caso das mulheres LBTIAP </w:t>
      </w:r>
      <w:r w:rsidR="001C44CE" w:rsidRPr="00C30BB9">
        <w:rPr>
          <w:sz w:val="24"/>
          <w:szCs w:val="24"/>
        </w:rPr>
        <w:t>(</w:t>
      </w:r>
      <w:r w:rsidRPr="00C30BB9">
        <w:rPr>
          <w:sz w:val="24"/>
          <w:szCs w:val="24"/>
        </w:rPr>
        <w:t>lésbicas, bissexuais, transexuais, inters</w:t>
      </w:r>
      <w:r w:rsidR="001C44CE" w:rsidRPr="00C30BB9">
        <w:rPr>
          <w:sz w:val="24"/>
          <w:szCs w:val="24"/>
        </w:rPr>
        <w:t>exuais, assexuais e pansexuais)</w:t>
      </w:r>
      <w:r w:rsidRPr="00C30BB9">
        <w:rPr>
          <w:sz w:val="24"/>
          <w:szCs w:val="24"/>
        </w:rPr>
        <w:t xml:space="preserve"> esses desafios se intensificam, pois, além da subalternização de gênero, enfrentam estigmas por suas orientações afetivo-sexuais e identidades de gênero dissidentes da cisheteronormatividade. Essas dificuldades também afetam seus filhos, que sofrem com a fragilidade no reconhecimento de direitos maternos.</w:t>
      </w:r>
    </w:p>
    <w:p w14:paraId="3C4BC9B1" w14:textId="77777777" w:rsidR="001260A6" w:rsidRPr="00C30BB9" w:rsidRDefault="001260A6" w:rsidP="00C30BB9">
      <w:pPr>
        <w:spacing w:line="360" w:lineRule="auto"/>
        <w:ind w:firstLine="709"/>
        <w:jc w:val="both"/>
        <w:rPr>
          <w:sz w:val="24"/>
          <w:szCs w:val="24"/>
        </w:rPr>
      </w:pPr>
      <w:r w:rsidRPr="00C30BB9">
        <w:rPr>
          <w:sz w:val="24"/>
          <w:szCs w:val="24"/>
        </w:rPr>
        <w:t xml:space="preserve">O modelo familiar tradicional brasileiro, guiado por valores patriarcais e conservadores, historicamente excluiu formas diversas de família, silenciando e criminalizando mulheres fora dos padrões cisheteronormativos. Instrumentos legais reforçaram essas exclusões, perpetuando um ideal excludente. A Constituição </w:t>
      </w:r>
      <w:r w:rsidR="001C44CE" w:rsidRPr="00C30BB9">
        <w:rPr>
          <w:sz w:val="24"/>
          <w:szCs w:val="24"/>
        </w:rPr>
        <w:t xml:space="preserve">Federal </w:t>
      </w:r>
      <w:r w:rsidRPr="00C30BB9">
        <w:rPr>
          <w:sz w:val="24"/>
          <w:szCs w:val="24"/>
        </w:rPr>
        <w:t>de 1988, porém, abriu novos caminhos ao reconhecer a diversidade familiar</w:t>
      </w:r>
      <w:r w:rsidR="001C44CE" w:rsidRPr="00C30BB9">
        <w:rPr>
          <w:sz w:val="24"/>
          <w:szCs w:val="24"/>
        </w:rPr>
        <w:t>,</w:t>
      </w:r>
      <w:r w:rsidRPr="00C30BB9">
        <w:rPr>
          <w:sz w:val="24"/>
          <w:szCs w:val="24"/>
        </w:rPr>
        <w:t xml:space="preserve"> com base nos princípios da dignidade da pessoa humana, igualdade e liberdade.</w:t>
      </w:r>
    </w:p>
    <w:p w14:paraId="42854DB0" w14:textId="77777777" w:rsidR="001260A6" w:rsidRPr="00C30BB9" w:rsidRDefault="00A8356E" w:rsidP="00C30BB9">
      <w:pPr>
        <w:spacing w:line="360" w:lineRule="auto"/>
        <w:ind w:firstLine="709"/>
        <w:jc w:val="both"/>
        <w:rPr>
          <w:sz w:val="24"/>
          <w:szCs w:val="24"/>
        </w:rPr>
      </w:pPr>
      <w:r w:rsidRPr="00C30BB9">
        <w:rPr>
          <w:sz w:val="24"/>
          <w:szCs w:val="24"/>
        </w:rPr>
        <w:t xml:space="preserve">A </w:t>
      </w:r>
      <w:r w:rsidR="001260A6" w:rsidRPr="00C30BB9">
        <w:rPr>
          <w:sz w:val="24"/>
          <w:szCs w:val="24"/>
        </w:rPr>
        <w:t xml:space="preserve">atuação progressista do </w:t>
      </w:r>
      <w:r w:rsidR="001C44CE" w:rsidRPr="00C30BB9">
        <w:rPr>
          <w:sz w:val="24"/>
          <w:szCs w:val="24"/>
        </w:rPr>
        <w:t>Supremo Tribunal Federal (</w:t>
      </w:r>
      <w:r w:rsidR="001260A6" w:rsidRPr="00C30BB9">
        <w:rPr>
          <w:sz w:val="24"/>
          <w:szCs w:val="24"/>
        </w:rPr>
        <w:t>STF</w:t>
      </w:r>
      <w:r w:rsidR="001C44CE" w:rsidRPr="00C30BB9">
        <w:rPr>
          <w:sz w:val="24"/>
          <w:szCs w:val="24"/>
        </w:rPr>
        <w:t>)</w:t>
      </w:r>
      <w:r w:rsidR="001260A6" w:rsidRPr="00C30BB9">
        <w:rPr>
          <w:sz w:val="24"/>
          <w:szCs w:val="24"/>
        </w:rPr>
        <w:t xml:space="preserve"> e do </w:t>
      </w:r>
      <w:r w:rsidR="001C44CE" w:rsidRPr="00C30BB9">
        <w:rPr>
          <w:sz w:val="24"/>
          <w:szCs w:val="24"/>
        </w:rPr>
        <w:t>Conselho Nacional de Justiça (</w:t>
      </w:r>
      <w:r w:rsidR="001260A6" w:rsidRPr="00C30BB9">
        <w:rPr>
          <w:sz w:val="24"/>
          <w:szCs w:val="24"/>
        </w:rPr>
        <w:t>CNJ</w:t>
      </w:r>
      <w:r w:rsidR="001C44CE" w:rsidRPr="00C30BB9">
        <w:rPr>
          <w:sz w:val="24"/>
          <w:szCs w:val="24"/>
        </w:rPr>
        <w:t>)</w:t>
      </w:r>
      <w:r w:rsidR="001260A6" w:rsidRPr="00C30BB9">
        <w:rPr>
          <w:sz w:val="24"/>
          <w:szCs w:val="24"/>
        </w:rPr>
        <w:t xml:space="preserve"> foi crucial para consolidar o reconhecimento jurídico da união estável e do casamento civil entre pessoas do mesmo gênero. Porém, persistem obstáculos ao pleno exercício da cidadania das mulheres LBTIAP, como a falta de legislação específica, a exigência de formalização legal dos vínculos para direitos parentais, a morosidade judicial e o preconceito institucional.</w:t>
      </w:r>
    </w:p>
    <w:p w14:paraId="0F02303B" w14:textId="77777777" w:rsidR="001C44CE" w:rsidRPr="00C30BB9" w:rsidRDefault="00A8356E" w:rsidP="00C30BB9">
      <w:pPr>
        <w:spacing w:line="360" w:lineRule="auto"/>
        <w:ind w:firstLine="709"/>
        <w:jc w:val="both"/>
        <w:rPr>
          <w:sz w:val="24"/>
          <w:szCs w:val="24"/>
        </w:rPr>
      </w:pPr>
      <w:r w:rsidRPr="00C30BB9">
        <w:rPr>
          <w:sz w:val="24"/>
          <w:szCs w:val="24"/>
        </w:rPr>
        <w:t xml:space="preserve">Diante disso, esta pesquisa busca responder </w:t>
      </w:r>
      <w:r w:rsidR="001C44CE" w:rsidRPr="00C30BB9">
        <w:rPr>
          <w:sz w:val="24"/>
          <w:szCs w:val="24"/>
        </w:rPr>
        <w:t xml:space="preserve">ao seguinte problema: </w:t>
      </w:r>
      <w:r w:rsidRPr="00C30BB9">
        <w:rPr>
          <w:sz w:val="24"/>
          <w:szCs w:val="24"/>
        </w:rPr>
        <w:t>como o direito das famílias tem evoluído para incluir as configurações familiares formadas por mulheres não-cisheteronormativas</w:t>
      </w:r>
      <w:r w:rsidR="001C44CE" w:rsidRPr="00C30BB9">
        <w:rPr>
          <w:sz w:val="24"/>
          <w:szCs w:val="24"/>
        </w:rPr>
        <w:t xml:space="preserve">? </w:t>
      </w:r>
    </w:p>
    <w:p w14:paraId="6201125C" w14:textId="77777777" w:rsidR="00A8356E" w:rsidRPr="00C30BB9" w:rsidRDefault="001C44CE" w:rsidP="00C30BB9">
      <w:pPr>
        <w:spacing w:line="360" w:lineRule="auto"/>
        <w:ind w:firstLine="709"/>
        <w:jc w:val="both"/>
        <w:rPr>
          <w:sz w:val="24"/>
          <w:szCs w:val="24"/>
        </w:rPr>
      </w:pPr>
      <w:r w:rsidRPr="00C30BB9">
        <w:rPr>
          <w:sz w:val="24"/>
          <w:szCs w:val="24"/>
        </w:rPr>
        <w:t>Busca-se fazer isso</w:t>
      </w:r>
      <w:r w:rsidR="00A8356E" w:rsidRPr="00C30BB9">
        <w:rPr>
          <w:sz w:val="24"/>
          <w:szCs w:val="24"/>
        </w:rPr>
        <w:t xml:space="preserve"> analisando os avanços jurídicos e políticas públicas voltadas ao reconhecimento de suas identidades, à justiça reprodutiva e à legitimidade de seus laços familiares. Com base em fontes históricas, jurídicas e institucionais, propõe-se uma reflexão crítica sobre os desafios enfrentados e os </w:t>
      </w:r>
      <w:r w:rsidR="00A8356E" w:rsidRPr="00C30BB9">
        <w:rPr>
          <w:sz w:val="24"/>
          <w:szCs w:val="24"/>
        </w:rPr>
        <w:lastRenderedPageBreak/>
        <w:t>caminhos possíveis para um direito mais inclusivo, plural e comprometido com a justiça social.</w:t>
      </w:r>
    </w:p>
    <w:p w14:paraId="5E2A45D6" w14:textId="77777777" w:rsidR="004F776F" w:rsidRPr="00C30BB9" w:rsidRDefault="004F776F" w:rsidP="00C30BB9">
      <w:pPr>
        <w:spacing w:line="360" w:lineRule="auto"/>
        <w:jc w:val="both"/>
        <w:rPr>
          <w:sz w:val="24"/>
          <w:szCs w:val="24"/>
        </w:rPr>
      </w:pPr>
    </w:p>
    <w:p w14:paraId="16C60A98" w14:textId="77777777" w:rsidR="004F776F" w:rsidRPr="00C30BB9" w:rsidRDefault="00900D21" w:rsidP="00C30BB9">
      <w:pPr>
        <w:spacing w:line="360" w:lineRule="auto"/>
        <w:jc w:val="both"/>
        <w:rPr>
          <w:b/>
          <w:sz w:val="24"/>
          <w:szCs w:val="24"/>
        </w:rPr>
      </w:pPr>
      <w:r w:rsidRPr="00C30BB9">
        <w:rPr>
          <w:b/>
          <w:sz w:val="24"/>
          <w:szCs w:val="24"/>
        </w:rPr>
        <w:t xml:space="preserve">2 </w:t>
      </w:r>
      <w:r w:rsidR="00A8356E" w:rsidRPr="00C30BB9">
        <w:rPr>
          <w:b/>
          <w:sz w:val="24"/>
          <w:szCs w:val="24"/>
        </w:rPr>
        <w:t>MULHERES LBTIAP: ENTRE DIREITOS E RESISTÊNCIAS HISTÓRICAS</w:t>
      </w:r>
    </w:p>
    <w:p w14:paraId="4691399E" w14:textId="77777777" w:rsidR="001C44CE" w:rsidRPr="00C30BB9" w:rsidRDefault="001C44CE" w:rsidP="00C30BB9">
      <w:pPr>
        <w:spacing w:line="360" w:lineRule="auto"/>
        <w:ind w:firstLine="709"/>
        <w:jc w:val="both"/>
        <w:rPr>
          <w:sz w:val="24"/>
          <w:szCs w:val="24"/>
        </w:rPr>
      </w:pPr>
    </w:p>
    <w:p w14:paraId="4C5C386A" w14:textId="77777777" w:rsidR="00A8356E" w:rsidRDefault="00A8356E" w:rsidP="00C30BB9">
      <w:pPr>
        <w:spacing w:line="360" w:lineRule="auto"/>
        <w:ind w:firstLine="709"/>
        <w:jc w:val="both"/>
        <w:rPr>
          <w:sz w:val="24"/>
          <w:szCs w:val="24"/>
        </w:rPr>
      </w:pPr>
      <w:r w:rsidRPr="00C30BB9">
        <w:rPr>
          <w:sz w:val="24"/>
          <w:szCs w:val="24"/>
        </w:rPr>
        <w:t xml:space="preserve">As diferenças de identidade de gênero e as dissidências de orientação afetivo-sexual existem desde o surgimento das sociedades, tendo o patriarcado como um dos principais mecanismos de controle social. E o movimento LGBTQIAPN+, sigla que representa a diversidade de identidades de gênero e sexualidades, sendo essa utilizada para denominar, respectivamente, lésbicas, gay, bissexuais, pessoas transgêneros e travestis, pessoas </w:t>
      </w:r>
      <w:r w:rsidRPr="00C30BB9">
        <w:rPr>
          <w:i/>
          <w:sz w:val="24"/>
          <w:szCs w:val="24"/>
        </w:rPr>
        <w:t>queer</w:t>
      </w:r>
      <w:r w:rsidRPr="00C30BB9">
        <w:rPr>
          <w:sz w:val="24"/>
          <w:szCs w:val="24"/>
        </w:rPr>
        <w:t>, intersexuais, assexuais, pansexuais, pessoas não-binárias, e ainda a inclusão de outras identidades e expressões de gênero que não estão explicitadas na sigla, reconhecendo a pluralidade das experiências e vivências humanas. Assim, tal movimento surgiu como reação às restrições impostas por estes instrumentos de controle. (Lerner, 2019)</w:t>
      </w:r>
    </w:p>
    <w:p w14:paraId="08ED286E" w14:textId="77777777" w:rsidR="002C1AA9" w:rsidRPr="002C1AA9" w:rsidRDefault="002C1AA9" w:rsidP="002C1AA9">
      <w:pPr>
        <w:spacing w:line="360" w:lineRule="auto"/>
        <w:ind w:firstLine="709"/>
        <w:jc w:val="both"/>
        <w:rPr>
          <w:sz w:val="24"/>
          <w:szCs w:val="24"/>
        </w:rPr>
      </w:pPr>
      <w:r w:rsidRPr="002C1AA9">
        <w:rPr>
          <w:sz w:val="24"/>
          <w:szCs w:val="24"/>
        </w:rPr>
        <w:t>Desde a Grécia Antiga, há relatos de prática sexual entre pessoas do mesmo sexo biológico, desde que ficasse dentro dos padrões sociais: “[...] conduzidas por homens mais velhos, visando transmissão das virtudes fundamentais da época.” (Jorge, 2021, p. 28)</w:t>
      </w:r>
    </w:p>
    <w:p w14:paraId="0D34C959" w14:textId="77777777" w:rsidR="002C1AA9" w:rsidRPr="002C1AA9" w:rsidRDefault="002C1AA9" w:rsidP="002C1AA9">
      <w:pPr>
        <w:spacing w:line="360" w:lineRule="auto"/>
        <w:ind w:firstLine="709"/>
        <w:jc w:val="both"/>
        <w:rPr>
          <w:sz w:val="24"/>
          <w:szCs w:val="24"/>
        </w:rPr>
      </w:pPr>
      <w:r w:rsidRPr="002C1AA9">
        <w:rPr>
          <w:sz w:val="24"/>
          <w:szCs w:val="24"/>
        </w:rPr>
        <w:t>Porém, durante a Idade Média, período de ápice do cristianismo pela Europa, houve dois momentos cruciais para a homossexualidade, chamada de sodomia. Nos primeiros anos, sustentava-se a necessidade de pagar penitência para remir pecados cometidos; já na segunda metade, pessoas acusadas de homossexualidade eram condenadas à fogueira. (Richards, 1993)</w:t>
      </w:r>
    </w:p>
    <w:p w14:paraId="3D1D1673" w14:textId="77777777" w:rsidR="002C1AA9" w:rsidRPr="002C1AA9" w:rsidRDefault="002C1AA9" w:rsidP="002C1AA9">
      <w:pPr>
        <w:spacing w:line="360" w:lineRule="auto"/>
        <w:ind w:firstLine="709"/>
        <w:jc w:val="both"/>
        <w:rPr>
          <w:sz w:val="24"/>
          <w:szCs w:val="24"/>
        </w:rPr>
      </w:pPr>
      <w:r w:rsidRPr="002C1AA9">
        <w:rPr>
          <w:sz w:val="24"/>
          <w:szCs w:val="24"/>
        </w:rPr>
        <w:t xml:space="preserve">Já em 1840, ocorreu a transformação da homossexualidade em doença, passando a ser descrita como um delírio de insanidade amorosa. Tal patologização ocorria de forma mais severa quando se tratava de mulheres, uma vez que a sexualidade feminina visava o controle de natalidade. Isso ocorreu desde as </w:t>
      </w:r>
      <w:r w:rsidRPr="002C1AA9">
        <w:rPr>
          <w:sz w:val="24"/>
          <w:szCs w:val="24"/>
        </w:rPr>
        <w:lastRenderedPageBreak/>
        <w:t xml:space="preserve">civilizações antigas, pois as mulheres eram vistas como instrumentos de reprodução, tendo como principal função à concepção e criação de filhos. Não possuíam, portanto, outro propósito de vida, senão este. (Lerner, 2019) </w:t>
      </w:r>
    </w:p>
    <w:p w14:paraId="1FF31FAF" w14:textId="77777777" w:rsidR="00A8356E" w:rsidRPr="00C30BB9" w:rsidRDefault="00A8356E" w:rsidP="00C30BB9">
      <w:pPr>
        <w:spacing w:line="360" w:lineRule="auto"/>
        <w:ind w:firstLine="709"/>
        <w:jc w:val="both"/>
        <w:rPr>
          <w:sz w:val="24"/>
          <w:szCs w:val="24"/>
        </w:rPr>
      </w:pPr>
      <w:r w:rsidRPr="002C1AA9">
        <w:rPr>
          <w:sz w:val="24"/>
          <w:szCs w:val="24"/>
        </w:rPr>
        <w:t>A</w:t>
      </w:r>
      <w:r w:rsidR="00960F93" w:rsidRPr="002C1AA9">
        <w:rPr>
          <w:sz w:val="24"/>
          <w:szCs w:val="24"/>
        </w:rPr>
        <w:t>s</w:t>
      </w:r>
      <w:r w:rsidRPr="002C1AA9">
        <w:rPr>
          <w:sz w:val="24"/>
          <w:szCs w:val="24"/>
        </w:rPr>
        <w:t xml:space="preserve"> noções de inferiorização das mulheres cresceram em paralelo</w:t>
      </w:r>
      <w:r w:rsidRPr="00C30BB9">
        <w:rPr>
          <w:sz w:val="24"/>
          <w:szCs w:val="24"/>
        </w:rPr>
        <w:t xml:space="preserve"> à criação das sociedades e baseadas na determinação biológica, sendo o sexo biológico essencial para a fixação dos papeis que seriam desenvolvidos por elas na sociedade. A classificação entre machos e fêmeas foi baseada nas características fisiológicas do</w:t>
      </w:r>
      <w:r w:rsidR="001C44CE" w:rsidRPr="00C30BB9">
        <w:rPr>
          <w:sz w:val="24"/>
          <w:szCs w:val="24"/>
        </w:rPr>
        <w:t>s</w:t>
      </w:r>
      <w:r w:rsidRPr="00C30BB9">
        <w:rPr>
          <w:sz w:val="24"/>
          <w:szCs w:val="24"/>
        </w:rPr>
        <w:t xml:space="preserve"> ser</w:t>
      </w:r>
      <w:r w:rsidR="001C44CE" w:rsidRPr="00C30BB9">
        <w:rPr>
          <w:sz w:val="24"/>
          <w:szCs w:val="24"/>
        </w:rPr>
        <w:t>es</w:t>
      </w:r>
      <w:r w:rsidRPr="00C30BB9">
        <w:rPr>
          <w:sz w:val="24"/>
          <w:szCs w:val="24"/>
        </w:rPr>
        <w:t xml:space="preserve">. Fachin (2003) diz que </w:t>
      </w:r>
      <w:r w:rsidR="001C44CE" w:rsidRPr="00C30BB9">
        <w:rPr>
          <w:sz w:val="24"/>
          <w:szCs w:val="24"/>
        </w:rPr>
        <w:t>“</w:t>
      </w:r>
      <w:r w:rsidRPr="00C30BB9">
        <w:rPr>
          <w:sz w:val="24"/>
          <w:szCs w:val="24"/>
        </w:rPr>
        <w:t xml:space="preserve">sexo biológico” é o conjunto de características compostas por informações cromossômicas, por órgãos genitais e caracteres secundários, que diferem entre o macho e a fêmea da espécie. </w:t>
      </w:r>
    </w:p>
    <w:p w14:paraId="4D133140" w14:textId="77777777" w:rsidR="00A8356E" w:rsidRPr="00C30BB9" w:rsidRDefault="00A8356E" w:rsidP="00C30BB9">
      <w:pPr>
        <w:spacing w:line="360" w:lineRule="auto"/>
        <w:ind w:firstLine="709"/>
        <w:jc w:val="both"/>
        <w:rPr>
          <w:sz w:val="24"/>
          <w:szCs w:val="24"/>
        </w:rPr>
      </w:pPr>
      <w:r w:rsidRPr="00C30BB9">
        <w:rPr>
          <w:sz w:val="24"/>
          <w:szCs w:val="24"/>
        </w:rPr>
        <w:t>Quando há a descoberta do sexo do nascituro, a sociedade já impõe os padrões de comportamentos, gostos e, principalmente, o destino que lhe será atribuído. À mulher caberá ser mãe, esposa e avó. Já ao homem é dada uma série de oportunidades, de profissões a explorar. Assim, mulheres que se relacionam afetiva e sexualmente com outras mulheres geram uma ruptura com essas imposições, acabando por sofrer um duplo preconceito: primeiro por serem mulheres, e depois por não performarem a cisheteroafetividade. (Beauvoir, 1967)</w:t>
      </w:r>
    </w:p>
    <w:p w14:paraId="74553253" w14:textId="77777777" w:rsidR="00A8356E" w:rsidRPr="00C30BB9" w:rsidRDefault="00A8356E" w:rsidP="00C30BB9">
      <w:pPr>
        <w:spacing w:line="360" w:lineRule="auto"/>
        <w:ind w:firstLine="709"/>
        <w:jc w:val="both"/>
        <w:rPr>
          <w:sz w:val="24"/>
          <w:szCs w:val="24"/>
        </w:rPr>
      </w:pPr>
      <w:r w:rsidRPr="00C30BB9">
        <w:rPr>
          <w:sz w:val="24"/>
          <w:szCs w:val="24"/>
        </w:rPr>
        <w:t>Mas, nas últimas décadas, pelas fortes lutas por reconhecimento de direitos, muitas foram as conquistas para as mulheres, especialmente as LBTIAP, tais como a retirada da homossexualidade da Classificação Internacional de Doenças (CID), pela Organização Mundial de Saúde (OMS), em 1985, e a suspensão/proibição de práticas popularmente chamadas de “cura gay”. (Ferreira, 2023)</w:t>
      </w:r>
    </w:p>
    <w:p w14:paraId="03787E56" w14:textId="77777777" w:rsidR="00A8356E" w:rsidRPr="00C30BB9" w:rsidRDefault="00A8356E" w:rsidP="00C30BB9">
      <w:pPr>
        <w:spacing w:line="360" w:lineRule="auto"/>
        <w:ind w:firstLine="709"/>
        <w:jc w:val="both"/>
        <w:rPr>
          <w:sz w:val="24"/>
          <w:szCs w:val="24"/>
        </w:rPr>
      </w:pPr>
      <w:r w:rsidRPr="00C30BB9">
        <w:rPr>
          <w:sz w:val="24"/>
          <w:szCs w:val="24"/>
        </w:rPr>
        <w:t>Mas uma das conquistas mais significativas foi o reconhecimento legal de união estável e do casamento por pessoas do mesmo gênero. O Brasil foi um dos primeiros países a reconhecerem tal instituto jurídico, garantindo a essas pessoas direitos similares aos de casais heteronormativos. (Ferreira, 2023)</w:t>
      </w:r>
    </w:p>
    <w:p w14:paraId="4093572C" w14:textId="77777777" w:rsidR="004F776F" w:rsidRPr="00C30BB9" w:rsidRDefault="00A8356E" w:rsidP="00C30BB9">
      <w:pPr>
        <w:spacing w:line="360" w:lineRule="auto"/>
        <w:ind w:firstLine="709"/>
        <w:jc w:val="both"/>
        <w:rPr>
          <w:sz w:val="24"/>
          <w:szCs w:val="24"/>
        </w:rPr>
      </w:pPr>
      <w:r w:rsidRPr="00C30BB9">
        <w:rPr>
          <w:sz w:val="24"/>
          <w:szCs w:val="24"/>
        </w:rPr>
        <w:t xml:space="preserve">Todavia, apesar desses avanços, mulheres LBTIAP foram invisibilizadas tanto nas narrativas feministas quanto nos movimentos LGBTQIAPN+. Além disso, a maternidade exercida por essas mulheres tem sido um tema muito discutido, </w:t>
      </w:r>
      <w:r w:rsidRPr="00C30BB9">
        <w:rPr>
          <w:sz w:val="24"/>
          <w:szCs w:val="24"/>
        </w:rPr>
        <w:lastRenderedPageBreak/>
        <w:t>especialmente no que tange ao reconhecimento legal dessa dupla maternidade, sendo marcada por desafios legais, sociais e culturais, havendo um preconceito tanto da sociedade quanto dentro do sistema de saúde, sendo necessário enfrentar resistência por parte dos profissionais de saúde, que, por vezes, utilizam termos pejorativos e demonstram resistência em fornecer serviços de reprodução assistida, como a própria inseminação artificial. (Silva, 2021)</w:t>
      </w:r>
    </w:p>
    <w:p w14:paraId="6F841A15" w14:textId="77777777" w:rsidR="00B508BD" w:rsidRPr="00C30BB9" w:rsidRDefault="00B508BD" w:rsidP="00C30BB9">
      <w:pPr>
        <w:spacing w:line="360" w:lineRule="auto"/>
        <w:ind w:firstLine="709"/>
        <w:jc w:val="both"/>
        <w:rPr>
          <w:sz w:val="24"/>
          <w:szCs w:val="24"/>
        </w:rPr>
      </w:pPr>
    </w:p>
    <w:p w14:paraId="39E9956F" w14:textId="77777777" w:rsidR="00A8356E" w:rsidRPr="00C30BB9" w:rsidRDefault="00900D21" w:rsidP="00C30BB9">
      <w:pPr>
        <w:spacing w:line="360" w:lineRule="auto"/>
        <w:rPr>
          <w:b/>
          <w:sz w:val="24"/>
          <w:szCs w:val="24"/>
        </w:rPr>
      </w:pPr>
      <w:r w:rsidRPr="00C30BB9">
        <w:rPr>
          <w:b/>
          <w:sz w:val="24"/>
          <w:szCs w:val="24"/>
        </w:rPr>
        <w:t xml:space="preserve">3 </w:t>
      </w:r>
      <w:r w:rsidR="00B508BD" w:rsidRPr="00C30BB9">
        <w:rPr>
          <w:b/>
          <w:sz w:val="24"/>
          <w:szCs w:val="24"/>
        </w:rPr>
        <w:t>A(S) FAMÍLIA(S) BRASILEIRA(S), O(S) DIREITO</w:t>
      </w:r>
      <w:r w:rsidR="00F4425B" w:rsidRPr="00C30BB9">
        <w:rPr>
          <w:b/>
          <w:sz w:val="24"/>
          <w:szCs w:val="24"/>
        </w:rPr>
        <w:t>(S)</w:t>
      </w:r>
      <w:r w:rsidR="00B508BD" w:rsidRPr="00C30BB9">
        <w:rPr>
          <w:b/>
          <w:sz w:val="24"/>
          <w:szCs w:val="24"/>
        </w:rPr>
        <w:t xml:space="preserve"> DA(S) FAMÍLIA(S), A(S) MULHER(ES) LBTIAP E SEUS FILHOS</w:t>
      </w:r>
    </w:p>
    <w:p w14:paraId="51169C43" w14:textId="77777777" w:rsidR="00900D21" w:rsidRPr="00C30BB9" w:rsidRDefault="00900D21" w:rsidP="00C30BB9">
      <w:pPr>
        <w:spacing w:line="360" w:lineRule="auto"/>
        <w:rPr>
          <w:b/>
          <w:sz w:val="24"/>
          <w:szCs w:val="24"/>
        </w:rPr>
      </w:pPr>
    </w:p>
    <w:p w14:paraId="6B75A77B" w14:textId="77777777" w:rsidR="00A8356E" w:rsidRPr="00C30BB9" w:rsidRDefault="00A8356E" w:rsidP="00C30BB9">
      <w:pPr>
        <w:spacing w:line="360" w:lineRule="auto"/>
        <w:ind w:firstLine="709"/>
        <w:jc w:val="both"/>
        <w:rPr>
          <w:sz w:val="24"/>
          <w:szCs w:val="24"/>
        </w:rPr>
      </w:pPr>
      <w:r w:rsidRPr="00C30BB9">
        <w:rPr>
          <w:sz w:val="24"/>
          <w:szCs w:val="24"/>
        </w:rPr>
        <w:t xml:space="preserve">A família é considerada o primeiro núcleo social e esteve presente durante a história de construção das sociedades, possuindo um papel de suma importância nas vidas das pessoas. Mas as noções de família passaram por diversas transformações, sendo vistas de diferentes formas, conforme culturas e épocas distintas. (Santos, 2024). </w:t>
      </w:r>
    </w:p>
    <w:p w14:paraId="1BA6FE2A" w14:textId="77777777" w:rsidR="00A8356E" w:rsidRPr="00C30BB9" w:rsidRDefault="00A8356E" w:rsidP="00C30BB9">
      <w:pPr>
        <w:spacing w:line="360" w:lineRule="auto"/>
        <w:ind w:firstLine="709"/>
        <w:jc w:val="both"/>
        <w:rPr>
          <w:sz w:val="24"/>
          <w:szCs w:val="24"/>
        </w:rPr>
      </w:pPr>
      <w:r w:rsidRPr="00C30BB9">
        <w:rPr>
          <w:sz w:val="24"/>
          <w:szCs w:val="24"/>
        </w:rPr>
        <w:t>Durante décadas, o homem, enquanto marido, era considerado dono da mulher</w:t>
      </w:r>
      <w:r w:rsidR="003B049E" w:rsidRPr="00C30BB9">
        <w:rPr>
          <w:sz w:val="24"/>
          <w:szCs w:val="24"/>
        </w:rPr>
        <w:t xml:space="preserve"> (</w:t>
      </w:r>
      <w:r w:rsidRPr="00C30BB9">
        <w:rPr>
          <w:sz w:val="24"/>
          <w:szCs w:val="24"/>
        </w:rPr>
        <w:t>enquanto esposa</w:t>
      </w:r>
      <w:r w:rsidR="003B049E" w:rsidRPr="00C30BB9">
        <w:rPr>
          <w:sz w:val="24"/>
          <w:szCs w:val="24"/>
        </w:rPr>
        <w:t>)</w:t>
      </w:r>
      <w:r w:rsidRPr="00C30BB9">
        <w:rPr>
          <w:sz w:val="24"/>
          <w:szCs w:val="24"/>
        </w:rPr>
        <w:t>. Em seus textos, o sociólogo Engels (1984) discorre que ao homem era permitida a infidelidade ocasional e até a poligamia. Mas qualquer tipo de relação extraconjugal ocorrida pela mulher era duramente punida.</w:t>
      </w:r>
    </w:p>
    <w:p w14:paraId="70715B0F" w14:textId="77777777" w:rsidR="00A8356E" w:rsidRPr="00C30BB9" w:rsidRDefault="00A8356E" w:rsidP="00C30BB9">
      <w:pPr>
        <w:spacing w:line="360" w:lineRule="auto"/>
        <w:ind w:firstLine="709"/>
        <w:jc w:val="both"/>
        <w:rPr>
          <w:sz w:val="24"/>
          <w:szCs w:val="24"/>
        </w:rPr>
      </w:pPr>
      <w:r w:rsidRPr="00C30BB9">
        <w:rPr>
          <w:sz w:val="24"/>
          <w:szCs w:val="24"/>
        </w:rPr>
        <w:t>O Código Civil de 1916 reconhecia somente a família formada pelo matrimônio, em detrimento das outras formas de agrupamento familiares, tornando marginalizado todo vínculo que não fosse originado do casamento, uma vez que o marido era o patriarca, chefe da família, e à esposa cabia somente o papel secundário</w:t>
      </w:r>
      <w:r w:rsidR="003B049E" w:rsidRPr="00C30BB9">
        <w:rPr>
          <w:sz w:val="24"/>
          <w:szCs w:val="24"/>
        </w:rPr>
        <w:t>,</w:t>
      </w:r>
      <w:r w:rsidRPr="00C30BB9">
        <w:rPr>
          <w:sz w:val="24"/>
          <w:szCs w:val="24"/>
        </w:rPr>
        <w:t xml:space="preserve"> de auxiliadora. Além disso, havia a discriminação de filhos nascidos fora do casamento, impedindo o reconhecimento destes. (Dias, 2011)</w:t>
      </w:r>
      <w:r w:rsidRPr="00C30BB9">
        <w:rPr>
          <w:sz w:val="24"/>
          <w:szCs w:val="24"/>
          <w:vertAlign w:val="superscript"/>
        </w:rPr>
        <w:footnoteReference w:id="3"/>
      </w:r>
    </w:p>
    <w:p w14:paraId="47BF4B6E" w14:textId="77777777" w:rsidR="00A8356E" w:rsidRPr="00C30BB9" w:rsidRDefault="00A8356E" w:rsidP="00C30BB9">
      <w:pPr>
        <w:spacing w:line="360" w:lineRule="auto"/>
        <w:ind w:firstLine="709"/>
        <w:jc w:val="both"/>
        <w:rPr>
          <w:sz w:val="24"/>
          <w:szCs w:val="24"/>
        </w:rPr>
      </w:pPr>
      <w:r w:rsidRPr="00C30BB9">
        <w:rPr>
          <w:sz w:val="24"/>
          <w:szCs w:val="24"/>
        </w:rPr>
        <w:lastRenderedPageBreak/>
        <w:t>Porém com o advento da Constituição da República Federativa do Brasil de 1988, seguida do Código Civil de 2002, houve uma mudança do conceito de família, que passou de uma família conservadora – ligada pelos vínculos sanguíneos – para uma família ligada majoritar</w:t>
      </w:r>
      <w:r w:rsidR="003B049E" w:rsidRPr="00C30BB9">
        <w:rPr>
          <w:sz w:val="24"/>
          <w:szCs w:val="24"/>
        </w:rPr>
        <w:t>iamente por laços de afeto. Mas</w:t>
      </w:r>
      <w:r w:rsidRPr="00C30BB9">
        <w:rPr>
          <w:sz w:val="24"/>
          <w:szCs w:val="24"/>
        </w:rPr>
        <w:t xml:space="preserve"> o código não definiu um conceito fechado de família, permitindo a mutabilidade. (Siqueira, 2022)</w:t>
      </w:r>
    </w:p>
    <w:p w14:paraId="10BD93E7" w14:textId="77777777" w:rsidR="00A8356E" w:rsidRPr="00C30BB9" w:rsidRDefault="00A8356E" w:rsidP="00C30BB9">
      <w:pPr>
        <w:spacing w:line="360" w:lineRule="auto"/>
        <w:ind w:firstLine="709"/>
        <w:jc w:val="both"/>
        <w:rPr>
          <w:sz w:val="24"/>
          <w:szCs w:val="24"/>
        </w:rPr>
      </w:pPr>
      <w:r w:rsidRPr="00C30BB9">
        <w:rPr>
          <w:sz w:val="24"/>
          <w:szCs w:val="24"/>
        </w:rPr>
        <w:t>Consoante a isso, o Supremo Tribunal Federal (STF), instância máxima do Poder Judiciário brasileiro, no julgamento de caso que versava sobre o reconhecimento da união entre pessoas homossexuais</w:t>
      </w:r>
      <w:r w:rsidRPr="00C30BB9">
        <w:rPr>
          <w:sz w:val="24"/>
          <w:szCs w:val="24"/>
          <w:vertAlign w:val="superscript"/>
        </w:rPr>
        <w:footnoteReference w:id="4"/>
      </w:r>
      <w:r w:rsidRPr="00C30BB9">
        <w:rPr>
          <w:sz w:val="24"/>
          <w:szCs w:val="24"/>
        </w:rPr>
        <w:t xml:space="preserve"> no Brasil, proferiu decisão inovadora, decorrente da análise de ações unidas por identidade: a ADI nº 4237/DF (proposta pela Procuradoria da República) e a ADPF nº 132/RJ (do governador do Estado do Rio de Janeiro), que foi convertida em ação direta de inconstitucionalidade, </w:t>
      </w:r>
      <w:r w:rsidR="003B049E" w:rsidRPr="00C30BB9">
        <w:rPr>
          <w:sz w:val="24"/>
          <w:szCs w:val="24"/>
        </w:rPr>
        <w:t>pelo</w:t>
      </w:r>
      <w:r w:rsidRPr="00C30BB9">
        <w:rPr>
          <w:sz w:val="24"/>
          <w:szCs w:val="24"/>
        </w:rPr>
        <w:t xml:space="preserve"> prejuízo do pedido principal. (Oliveira, 2020)</w:t>
      </w:r>
    </w:p>
    <w:p w14:paraId="53DFCFB2" w14:textId="77777777" w:rsidR="00A8356E" w:rsidRPr="00C30BB9" w:rsidRDefault="00A8356E" w:rsidP="00C30BB9">
      <w:pPr>
        <w:spacing w:line="360" w:lineRule="auto"/>
        <w:ind w:firstLine="709"/>
        <w:jc w:val="both"/>
        <w:rPr>
          <w:sz w:val="24"/>
          <w:szCs w:val="24"/>
        </w:rPr>
      </w:pPr>
      <w:r w:rsidRPr="00C30BB9">
        <w:rPr>
          <w:sz w:val="24"/>
          <w:szCs w:val="24"/>
        </w:rPr>
        <w:t xml:space="preserve">Na sessão de julgamento dos processos citados, foram feitas sustentações orais pelo Procurador Geral da República e por Procurador do Estado do Rio de Janeiro, além de uma série de sujeitos que atuaram como </w:t>
      </w:r>
      <w:r w:rsidRPr="00C30BB9">
        <w:rPr>
          <w:i/>
          <w:sz w:val="24"/>
          <w:szCs w:val="24"/>
        </w:rPr>
        <w:t>amicus curiae</w:t>
      </w:r>
      <w:r w:rsidRPr="00C30BB9">
        <w:rPr>
          <w:sz w:val="24"/>
          <w:szCs w:val="24"/>
        </w:rPr>
        <w:t>. Entre eles, o Instituto Brasileiro de Direito de Família (IBDFAM), a Associação Brasileira de LGBTT, o Grupo Arco-íris e a Subsecretária de Direitos Humanos de Minas Gerais. Estes permitiram um debate constitucional pluralizado. (Nichnig, 2019).</w:t>
      </w:r>
    </w:p>
    <w:p w14:paraId="4C2FC424" w14:textId="77777777" w:rsidR="00A8356E" w:rsidRPr="00C30BB9" w:rsidRDefault="00A8356E" w:rsidP="00C30BB9">
      <w:pPr>
        <w:spacing w:line="360" w:lineRule="auto"/>
        <w:ind w:firstLine="709"/>
        <w:jc w:val="both"/>
        <w:rPr>
          <w:sz w:val="24"/>
          <w:szCs w:val="24"/>
        </w:rPr>
      </w:pPr>
      <w:r w:rsidRPr="00C30BB9">
        <w:rPr>
          <w:sz w:val="24"/>
          <w:szCs w:val="24"/>
        </w:rPr>
        <w:t xml:space="preserve">Os fundamentos para a decisão prolatada ultrapassaram a esfera jurídica, abrangendo diversas áreas (como a história e a psicanálise, por exemplo), além de conceitos como gênero, sexo, reprodução, libido, amor, casamento e família. Muitos questionamentos foram levantados: “A Constituição Federal é silente sobre relações homoafetivas? E se houver silêncio isso representaria uma proibição? Qual o conceito de família?” (Fonseca, 2022, p. 03) </w:t>
      </w:r>
    </w:p>
    <w:p w14:paraId="5F84892B" w14:textId="77777777" w:rsidR="001260A6" w:rsidRPr="00C30BB9" w:rsidRDefault="001260A6" w:rsidP="00C30BB9">
      <w:pPr>
        <w:spacing w:line="360" w:lineRule="auto"/>
        <w:ind w:firstLine="709"/>
        <w:jc w:val="both"/>
        <w:rPr>
          <w:sz w:val="24"/>
          <w:szCs w:val="24"/>
        </w:rPr>
      </w:pPr>
      <w:r w:rsidRPr="00C30BB9">
        <w:rPr>
          <w:sz w:val="24"/>
          <w:szCs w:val="24"/>
        </w:rPr>
        <w:t>Após extensa discussão, os princípios da dignidade humana, igualdade e liberdade levaram à decisão de reconhecer a união estável entre pessoas do mesmo sexo como entidade familiar, conforme o arti</w:t>
      </w:r>
      <w:r w:rsidR="003B049E" w:rsidRPr="00C30BB9">
        <w:rPr>
          <w:sz w:val="24"/>
          <w:szCs w:val="24"/>
        </w:rPr>
        <w:t>go 1723 do Código Civil de 2002</w:t>
      </w:r>
      <w:r w:rsidRPr="00C30BB9">
        <w:rPr>
          <w:sz w:val="24"/>
          <w:szCs w:val="24"/>
        </w:rPr>
        <w:t xml:space="preserve">. Essa </w:t>
      </w:r>
      <w:r w:rsidRPr="00C30BB9">
        <w:rPr>
          <w:sz w:val="24"/>
          <w:szCs w:val="24"/>
        </w:rPr>
        <w:lastRenderedPageBreak/>
        <w:t>decisão foi reconhecida como Patrimônio Documental da Humanidade pela UNESCO (Fonseca, 2022).</w:t>
      </w:r>
    </w:p>
    <w:p w14:paraId="7A8F2CA1" w14:textId="77777777" w:rsidR="00A8356E" w:rsidRPr="00C30BB9" w:rsidRDefault="00A8356E" w:rsidP="00C30BB9">
      <w:pPr>
        <w:spacing w:line="360" w:lineRule="auto"/>
        <w:ind w:firstLine="709"/>
        <w:jc w:val="both"/>
        <w:rPr>
          <w:sz w:val="24"/>
          <w:szCs w:val="24"/>
        </w:rPr>
      </w:pPr>
      <w:r w:rsidRPr="00C30BB9">
        <w:rPr>
          <w:sz w:val="24"/>
          <w:szCs w:val="24"/>
        </w:rPr>
        <w:t xml:space="preserve">A decisão possibilitou um crescimento significativo de uniões homoafetivas, trazendo maior segurança jurídica, uma vez que as decisões de alguns </w:t>
      </w:r>
      <w:r w:rsidR="003B049E" w:rsidRPr="00C30BB9">
        <w:rPr>
          <w:sz w:val="24"/>
          <w:szCs w:val="24"/>
        </w:rPr>
        <w:t>juízos</w:t>
      </w:r>
      <w:r w:rsidRPr="00C30BB9">
        <w:rPr>
          <w:sz w:val="24"/>
          <w:szCs w:val="24"/>
        </w:rPr>
        <w:t xml:space="preserve"> já reconheciam essas uniões em questões previdenciárias, de forma esporádica. (Martins, 2022)</w:t>
      </w:r>
    </w:p>
    <w:p w14:paraId="61B01FE9" w14:textId="77777777" w:rsidR="00A8356E" w:rsidRPr="00C30BB9" w:rsidRDefault="001260A6" w:rsidP="00C30BB9">
      <w:pPr>
        <w:spacing w:line="360" w:lineRule="auto"/>
        <w:ind w:firstLine="709"/>
        <w:jc w:val="both"/>
        <w:rPr>
          <w:sz w:val="24"/>
          <w:szCs w:val="24"/>
        </w:rPr>
      </w:pPr>
      <w:r w:rsidRPr="00C30BB9">
        <w:rPr>
          <w:sz w:val="24"/>
          <w:szCs w:val="24"/>
        </w:rPr>
        <w:t>Quanto ao casamento civil, o CNJ garantiu o casamento LGBTQIAPN+ pela Resolução nº 175/2013, dois anos após o reconhecimento da união estável homoafetiva pelo STF, conferindo ao ato força vinculante para todo o Judiciário (Souza, 2024).</w:t>
      </w:r>
      <w:r w:rsidR="003B049E" w:rsidRPr="00C30BB9">
        <w:rPr>
          <w:sz w:val="24"/>
          <w:szCs w:val="24"/>
        </w:rPr>
        <w:t xml:space="preserve"> </w:t>
      </w:r>
      <w:r w:rsidR="00A8356E" w:rsidRPr="00C30BB9">
        <w:rPr>
          <w:sz w:val="24"/>
          <w:szCs w:val="24"/>
        </w:rPr>
        <w:t>Assim, os cartório</w:t>
      </w:r>
      <w:r w:rsidRPr="00C30BB9">
        <w:rPr>
          <w:sz w:val="24"/>
          <w:szCs w:val="24"/>
        </w:rPr>
        <w:t>s</w:t>
      </w:r>
      <w:r w:rsidR="00A8356E" w:rsidRPr="00C30BB9">
        <w:rPr>
          <w:sz w:val="24"/>
          <w:szCs w:val="24"/>
        </w:rPr>
        <w:t xml:space="preserve"> passaram a ser proibidos a recursar a celebração de casamento entre pessoas não-cisheteroafetivas ou a converterem uniões estáveis em casamentos homoafetivos. (Resende, 2024) </w:t>
      </w:r>
    </w:p>
    <w:p w14:paraId="3CC51E90" w14:textId="77777777" w:rsidR="00A8356E" w:rsidRPr="00C30BB9" w:rsidRDefault="001260A6" w:rsidP="00C30BB9">
      <w:pPr>
        <w:spacing w:line="360" w:lineRule="auto"/>
        <w:ind w:firstLine="709"/>
        <w:jc w:val="both"/>
        <w:rPr>
          <w:sz w:val="24"/>
          <w:szCs w:val="24"/>
        </w:rPr>
      </w:pPr>
      <w:r w:rsidRPr="00C30BB9">
        <w:rPr>
          <w:sz w:val="24"/>
          <w:szCs w:val="24"/>
        </w:rPr>
        <w:t>No caso das mulheres LBTIAP, há entraves específicos relacionados aos filhos de casais formados por mulheres cisgênero, na dupla maternidade, que pode resultar de adoção, reprodução assistida, inseminação artificial ou ins</w:t>
      </w:r>
      <w:r w:rsidR="00900D21" w:rsidRPr="00C30BB9">
        <w:rPr>
          <w:sz w:val="24"/>
          <w:szCs w:val="24"/>
        </w:rPr>
        <w:t>eminação caseira (Santos, 2024), inclusive quanto a</w:t>
      </w:r>
      <w:r w:rsidR="00A8356E" w:rsidRPr="00C30BB9">
        <w:rPr>
          <w:sz w:val="24"/>
          <w:szCs w:val="24"/>
        </w:rPr>
        <w:t xml:space="preserve">o reconhecimento legal da parentalidade em contexto de dupla maternidade, quanto </w:t>
      </w:r>
      <w:r w:rsidR="00900D21" w:rsidRPr="00C30BB9">
        <w:rPr>
          <w:sz w:val="24"/>
          <w:szCs w:val="24"/>
        </w:rPr>
        <w:t>a</w:t>
      </w:r>
      <w:r w:rsidR="00A8356E" w:rsidRPr="00C30BB9">
        <w:rPr>
          <w:sz w:val="24"/>
          <w:szCs w:val="24"/>
        </w:rPr>
        <w:t>o acesso ao acompanhamento médico adequado e respeitoso. (Matos, 2012)</w:t>
      </w:r>
    </w:p>
    <w:p w14:paraId="713249E2" w14:textId="77777777" w:rsidR="00B508BD" w:rsidRPr="00C30BB9" w:rsidRDefault="00B508BD" w:rsidP="00C30BB9">
      <w:pPr>
        <w:spacing w:line="360" w:lineRule="auto"/>
        <w:ind w:firstLine="709"/>
        <w:jc w:val="both"/>
        <w:rPr>
          <w:sz w:val="24"/>
          <w:szCs w:val="24"/>
        </w:rPr>
      </w:pPr>
      <w:r w:rsidRPr="00C30BB9">
        <w:rPr>
          <w:sz w:val="24"/>
          <w:szCs w:val="24"/>
        </w:rPr>
        <w:t>Outro avanço importante foi a alteração nos formulários oficiais, que antes continham os campos “pai” e “mãe” e passaram a adotar o termo “filiação”. A mudança, iniciada pelo Ministério Público Federal, foi consolidada pelo Provimento nº 63/2017 do CNJ, que tornou obrigatória essa nomenclatura para garantir o direito ao registro de dupla maternidade ou paternidade. Contudo, exige-se que o casal esteja legalmente casado ou com união estável registrada, exigência não feita a casais heteronormativos (Santos, 2024).</w:t>
      </w:r>
    </w:p>
    <w:p w14:paraId="31495F8F" w14:textId="77777777" w:rsidR="00A8356E" w:rsidRPr="00C30BB9" w:rsidRDefault="00A8356E" w:rsidP="00C30BB9">
      <w:pPr>
        <w:spacing w:line="360" w:lineRule="auto"/>
        <w:ind w:firstLine="709"/>
        <w:jc w:val="both"/>
        <w:rPr>
          <w:sz w:val="24"/>
          <w:szCs w:val="24"/>
        </w:rPr>
      </w:pPr>
      <w:r w:rsidRPr="00C30BB9">
        <w:rPr>
          <w:sz w:val="24"/>
          <w:szCs w:val="24"/>
        </w:rPr>
        <w:t xml:space="preserve">Mas o projeto de lei </w:t>
      </w:r>
      <w:r w:rsidR="00F02DC0" w:rsidRPr="00C30BB9">
        <w:rPr>
          <w:sz w:val="24"/>
          <w:szCs w:val="24"/>
        </w:rPr>
        <w:t xml:space="preserve">(PL) </w:t>
      </w:r>
      <w:r w:rsidRPr="00C30BB9">
        <w:rPr>
          <w:sz w:val="24"/>
          <w:szCs w:val="24"/>
        </w:rPr>
        <w:t>n.º 5423/2020, que se encontra aguardando designação do Relator na Câmara dos Deputado, visa acrescentar o artigo 60-A à Lei n.º 6.015/</w:t>
      </w:r>
      <w:r w:rsidR="00900D21" w:rsidRPr="00C30BB9">
        <w:rPr>
          <w:sz w:val="24"/>
          <w:szCs w:val="24"/>
        </w:rPr>
        <w:t>19</w:t>
      </w:r>
      <w:r w:rsidRPr="00C30BB9">
        <w:rPr>
          <w:sz w:val="24"/>
          <w:szCs w:val="24"/>
        </w:rPr>
        <w:t xml:space="preserve">73, para que se garanta o registro da dupla maternidade ou paternidade sem que necessite dos requisitos citados. </w:t>
      </w:r>
    </w:p>
    <w:p w14:paraId="66E3BF8C" w14:textId="77777777" w:rsidR="00A8356E" w:rsidRPr="00C30BB9" w:rsidRDefault="00A8356E" w:rsidP="00C30BB9">
      <w:pPr>
        <w:spacing w:line="360" w:lineRule="auto"/>
        <w:ind w:firstLine="709"/>
        <w:jc w:val="both"/>
        <w:rPr>
          <w:sz w:val="24"/>
          <w:szCs w:val="24"/>
        </w:rPr>
      </w:pPr>
      <w:r w:rsidRPr="00C30BB9">
        <w:rPr>
          <w:sz w:val="24"/>
          <w:szCs w:val="24"/>
        </w:rPr>
        <w:lastRenderedPageBreak/>
        <w:t>Apesar dos silêncios legais, houve um avanço considerável de registros de crianças por casais não-cisheteroafetivos: entre 2021 e 2023, foram um total de 50.838 crianças registradas dessa maneira, de acordo com a Associação Nacional dos Registradores de Pessoas Naturais (Arpen-Br). (IBDFAM, 2024). Neste grupo, certamente, estão muitas mães LBTIAP, que tiveram os registros de suas maternidades realizados.</w:t>
      </w:r>
    </w:p>
    <w:p w14:paraId="4A384C74" w14:textId="77777777" w:rsidR="00A8356E" w:rsidRPr="00C30BB9" w:rsidRDefault="00A8356E" w:rsidP="00C30BB9">
      <w:pPr>
        <w:spacing w:line="360" w:lineRule="auto"/>
        <w:ind w:firstLine="709"/>
        <w:jc w:val="both"/>
        <w:rPr>
          <w:sz w:val="24"/>
          <w:szCs w:val="24"/>
        </w:rPr>
      </w:pPr>
      <w:r w:rsidRPr="00C30BB9">
        <w:rPr>
          <w:sz w:val="24"/>
          <w:szCs w:val="24"/>
        </w:rPr>
        <w:t>Entretanto, elas ainda precisam passar por diversos obstáculos legais e sociais para a garantia de seus direitos e de seus filhos, em especial pela falta de legislação que proteja as relações civis (especialmente as relacionadas à maternidade), mantendo a insegurança jurídica histórica e obrigando mães a procurarem amparo no Poder Judiciário, utilizado como alternativa única para ultrapassar os silêncios legais.</w:t>
      </w:r>
    </w:p>
    <w:p w14:paraId="6CD9DBE0" w14:textId="77777777" w:rsidR="00B508BD" w:rsidRPr="00C30BB9" w:rsidRDefault="00A8356E" w:rsidP="00C30BB9">
      <w:pPr>
        <w:spacing w:line="360" w:lineRule="auto"/>
        <w:ind w:firstLine="709"/>
        <w:jc w:val="both"/>
        <w:rPr>
          <w:sz w:val="24"/>
          <w:szCs w:val="24"/>
        </w:rPr>
      </w:pPr>
      <w:r w:rsidRPr="00C30BB9">
        <w:rPr>
          <w:sz w:val="24"/>
          <w:szCs w:val="24"/>
        </w:rPr>
        <w:t xml:space="preserve">Já </w:t>
      </w:r>
      <w:r w:rsidR="00B508BD" w:rsidRPr="00C30BB9">
        <w:rPr>
          <w:sz w:val="24"/>
          <w:szCs w:val="24"/>
        </w:rPr>
        <w:t>no que se refere ao acesso a um acompanhamento médico adequado e respeitoso, destaca-se a Política Nacional de Atenção Integral à Saúde da Mulher (PNAISM), construída a partir da proposição do SUS, com cooperação entre Ministérios, sociedade civil e comunidade internacional, visando implementar políticas públicas e garantir os direitos das mulheres (Brasil, 2015).</w:t>
      </w:r>
    </w:p>
    <w:p w14:paraId="7CD50321" w14:textId="77777777" w:rsidR="00B508BD" w:rsidRPr="00C30BB9" w:rsidRDefault="00A8356E" w:rsidP="00C30BB9">
      <w:pPr>
        <w:spacing w:line="360" w:lineRule="auto"/>
        <w:ind w:firstLine="709"/>
        <w:jc w:val="both"/>
        <w:rPr>
          <w:sz w:val="24"/>
          <w:szCs w:val="24"/>
        </w:rPr>
      </w:pPr>
      <w:r w:rsidRPr="00C30BB9">
        <w:rPr>
          <w:sz w:val="24"/>
          <w:szCs w:val="24"/>
        </w:rPr>
        <w:t>Em seu texto</w:t>
      </w:r>
      <w:r w:rsidR="00900D21" w:rsidRPr="00C30BB9">
        <w:rPr>
          <w:sz w:val="24"/>
          <w:szCs w:val="24"/>
        </w:rPr>
        <w:t>,</w:t>
      </w:r>
      <w:r w:rsidRPr="00C30BB9">
        <w:rPr>
          <w:sz w:val="24"/>
          <w:szCs w:val="24"/>
        </w:rPr>
        <w:t xml:space="preserve"> a</w:t>
      </w:r>
      <w:r w:rsidR="00B508BD" w:rsidRPr="00C30BB9">
        <w:rPr>
          <w:sz w:val="24"/>
          <w:szCs w:val="24"/>
        </w:rPr>
        <w:t xml:space="preserve"> PNAISM destaca a importância do respeito à diversidade entre as mulheres, incluindo lésbicas, bissexuais e transexuais. No entanto, o preconceito institucional, a heteronormatividade nos serviços de saúde e a invisibilidade desse grupo ainda comprometem o acesso equitativo aos direitos básicos garantidos pela própria política (Santos, 2015).</w:t>
      </w:r>
    </w:p>
    <w:p w14:paraId="12E5F26A" w14:textId="77777777" w:rsidR="004F776F" w:rsidRPr="00C30BB9" w:rsidRDefault="00A8356E" w:rsidP="00C30BB9">
      <w:pPr>
        <w:spacing w:line="360" w:lineRule="auto"/>
        <w:ind w:firstLine="709"/>
        <w:jc w:val="both"/>
        <w:rPr>
          <w:sz w:val="24"/>
          <w:szCs w:val="24"/>
        </w:rPr>
      </w:pPr>
      <w:r w:rsidRPr="00C30BB9">
        <w:rPr>
          <w:sz w:val="24"/>
          <w:szCs w:val="24"/>
        </w:rPr>
        <w:t xml:space="preserve">Há, ainda, uma série de </w:t>
      </w:r>
      <w:r w:rsidR="001260A6" w:rsidRPr="00C30BB9">
        <w:rPr>
          <w:sz w:val="24"/>
          <w:szCs w:val="24"/>
        </w:rPr>
        <w:t>relatos de violência obstétrica, negação de direitos à dupla maternidade e falta de preparo técnico e sensível dos profissionais indicam que a PNAISM ainda não contempla plenamente as mulheres LBTIAP. É essencial reinterpretar essa política à luz das demandas atuais, com foco na formação profissional e na participação dessas mulheres na formulação das diretrizes de saúde (Santos, 2015).</w:t>
      </w:r>
    </w:p>
    <w:p w14:paraId="1A9195DD" w14:textId="77777777" w:rsidR="001260A6" w:rsidRPr="00C30BB9" w:rsidRDefault="001260A6" w:rsidP="00C30BB9">
      <w:pPr>
        <w:spacing w:line="360" w:lineRule="auto"/>
        <w:ind w:firstLine="709"/>
        <w:jc w:val="both"/>
        <w:rPr>
          <w:sz w:val="24"/>
          <w:szCs w:val="24"/>
        </w:rPr>
      </w:pPr>
    </w:p>
    <w:p w14:paraId="5E2F1274" w14:textId="77777777" w:rsidR="004F776F" w:rsidRPr="00C30BB9" w:rsidRDefault="00900D21" w:rsidP="00C30BB9">
      <w:pPr>
        <w:spacing w:line="360" w:lineRule="auto"/>
        <w:jc w:val="both"/>
        <w:rPr>
          <w:b/>
          <w:sz w:val="24"/>
          <w:szCs w:val="24"/>
        </w:rPr>
      </w:pPr>
      <w:r w:rsidRPr="00C30BB9">
        <w:rPr>
          <w:b/>
          <w:sz w:val="24"/>
          <w:szCs w:val="24"/>
        </w:rPr>
        <w:lastRenderedPageBreak/>
        <w:t xml:space="preserve">4 </w:t>
      </w:r>
      <w:r w:rsidR="004F776F" w:rsidRPr="00C30BB9">
        <w:rPr>
          <w:b/>
          <w:sz w:val="24"/>
          <w:szCs w:val="24"/>
        </w:rPr>
        <w:t>CONCLUSÃO</w:t>
      </w:r>
    </w:p>
    <w:p w14:paraId="4EE3DDCE" w14:textId="77777777" w:rsidR="00900D21" w:rsidRPr="00C30BB9" w:rsidRDefault="00900D21" w:rsidP="00C30BB9">
      <w:pPr>
        <w:spacing w:line="360" w:lineRule="auto"/>
        <w:ind w:firstLine="709"/>
        <w:jc w:val="both"/>
        <w:rPr>
          <w:sz w:val="24"/>
          <w:szCs w:val="24"/>
        </w:rPr>
      </w:pPr>
    </w:p>
    <w:p w14:paraId="16C116BC" w14:textId="77777777" w:rsidR="001260A6" w:rsidRPr="00C30BB9" w:rsidRDefault="001260A6" w:rsidP="00C30BB9">
      <w:pPr>
        <w:spacing w:line="360" w:lineRule="auto"/>
        <w:ind w:firstLine="709"/>
        <w:jc w:val="both"/>
        <w:rPr>
          <w:sz w:val="24"/>
          <w:szCs w:val="24"/>
        </w:rPr>
      </w:pPr>
      <w:r w:rsidRPr="00C30BB9">
        <w:rPr>
          <w:sz w:val="24"/>
          <w:szCs w:val="24"/>
        </w:rPr>
        <w:t>A trajetória das mulheres LBTIAP</w:t>
      </w:r>
      <w:r w:rsidR="00900D21" w:rsidRPr="00C30BB9">
        <w:rPr>
          <w:sz w:val="24"/>
          <w:szCs w:val="24"/>
        </w:rPr>
        <w:t>,</w:t>
      </w:r>
      <w:r w:rsidRPr="00C30BB9">
        <w:rPr>
          <w:sz w:val="24"/>
          <w:szCs w:val="24"/>
        </w:rPr>
        <w:t xml:space="preserve"> no Brasil</w:t>
      </w:r>
      <w:r w:rsidR="00900D21" w:rsidRPr="00C30BB9">
        <w:rPr>
          <w:sz w:val="24"/>
          <w:szCs w:val="24"/>
        </w:rPr>
        <w:t>,</w:t>
      </w:r>
      <w:r w:rsidRPr="00C30BB9">
        <w:rPr>
          <w:sz w:val="24"/>
          <w:szCs w:val="24"/>
        </w:rPr>
        <w:t xml:space="preserve"> reflete uma luta contínua contra a marginalização promovida por estruturas patriarcais, cisheteronormativas e excludentes. A maternidade, especialmente em contextos de dupla maternidade, ainda sofre invisibilizações legais, institucionais e sociais. Apesar de avanços</w:t>
      </w:r>
      <w:r w:rsidR="00900D21" w:rsidRPr="00C30BB9">
        <w:rPr>
          <w:sz w:val="24"/>
          <w:szCs w:val="24"/>
        </w:rPr>
        <w:t>,</w:t>
      </w:r>
      <w:r w:rsidRPr="00C30BB9">
        <w:rPr>
          <w:sz w:val="24"/>
          <w:szCs w:val="24"/>
        </w:rPr>
        <w:t xml:space="preserve"> como o reconhecimento da união estável, do casamento homoafetivo, do registro de filiação por casais do mesmo gênero e das mudanças em formulários oficiais, a cidadania plena dessas mulheres e de suas famílias ainda enfrenta barreiras reais.</w:t>
      </w:r>
    </w:p>
    <w:p w14:paraId="0891D72F" w14:textId="77777777" w:rsidR="001260A6" w:rsidRPr="00C30BB9" w:rsidRDefault="001260A6" w:rsidP="00C30BB9">
      <w:pPr>
        <w:spacing w:line="360" w:lineRule="auto"/>
        <w:ind w:firstLine="709"/>
        <w:jc w:val="both"/>
        <w:rPr>
          <w:sz w:val="24"/>
          <w:szCs w:val="24"/>
        </w:rPr>
      </w:pPr>
      <w:r w:rsidRPr="00C30BB9">
        <w:rPr>
          <w:sz w:val="24"/>
          <w:szCs w:val="24"/>
        </w:rPr>
        <w:t>A exigência de formalização legal da união para o registro de filiação impõe obstáculos que não afetam casais heteronormativos, revelando um tratamento desigual. A lentidão na aprovação de propostas como o PL nº 5423/2020, que busca facilitar o reconhecimento da dupla maternidade e paternidade, reflete a resistência institucional em legitimar a diversidade familiar como digna de proteção integral.</w:t>
      </w:r>
    </w:p>
    <w:p w14:paraId="5DF8D1FB" w14:textId="77777777" w:rsidR="00B508BD" w:rsidRPr="00C30BB9" w:rsidRDefault="00B508BD" w:rsidP="00C30BB9">
      <w:pPr>
        <w:spacing w:line="360" w:lineRule="auto"/>
        <w:ind w:firstLine="709"/>
        <w:jc w:val="both"/>
        <w:rPr>
          <w:sz w:val="24"/>
          <w:szCs w:val="24"/>
        </w:rPr>
      </w:pPr>
      <w:r w:rsidRPr="00C30BB9">
        <w:rPr>
          <w:sz w:val="24"/>
          <w:szCs w:val="24"/>
        </w:rPr>
        <w:t>No campo da saúde, a permanência do preconceito institucional, da negligência no atendimento e da violência obstétrica praticada contra mulheres LBTIAP revelam que políticas públicas como a PNAISM ainda não alcançam, de fato, a equidade necessária. A ausência de preparo técnico e sensibilidade dos profissionais agrava o sofrimento dessas mulheres e dificulta o acesso aos direitos reprodutivos e à justiça social.</w:t>
      </w:r>
    </w:p>
    <w:p w14:paraId="2D9C74F5" w14:textId="77777777" w:rsidR="00B508BD" w:rsidRPr="00C30BB9" w:rsidRDefault="00B508BD" w:rsidP="00C30BB9">
      <w:pPr>
        <w:spacing w:line="360" w:lineRule="auto"/>
        <w:ind w:firstLine="709"/>
        <w:jc w:val="both"/>
        <w:rPr>
          <w:sz w:val="24"/>
          <w:szCs w:val="24"/>
        </w:rPr>
      </w:pPr>
      <w:r w:rsidRPr="00C30BB9">
        <w:rPr>
          <w:sz w:val="24"/>
          <w:szCs w:val="24"/>
        </w:rPr>
        <w:t>Diante disso, é imprescindível repensar o direito das famílias sob uma ótica interseccional, feminista e inclusiva, que compreenda as múltiplas formas de constituição familiar e proteja efetivamente os vínculos afetivos e parentais formados fora dos moldes tradicionais. O caminho para isso envolve tanto o fortalecimento das garantias jurídicas já existentes quanto a formulação de políticas públicas mais robustas, com participação ativa das mulheres LBTIAP em sua construção.</w:t>
      </w:r>
    </w:p>
    <w:p w14:paraId="663FAE9F" w14:textId="77777777" w:rsidR="00B508BD" w:rsidRPr="00C30BB9" w:rsidRDefault="00B508BD" w:rsidP="00C30BB9">
      <w:pPr>
        <w:spacing w:line="360" w:lineRule="auto"/>
        <w:ind w:firstLine="709"/>
        <w:jc w:val="both"/>
        <w:rPr>
          <w:sz w:val="24"/>
          <w:szCs w:val="24"/>
        </w:rPr>
      </w:pPr>
      <w:r w:rsidRPr="00C30BB9">
        <w:rPr>
          <w:sz w:val="24"/>
          <w:szCs w:val="24"/>
        </w:rPr>
        <w:t xml:space="preserve">Somente a partir do reconhecimento pleno das diversas experiências familiares e da superação dos preconceitos estruturais será possível garantir um </w:t>
      </w:r>
      <w:r w:rsidRPr="00C30BB9">
        <w:rPr>
          <w:sz w:val="24"/>
          <w:szCs w:val="24"/>
        </w:rPr>
        <w:lastRenderedPageBreak/>
        <w:t>direito verdadeiramente comprometido com a digni</w:t>
      </w:r>
      <w:r w:rsidR="00F02DC0" w:rsidRPr="00C30BB9">
        <w:rPr>
          <w:sz w:val="24"/>
          <w:szCs w:val="24"/>
        </w:rPr>
        <w:t>dade, a igualdade e a liberdade, que são</w:t>
      </w:r>
      <w:r w:rsidRPr="00C30BB9">
        <w:rPr>
          <w:sz w:val="24"/>
          <w:szCs w:val="24"/>
        </w:rPr>
        <w:t xml:space="preserve"> pilares fundamentais de uma sociedade democrática e plural.</w:t>
      </w:r>
    </w:p>
    <w:p w14:paraId="341AFEE0" w14:textId="77777777" w:rsidR="004F776F" w:rsidRPr="00C30BB9" w:rsidRDefault="004F776F" w:rsidP="00C30BB9">
      <w:pPr>
        <w:spacing w:line="360" w:lineRule="auto"/>
        <w:jc w:val="center"/>
        <w:rPr>
          <w:b/>
          <w:sz w:val="24"/>
          <w:szCs w:val="24"/>
        </w:rPr>
      </w:pPr>
    </w:p>
    <w:p w14:paraId="0AB0AD8C" w14:textId="77777777" w:rsidR="004F776F" w:rsidRPr="00C30BB9" w:rsidRDefault="004F776F" w:rsidP="00B35D04">
      <w:pPr>
        <w:spacing w:line="360" w:lineRule="auto"/>
        <w:rPr>
          <w:bCs/>
          <w:sz w:val="24"/>
          <w:szCs w:val="24"/>
        </w:rPr>
      </w:pPr>
      <w:r w:rsidRPr="00C30BB9">
        <w:rPr>
          <w:b/>
          <w:sz w:val="24"/>
          <w:szCs w:val="24"/>
        </w:rPr>
        <w:t xml:space="preserve">REFERÊNCIAS </w:t>
      </w:r>
    </w:p>
    <w:p w14:paraId="36FE82FD" w14:textId="77777777" w:rsidR="004F776F" w:rsidRPr="00C30BB9" w:rsidRDefault="004F776F" w:rsidP="00960F93">
      <w:pPr>
        <w:spacing w:line="240" w:lineRule="auto"/>
        <w:jc w:val="both"/>
        <w:rPr>
          <w:sz w:val="24"/>
          <w:szCs w:val="24"/>
        </w:rPr>
      </w:pPr>
    </w:p>
    <w:p w14:paraId="5CF4076A" w14:textId="77777777" w:rsidR="00B35D04" w:rsidRDefault="00B35D04" w:rsidP="00960F93">
      <w:pPr>
        <w:spacing w:line="240" w:lineRule="auto"/>
        <w:jc w:val="both"/>
        <w:rPr>
          <w:rFonts w:eastAsia="Calibri"/>
        </w:rPr>
      </w:pPr>
      <w:r w:rsidRPr="00960F93">
        <w:rPr>
          <w:rFonts w:eastAsia="Calibri"/>
          <w:bCs/>
        </w:rPr>
        <w:t>BRASIL.</w:t>
      </w:r>
      <w:r w:rsidRPr="00960F93">
        <w:rPr>
          <w:rFonts w:eastAsia="Calibri"/>
        </w:rPr>
        <w:t xml:space="preserve"> Câmara dos Deputados. </w:t>
      </w:r>
      <w:r w:rsidRPr="00836124">
        <w:rPr>
          <w:rFonts w:eastAsia="Calibri"/>
          <w:bCs/>
          <w:i/>
        </w:rPr>
        <w:t>Projeto de Lei nº 5423, de 8 de dezembro de 2020.</w:t>
      </w:r>
      <w:r w:rsidRPr="00960F93">
        <w:rPr>
          <w:rFonts w:eastAsia="Calibri"/>
        </w:rPr>
        <w:t xml:space="preserve"> Acrescenta o Art. 60-A à Lei nº 6.015, de 31 de dezembro de 1973, que dispõe sobre os registros públicos, para garantir o registro de dupla maternidade ou paternidade aos casais homoafetivos que tiverem filhos e dá outras providências. Disponível em: </w:t>
      </w:r>
      <w:hyperlink r:id="rId8" w:tgtFrame="_new" w:history="1">
        <w:r w:rsidRPr="00960F93">
          <w:rPr>
            <w:rStyle w:val="Hyperlink"/>
            <w:rFonts w:eastAsia="Calibri"/>
          </w:rPr>
          <w:t>https://www.camara.leg.br/proposicoesWeb/fichadetramitacao?idProposicao=2266295&amp;fichaAmigavel=nao</w:t>
        </w:r>
      </w:hyperlink>
      <w:r w:rsidRPr="00960F93">
        <w:rPr>
          <w:rFonts w:eastAsia="Calibri"/>
        </w:rPr>
        <w:t>. Acesso em: 20 de junho de 2025.</w:t>
      </w:r>
    </w:p>
    <w:p w14:paraId="18CD4FBE" w14:textId="77777777" w:rsidR="00960F93" w:rsidRPr="00960F93" w:rsidRDefault="00960F93" w:rsidP="00960F93">
      <w:pPr>
        <w:spacing w:line="240" w:lineRule="auto"/>
        <w:jc w:val="both"/>
        <w:rPr>
          <w:rFonts w:eastAsia="Calibri"/>
        </w:rPr>
      </w:pPr>
    </w:p>
    <w:p w14:paraId="1778E486" w14:textId="77777777" w:rsidR="00B35D04" w:rsidRDefault="00B35D04" w:rsidP="00960F93">
      <w:pPr>
        <w:spacing w:line="240" w:lineRule="auto"/>
        <w:jc w:val="both"/>
        <w:rPr>
          <w:rFonts w:eastAsia="Calibri"/>
        </w:rPr>
      </w:pPr>
      <w:r w:rsidRPr="00960F93">
        <w:rPr>
          <w:rFonts w:eastAsia="Calibri"/>
          <w:bCs/>
        </w:rPr>
        <w:t>BRASIL.</w:t>
      </w:r>
      <w:r w:rsidRPr="00960F93">
        <w:rPr>
          <w:rFonts w:eastAsia="Calibri"/>
        </w:rPr>
        <w:t xml:space="preserve"> Superior Tribunal de Justiça. </w:t>
      </w:r>
      <w:r w:rsidRPr="00836124">
        <w:rPr>
          <w:rFonts w:eastAsia="Calibri"/>
          <w:bCs/>
          <w:i/>
        </w:rPr>
        <w:t>Mãe não biológica terá seu nome no registro civil da filha gerada com sêmen de doador.</w:t>
      </w:r>
      <w:r w:rsidRPr="00836124">
        <w:rPr>
          <w:rFonts w:eastAsia="Calibri"/>
          <w:i/>
        </w:rPr>
        <w:t xml:space="preserve"> 2024.</w:t>
      </w:r>
      <w:r w:rsidRPr="00960F93">
        <w:rPr>
          <w:rFonts w:eastAsia="Calibri"/>
        </w:rPr>
        <w:t xml:space="preserve"> Disponível em: </w:t>
      </w:r>
      <w:hyperlink r:id="rId9" w:tgtFrame="_new" w:history="1">
        <w:r w:rsidRPr="00960F93">
          <w:rPr>
            <w:rStyle w:val="Hyperlink"/>
            <w:rFonts w:eastAsia="Calibri"/>
          </w:rPr>
          <w:t>https://www.stj.jus.br/sites/portalp/Paginas/Comunicacao/Noticias/2024/17102024-Mae-nao-biologica-tera-seu-nome-no-registro-civil-da-filha-gerada-com-semen-de-doador.aspx</w:t>
        </w:r>
      </w:hyperlink>
      <w:r w:rsidRPr="00960F93">
        <w:rPr>
          <w:rFonts w:eastAsia="Calibri"/>
        </w:rPr>
        <w:t>. Acesso em: 15 abril 2025.</w:t>
      </w:r>
    </w:p>
    <w:p w14:paraId="13E39A83" w14:textId="77777777" w:rsidR="00960F93" w:rsidRPr="00960F93" w:rsidRDefault="00960F93" w:rsidP="00960F93">
      <w:pPr>
        <w:spacing w:line="240" w:lineRule="auto"/>
        <w:jc w:val="both"/>
        <w:rPr>
          <w:rFonts w:eastAsia="Calibri"/>
        </w:rPr>
      </w:pPr>
    </w:p>
    <w:p w14:paraId="1DAB3F0D" w14:textId="77777777" w:rsidR="00B35D04" w:rsidRDefault="00B35D04" w:rsidP="00960F93">
      <w:pPr>
        <w:spacing w:line="240" w:lineRule="auto"/>
        <w:jc w:val="both"/>
        <w:rPr>
          <w:rFonts w:eastAsia="Calibri"/>
        </w:rPr>
      </w:pPr>
      <w:r w:rsidRPr="00960F93">
        <w:rPr>
          <w:rFonts w:eastAsia="Calibri"/>
          <w:bCs/>
        </w:rPr>
        <w:t>CONSELHO NACIONAL DE COMBATE À DISCRIMINAÇÃO (Brasil).</w:t>
      </w:r>
      <w:r w:rsidRPr="00960F93">
        <w:rPr>
          <w:rFonts w:eastAsia="Calibri"/>
        </w:rPr>
        <w:t xml:space="preserve"> </w:t>
      </w:r>
      <w:r w:rsidRPr="00836124">
        <w:rPr>
          <w:rFonts w:eastAsia="Calibri"/>
          <w:bCs/>
          <w:i/>
        </w:rPr>
        <w:t>Brasil sem homofobia:</w:t>
      </w:r>
      <w:r w:rsidRPr="00960F93">
        <w:rPr>
          <w:rFonts w:eastAsia="Calibri"/>
          <w:bCs/>
        </w:rPr>
        <w:t xml:space="preserve"> programa de combate à violência e à discriminação contra GLTB e de promoção da cidadania homossexual.</w:t>
      </w:r>
      <w:r w:rsidRPr="00960F93">
        <w:rPr>
          <w:rFonts w:eastAsia="Calibri"/>
        </w:rPr>
        <w:t xml:space="preserve"> Brasília: Ministério da Saúde, 2004.</w:t>
      </w:r>
    </w:p>
    <w:p w14:paraId="4D9E96AF" w14:textId="77777777" w:rsidR="00960F93" w:rsidRPr="00960F93" w:rsidRDefault="00960F93" w:rsidP="00960F93">
      <w:pPr>
        <w:spacing w:line="240" w:lineRule="auto"/>
        <w:jc w:val="both"/>
        <w:rPr>
          <w:rFonts w:eastAsia="Calibri"/>
        </w:rPr>
      </w:pPr>
    </w:p>
    <w:p w14:paraId="5807A3EB" w14:textId="77777777" w:rsidR="00B35D04" w:rsidRDefault="00B35D04" w:rsidP="00960F93">
      <w:pPr>
        <w:spacing w:line="240" w:lineRule="auto"/>
        <w:jc w:val="both"/>
        <w:rPr>
          <w:rFonts w:eastAsia="Calibri"/>
        </w:rPr>
      </w:pPr>
      <w:r w:rsidRPr="00960F93">
        <w:rPr>
          <w:rFonts w:eastAsia="Calibri"/>
          <w:bCs/>
        </w:rPr>
        <w:t>COSTA DOS SANTOS, B.; BRUZACA, R. D.</w:t>
      </w:r>
      <w:r w:rsidRPr="00960F93">
        <w:rPr>
          <w:rFonts w:eastAsia="Calibri"/>
        </w:rPr>
        <w:t xml:space="preserve"> </w:t>
      </w:r>
      <w:r w:rsidR="00960F93" w:rsidRPr="00836124">
        <w:rPr>
          <w:rFonts w:eastAsia="Calibri"/>
          <w:bCs/>
          <w:i/>
        </w:rPr>
        <w:t>“</w:t>
      </w:r>
      <w:r w:rsidRPr="00836124">
        <w:rPr>
          <w:rFonts w:eastAsia="Calibri"/>
          <w:bCs/>
          <w:i/>
        </w:rPr>
        <w:t>Mãe só tem uma</w:t>
      </w:r>
      <w:r w:rsidR="00960F93" w:rsidRPr="00836124">
        <w:rPr>
          <w:rFonts w:eastAsia="Calibri"/>
          <w:bCs/>
          <w:i/>
        </w:rPr>
        <w:t>”</w:t>
      </w:r>
      <w:r w:rsidRPr="00836124">
        <w:rPr>
          <w:rFonts w:eastAsia="Calibri"/>
          <w:bCs/>
          <w:i/>
        </w:rPr>
        <w:t>?</w:t>
      </w:r>
      <w:r w:rsidRPr="00960F93">
        <w:rPr>
          <w:rFonts w:eastAsia="Calibri"/>
          <w:bCs/>
        </w:rPr>
        <w:t xml:space="preserve"> Os desafios legais da dupla maternidade homoafetiva.</w:t>
      </w:r>
      <w:r w:rsidRPr="00960F93">
        <w:rPr>
          <w:rFonts w:eastAsia="Calibri"/>
        </w:rPr>
        <w:t xml:space="preserve"> Revista Direitos Sociais e Políticas Públicas (UNIFAFIBE), [S. l.], v. 12, n. 3, p. 336–364, 2025. Disponível em: </w:t>
      </w:r>
      <w:hyperlink r:id="rId10" w:tgtFrame="_new" w:history="1">
        <w:r w:rsidRPr="00960F93">
          <w:rPr>
            <w:rStyle w:val="Hyperlink"/>
            <w:rFonts w:eastAsia="Calibri"/>
          </w:rPr>
          <w:t>https://portal.unifafibe.com.br:443/revista/index.php/direitos-sociais-politicas-pub/article/view/1537</w:t>
        </w:r>
      </w:hyperlink>
      <w:r w:rsidRPr="00960F93">
        <w:rPr>
          <w:rFonts w:eastAsia="Calibri"/>
        </w:rPr>
        <w:t>. Acesso em: 8 abril 2025.</w:t>
      </w:r>
    </w:p>
    <w:p w14:paraId="3828613D" w14:textId="77777777" w:rsidR="00960F93" w:rsidRPr="00960F93" w:rsidRDefault="00960F93" w:rsidP="00960F93">
      <w:pPr>
        <w:spacing w:line="240" w:lineRule="auto"/>
        <w:jc w:val="both"/>
        <w:rPr>
          <w:rFonts w:eastAsia="Calibri"/>
        </w:rPr>
      </w:pPr>
    </w:p>
    <w:p w14:paraId="00272619" w14:textId="77777777" w:rsidR="00B35D04" w:rsidRDefault="00B35D04" w:rsidP="00960F93">
      <w:pPr>
        <w:spacing w:line="240" w:lineRule="auto"/>
        <w:jc w:val="both"/>
        <w:rPr>
          <w:rFonts w:eastAsia="Calibri"/>
        </w:rPr>
      </w:pPr>
      <w:r w:rsidRPr="00960F93">
        <w:rPr>
          <w:rFonts w:eastAsia="Calibri"/>
          <w:bCs/>
        </w:rPr>
        <w:t>DIAS, Maria Berenice.</w:t>
      </w:r>
      <w:r w:rsidRPr="00960F93">
        <w:rPr>
          <w:rFonts w:eastAsia="Calibri"/>
        </w:rPr>
        <w:t xml:space="preserve"> </w:t>
      </w:r>
      <w:r w:rsidRPr="00836124">
        <w:rPr>
          <w:rFonts w:eastAsia="Calibri"/>
          <w:bCs/>
          <w:i/>
        </w:rPr>
        <w:t>Manual de direito das famílias</w:t>
      </w:r>
      <w:r w:rsidRPr="00960F93">
        <w:rPr>
          <w:rFonts w:eastAsia="Calibri"/>
          <w:bCs/>
        </w:rPr>
        <w:t>.</w:t>
      </w:r>
      <w:r w:rsidRPr="00960F93">
        <w:rPr>
          <w:rFonts w:eastAsia="Calibri"/>
        </w:rPr>
        <w:t xml:space="preserve"> 7. ed. São Paulo: Editora Revista dos Tribunais, 2011.</w:t>
      </w:r>
    </w:p>
    <w:p w14:paraId="78ED44C0" w14:textId="77777777" w:rsidR="00960F93" w:rsidRPr="00960F93" w:rsidRDefault="00960F93" w:rsidP="00960F93">
      <w:pPr>
        <w:spacing w:line="240" w:lineRule="auto"/>
        <w:jc w:val="both"/>
        <w:rPr>
          <w:rFonts w:eastAsia="Calibri"/>
        </w:rPr>
      </w:pPr>
    </w:p>
    <w:p w14:paraId="41737861" w14:textId="77777777" w:rsidR="00B35D04" w:rsidRDefault="00B35D04" w:rsidP="00960F93">
      <w:pPr>
        <w:spacing w:line="240" w:lineRule="auto"/>
        <w:jc w:val="both"/>
        <w:rPr>
          <w:rFonts w:eastAsia="Calibri"/>
        </w:rPr>
      </w:pPr>
      <w:r w:rsidRPr="00960F93">
        <w:rPr>
          <w:rFonts w:eastAsia="Calibri"/>
          <w:bCs/>
        </w:rPr>
        <w:t>FACHIN, Luiz Edson.</w:t>
      </w:r>
      <w:r w:rsidRPr="00960F93">
        <w:rPr>
          <w:rFonts w:eastAsia="Calibri"/>
        </w:rPr>
        <w:t xml:space="preserve"> </w:t>
      </w:r>
      <w:r w:rsidRPr="00836124">
        <w:rPr>
          <w:rFonts w:eastAsia="Calibri"/>
          <w:bCs/>
          <w:i/>
        </w:rPr>
        <w:t>Comentários ao Novo Código Civil</w:t>
      </w:r>
      <w:r w:rsidRPr="00960F93">
        <w:rPr>
          <w:rFonts w:eastAsia="Calibri"/>
          <w:bCs/>
        </w:rPr>
        <w:t>.</w:t>
      </w:r>
      <w:r w:rsidRPr="00960F93">
        <w:rPr>
          <w:rFonts w:eastAsia="Calibri"/>
        </w:rPr>
        <w:t xml:space="preserve"> Rio de Janeiro: Forense, 2003. v. 18.</w:t>
      </w:r>
    </w:p>
    <w:p w14:paraId="05DE086B" w14:textId="77777777" w:rsidR="00960F93" w:rsidRPr="00960F93" w:rsidRDefault="00960F93" w:rsidP="00960F93">
      <w:pPr>
        <w:spacing w:line="240" w:lineRule="auto"/>
        <w:jc w:val="both"/>
        <w:rPr>
          <w:rFonts w:eastAsia="Calibri"/>
        </w:rPr>
      </w:pPr>
    </w:p>
    <w:p w14:paraId="31F5A8EB" w14:textId="77777777" w:rsidR="00B35D04" w:rsidRDefault="00B35D04" w:rsidP="00960F93">
      <w:pPr>
        <w:spacing w:line="240" w:lineRule="auto"/>
        <w:jc w:val="both"/>
        <w:rPr>
          <w:rFonts w:eastAsia="Calibri"/>
        </w:rPr>
      </w:pPr>
      <w:r w:rsidRPr="00960F93">
        <w:rPr>
          <w:rFonts w:eastAsia="Calibri"/>
          <w:bCs/>
        </w:rPr>
        <w:t>FERREIRA, A. C.; BRUHN, M. M.</w:t>
      </w:r>
      <w:r w:rsidRPr="00960F93">
        <w:rPr>
          <w:rFonts w:eastAsia="Calibri"/>
        </w:rPr>
        <w:t xml:space="preserve"> </w:t>
      </w:r>
      <w:r w:rsidRPr="00960F93">
        <w:rPr>
          <w:rFonts w:eastAsia="Calibri"/>
          <w:bCs/>
        </w:rPr>
        <w:t>Histórias sáficas não contadas: um recorte nas subjetividades lésbicas afetadas por produções narrativas.</w:t>
      </w:r>
      <w:r w:rsidRPr="00960F93">
        <w:rPr>
          <w:rFonts w:eastAsia="Calibri"/>
        </w:rPr>
        <w:t xml:space="preserve"> </w:t>
      </w:r>
      <w:r w:rsidRPr="00836124">
        <w:rPr>
          <w:rFonts w:eastAsia="Calibri"/>
          <w:i/>
        </w:rPr>
        <w:t>Revista Feminismos</w:t>
      </w:r>
      <w:r w:rsidRPr="00960F93">
        <w:rPr>
          <w:rFonts w:eastAsia="Calibri"/>
        </w:rPr>
        <w:t xml:space="preserve">, [S. l.], v. 11, n. 2, 2023. DOI: 10.9771/rf.v11i2.53333. Disponível em: </w:t>
      </w:r>
      <w:hyperlink r:id="rId11" w:tgtFrame="_new" w:history="1">
        <w:r w:rsidRPr="00960F93">
          <w:rPr>
            <w:rStyle w:val="Hyperlink"/>
            <w:rFonts w:eastAsia="Calibri"/>
          </w:rPr>
          <w:t>https://revbaianaenferm.ufba.br/index.php/feminismos/article/view/53333</w:t>
        </w:r>
      </w:hyperlink>
      <w:r w:rsidRPr="00960F93">
        <w:rPr>
          <w:rFonts w:eastAsia="Calibri"/>
        </w:rPr>
        <w:t>. Acesso em: 8 abril 2025.</w:t>
      </w:r>
    </w:p>
    <w:p w14:paraId="385E141E" w14:textId="77777777" w:rsidR="00960F93" w:rsidRPr="00960F93" w:rsidRDefault="00960F93" w:rsidP="00960F93">
      <w:pPr>
        <w:spacing w:line="240" w:lineRule="auto"/>
        <w:jc w:val="both"/>
        <w:rPr>
          <w:rFonts w:eastAsia="Calibri"/>
        </w:rPr>
      </w:pPr>
    </w:p>
    <w:p w14:paraId="0C368716" w14:textId="77777777" w:rsidR="00B35D04" w:rsidRDefault="00B35D04" w:rsidP="00960F93">
      <w:pPr>
        <w:spacing w:line="240" w:lineRule="auto"/>
        <w:jc w:val="both"/>
        <w:rPr>
          <w:rFonts w:eastAsia="Calibri"/>
        </w:rPr>
      </w:pPr>
      <w:r w:rsidRPr="00960F93">
        <w:rPr>
          <w:rFonts w:eastAsia="Calibri"/>
          <w:bCs/>
        </w:rPr>
        <w:t xml:space="preserve">FONSECA, Tatiana Petaccia </w:t>
      </w:r>
      <w:r w:rsidRPr="00836124">
        <w:rPr>
          <w:rFonts w:eastAsia="Calibri"/>
          <w:bCs/>
          <w:i/>
        </w:rPr>
        <w:t>et al</w:t>
      </w:r>
      <w:r w:rsidRPr="00960F93">
        <w:rPr>
          <w:rFonts w:eastAsia="Calibri"/>
          <w:bCs/>
        </w:rPr>
        <w:t>.</w:t>
      </w:r>
      <w:r w:rsidRPr="00960F93">
        <w:rPr>
          <w:rFonts w:eastAsia="Calibri"/>
        </w:rPr>
        <w:t xml:space="preserve"> </w:t>
      </w:r>
      <w:r w:rsidRPr="00836124">
        <w:rPr>
          <w:rFonts w:eastAsia="Calibri"/>
          <w:bCs/>
          <w:i/>
        </w:rPr>
        <w:t>Os novos modelos familiares, a evolução social, e as lacunas no sistema judiciário brasileiro</w:t>
      </w:r>
      <w:r w:rsidRPr="00960F93">
        <w:rPr>
          <w:rFonts w:eastAsia="Calibri"/>
          <w:bCs/>
        </w:rPr>
        <w:t>.</w:t>
      </w:r>
      <w:r w:rsidRPr="00960F93">
        <w:rPr>
          <w:rFonts w:eastAsia="Calibri"/>
        </w:rPr>
        <w:t xml:space="preserve"> Graduação em Movimento – Ciências da Saúde, v. 1, n. 1, p. 7-22, fev. 2022. Disponível em: </w:t>
      </w:r>
      <w:hyperlink r:id="rId12" w:tgtFrame="_new" w:history="1">
        <w:r w:rsidRPr="00960F93">
          <w:rPr>
            <w:rStyle w:val="Hyperlink"/>
            <w:rFonts w:eastAsia="Calibri"/>
          </w:rPr>
          <w:t>https://www.uniftc.edu.br/</w:t>
        </w:r>
      </w:hyperlink>
      <w:r w:rsidRPr="00960F93">
        <w:rPr>
          <w:rFonts w:eastAsia="Calibri"/>
        </w:rPr>
        <w:t>. Acesso em: 15 abril 2025.</w:t>
      </w:r>
    </w:p>
    <w:p w14:paraId="22E915B6" w14:textId="77777777" w:rsidR="00960F93" w:rsidRPr="00960F93" w:rsidRDefault="00960F93" w:rsidP="00960F93">
      <w:pPr>
        <w:spacing w:line="240" w:lineRule="auto"/>
        <w:jc w:val="both"/>
        <w:rPr>
          <w:rFonts w:eastAsia="Calibri"/>
        </w:rPr>
      </w:pPr>
    </w:p>
    <w:p w14:paraId="62F29BDD" w14:textId="77777777" w:rsidR="00B35D04" w:rsidRDefault="00B35D04" w:rsidP="00960F93">
      <w:pPr>
        <w:spacing w:line="240" w:lineRule="auto"/>
        <w:jc w:val="both"/>
        <w:rPr>
          <w:rFonts w:eastAsia="Calibri"/>
        </w:rPr>
      </w:pPr>
      <w:r w:rsidRPr="00960F93">
        <w:rPr>
          <w:rFonts w:eastAsia="Calibri"/>
          <w:bCs/>
        </w:rPr>
        <w:t>INSTITUTO BRASILEIRO DE DIREITO DE FAMÍLIA (IBDFAM).</w:t>
      </w:r>
      <w:r w:rsidRPr="00960F93">
        <w:rPr>
          <w:rFonts w:eastAsia="Calibri"/>
        </w:rPr>
        <w:t xml:space="preserve"> </w:t>
      </w:r>
      <w:r w:rsidRPr="00836124">
        <w:rPr>
          <w:rFonts w:eastAsia="Calibri"/>
          <w:bCs/>
          <w:i/>
        </w:rPr>
        <w:t>Mais de 50 mil crianças foram registradas por casais homoafetivos no Brasil nos últimos três anos</w:t>
      </w:r>
      <w:r w:rsidRPr="00960F93">
        <w:rPr>
          <w:rFonts w:eastAsia="Calibri"/>
          <w:bCs/>
        </w:rPr>
        <w:t>.</w:t>
      </w:r>
      <w:r w:rsidRPr="00960F93">
        <w:rPr>
          <w:rFonts w:eastAsia="Calibri"/>
        </w:rPr>
        <w:t xml:space="preserve"> IBDFAM, 1 mar. 2024. Disponível em: </w:t>
      </w:r>
      <w:hyperlink r:id="rId13" w:tgtFrame="_new" w:history="1">
        <w:r w:rsidRPr="00960F93">
          <w:rPr>
            <w:rStyle w:val="Hyperlink"/>
            <w:rFonts w:eastAsia="Calibri"/>
          </w:rPr>
          <w:t>https://ibdfam.org.br/noticias/11607/Mais+de+50+mil+crian%C3%A7as+foram+registradas+por+casais+homoafetivos+no+Brasil+nos+%C3%BAltimos+tr%C3%AAs+anos</w:t>
        </w:r>
      </w:hyperlink>
      <w:r w:rsidRPr="00960F93">
        <w:rPr>
          <w:rFonts w:eastAsia="Calibri"/>
        </w:rPr>
        <w:t>. Acesso em: 8 abril 2025.</w:t>
      </w:r>
    </w:p>
    <w:p w14:paraId="105268B2" w14:textId="77777777" w:rsidR="00960F93" w:rsidRPr="00960F93" w:rsidRDefault="00960F93" w:rsidP="00960F93">
      <w:pPr>
        <w:spacing w:line="240" w:lineRule="auto"/>
        <w:jc w:val="both"/>
        <w:rPr>
          <w:rFonts w:eastAsia="Calibri"/>
        </w:rPr>
      </w:pPr>
    </w:p>
    <w:p w14:paraId="44872E5C" w14:textId="77777777" w:rsidR="00B35D04" w:rsidRDefault="00B35D04" w:rsidP="00960F93">
      <w:pPr>
        <w:spacing w:line="240" w:lineRule="auto"/>
        <w:jc w:val="both"/>
        <w:rPr>
          <w:rFonts w:eastAsia="Calibri"/>
        </w:rPr>
      </w:pPr>
      <w:r w:rsidRPr="00960F93">
        <w:rPr>
          <w:rFonts w:eastAsia="Calibri"/>
          <w:bCs/>
        </w:rPr>
        <w:t>MARQUES, Maria Cristina D’Almeida; MATTOS, Amana Rocha.</w:t>
      </w:r>
      <w:r w:rsidRPr="00960F93">
        <w:rPr>
          <w:rFonts w:eastAsia="Calibri"/>
        </w:rPr>
        <w:t xml:space="preserve"> </w:t>
      </w:r>
      <w:r w:rsidRPr="00960F93">
        <w:rPr>
          <w:rFonts w:eastAsia="Calibri"/>
          <w:bCs/>
        </w:rPr>
        <w:t>Políticas públicas de saúde da mulher e o dispositivo de heterossexualidade: silenciamento e apagamento da diversidade sexual das mulheres.</w:t>
      </w:r>
      <w:r w:rsidRPr="00960F93">
        <w:rPr>
          <w:rFonts w:eastAsia="Calibri"/>
        </w:rPr>
        <w:t xml:space="preserve"> </w:t>
      </w:r>
      <w:r w:rsidRPr="00836124">
        <w:rPr>
          <w:rFonts w:eastAsia="Calibri"/>
          <w:i/>
        </w:rPr>
        <w:t>Revista Brasileira de Educação em Saúde (Rebeh)</w:t>
      </w:r>
      <w:r w:rsidRPr="00960F93">
        <w:rPr>
          <w:rFonts w:eastAsia="Calibri"/>
        </w:rPr>
        <w:t xml:space="preserve">, Cuiabá, v. 3, n. 11, p. 62-87, jul./set. 2020. Disponível em: </w:t>
      </w:r>
      <w:hyperlink r:id="rId14" w:tgtFrame="_new" w:history="1">
        <w:r w:rsidRPr="00960F93">
          <w:rPr>
            <w:rStyle w:val="Hyperlink"/>
            <w:rFonts w:eastAsia="Calibri"/>
          </w:rPr>
          <w:t>http://periodicoscientificos.ufmt.br/ojs/index.php/rebeh/index</w:t>
        </w:r>
      </w:hyperlink>
      <w:r w:rsidRPr="00960F93">
        <w:rPr>
          <w:rFonts w:eastAsia="Calibri"/>
        </w:rPr>
        <w:t>. Acesso em: 15 abril 2025.</w:t>
      </w:r>
    </w:p>
    <w:p w14:paraId="110A5405" w14:textId="77777777" w:rsidR="00960F93" w:rsidRPr="00960F93" w:rsidRDefault="00960F93" w:rsidP="00960F93">
      <w:pPr>
        <w:spacing w:line="240" w:lineRule="auto"/>
        <w:jc w:val="both"/>
        <w:rPr>
          <w:rFonts w:eastAsia="Calibri"/>
        </w:rPr>
      </w:pPr>
    </w:p>
    <w:p w14:paraId="5445FA10" w14:textId="77777777" w:rsidR="00B35D04" w:rsidRPr="00960F93" w:rsidRDefault="00B35D04" w:rsidP="00960F93">
      <w:pPr>
        <w:spacing w:line="240" w:lineRule="auto"/>
        <w:jc w:val="both"/>
        <w:rPr>
          <w:rFonts w:eastAsia="Calibri"/>
        </w:rPr>
      </w:pPr>
      <w:r w:rsidRPr="00960F93">
        <w:rPr>
          <w:rFonts w:eastAsia="Calibri"/>
          <w:bCs/>
        </w:rPr>
        <w:t>MARTINS, Thiago Pereira.</w:t>
      </w:r>
      <w:r w:rsidRPr="00960F93">
        <w:rPr>
          <w:rFonts w:eastAsia="Calibri"/>
        </w:rPr>
        <w:t xml:space="preserve"> </w:t>
      </w:r>
      <w:r w:rsidRPr="00960F93">
        <w:rPr>
          <w:rFonts w:eastAsia="Calibri"/>
          <w:bCs/>
        </w:rPr>
        <w:t>Os princípios da dignidade da pessoa humana e da igualdade aplicados ao casamento homoafetivo: uma análise da ADI 4966.</w:t>
      </w:r>
      <w:r w:rsidRPr="00960F93">
        <w:rPr>
          <w:rFonts w:eastAsia="Calibri"/>
        </w:rPr>
        <w:t xml:space="preserve"> </w:t>
      </w:r>
      <w:r w:rsidRPr="00836124">
        <w:rPr>
          <w:rFonts w:eastAsia="Calibri"/>
          <w:i/>
        </w:rPr>
        <w:t>Virtuajus</w:t>
      </w:r>
      <w:r w:rsidRPr="00960F93">
        <w:rPr>
          <w:rFonts w:eastAsia="Calibri"/>
        </w:rPr>
        <w:t xml:space="preserve">, Belo Horizonte, v. 7, n. 13, p. 221–239, 2023. DOI: 10.5752/P.1678-3425.2022v7n13p221-239. Disponível em: </w:t>
      </w:r>
      <w:hyperlink r:id="rId15" w:tgtFrame="_new" w:history="1">
        <w:r w:rsidRPr="00960F93">
          <w:rPr>
            <w:rStyle w:val="Hyperlink"/>
            <w:rFonts w:eastAsia="Calibri"/>
          </w:rPr>
          <w:t>https://periodicos.pucminas.br/virtuajus/article/view/29839</w:t>
        </w:r>
      </w:hyperlink>
      <w:r w:rsidRPr="00960F93">
        <w:rPr>
          <w:rFonts w:eastAsia="Calibri"/>
        </w:rPr>
        <w:t>. Acesso em: 8 abril 2025.</w:t>
      </w:r>
    </w:p>
    <w:p w14:paraId="1B972523" w14:textId="77777777" w:rsidR="00960F93" w:rsidRDefault="00960F93" w:rsidP="00960F93">
      <w:pPr>
        <w:spacing w:line="240" w:lineRule="auto"/>
        <w:jc w:val="both"/>
        <w:rPr>
          <w:rFonts w:eastAsia="Calibri"/>
          <w:bCs/>
        </w:rPr>
      </w:pPr>
    </w:p>
    <w:p w14:paraId="107863B8" w14:textId="77777777" w:rsidR="00B35D04" w:rsidRPr="00960F93" w:rsidRDefault="00B35D04" w:rsidP="00960F93">
      <w:pPr>
        <w:spacing w:line="240" w:lineRule="auto"/>
        <w:jc w:val="both"/>
        <w:rPr>
          <w:rFonts w:eastAsia="Calibri"/>
        </w:rPr>
      </w:pPr>
      <w:r w:rsidRPr="00960F93">
        <w:rPr>
          <w:rFonts w:eastAsia="Calibri"/>
          <w:bCs/>
        </w:rPr>
        <w:t>MATOS, Ana Carla Harmatiuk; FISCHER, Karla Ferreira de Camargo.</w:t>
      </w:r>
      <w:r w:rsidRPr="00960F93">
        <w:rPr>
          <w:rFonts w:eastAsia="Calibri"/>
        </w:rPr>
        <w:t xml:space="preserve"> </w:t>
      </w:r>
      <w:r w:rsidRPr="00960F93">
        <w:rPr>
          <w:rFonts w:eastAsia="Calibri"/>
          <w:bCs/>
        </w:rPr>
        <w:t>Reprodução humana assistida e parceria homoafetiva.</w:t>
      </w:r>
      <w:r w:rsidRPr="00960F93">
        <w:rPr>
          <w:rFonts w:eastAsia="Calibri"/>
        </w:rPr>
        <w:t xml:space="preserve"> </w:t>
      </w:r>
      <w:r w:rsidRPr="00836124">
        <w:rPr>
          <w:rFonts w:eastAsia="Calibri"/>
          <w:i/>
        </w:rPr>
        <w:t>Pensar</w:t>
      </w:r>
      <w:r w:rsidRPr="00960F93">
        <w:rPr>
          <w:rFonts w:eastAsia="Calibri"/>
        </w:rPr>
        <w:t xml:space="preserve">, Fortaleza, v. 17, n. 1, p. 9-32, jan./jun. 2012. Disponível em: </w:t>
      </w:r>
      <w:hyperlink r:id="rId16" w:tgtFrame="_new" w:history="1">
        <w:r w:rsidRPr="00960F93">
          <w:rPr>
            <w:rStyle w:val="Hyperlink"/>
            <w:rFonts w:eastAsia="Calibri"/>
          </w:rPr>
          <w:t>https://dspace.doctum.edu.br/handle/123456789/5017</w:t>
        </w:r>
      </w:hyperlink>
      <w:r w:rsidRPr="00960F93">
        <w:rPr>
          <w:rFonts w:eastAsia="Calibri"/>
        </w:rPr>
        <w:t>. Acesso em: 8 abril 2025.</w:t>
      </w:r>
    </w:p>
    <w:p w14:paraId="75963F90" w14:textId="77777777" w:rsidR="00960F93" w:rsidRDefault="00960F93" w:rsidP="00960F93">
      <w:pPr>
        <w:spacing w:line="240" w:lineRule="auto"/>
        <w:jc w:val="both"/>
        <w:rPr>
          <w:rFonts w:eastAsia="Calibri"/>
          <w:bCs/>
        </w:rPr>
      </w:pPr>
    </w:p>
    <w:p w14:paraId="20118095" w14:textId="77777777" w:rsidR="00B35D04" w:rsidRPr="00960F93" w:rsidRDefault="00B35D04" w:rsidP="00960F93">
      <w:pPr>
        <w:spacing w:line="240" w:lineRule="auto"/>
        <w:jc w:val="both"/>
        <w:rPr>
          <w:rFonts w:eastAsia="Calibri"/>
        </w:rPr>
      </w:pPr>
      <w:r w:rsidRPr="00960F93">
        <w:rPr>
          <w:rFonts w:eastAsia="Calibri"/>
          <w:bCs/>
        </w:rPr>
        <w:t>NICHNIG, Claudia Regina.</w:t>
      </w:r>
      <w:r w:rsidRPr="00960F93">
        <w:rPr>
          <w:rFonts w:eastAsia="Calibri"/>
        </w:rPr>
        <w:t xml:space="preserve"> </w:t>
      </w:r>
      <w:r w:rsidRPr="00960F93">
        <w:rPr>
          <w:rFonts w:eastAsia="Calibri"/>
          <w:bCs/>
        </w:rPr>
        <w:t>Direitos Humanos e o reconhecimento das famílias gays e lésbicas no Brasil: os direitos fundamentais e o julgamento histórico do Supremo Tribunal Federal de 2011.</w:t>
      </w:r>
      <w:r w:rsidRPr="00960F93">
        <w:rPr>
          <w:rFonts w:eastAsia="Calibri"/>
        </w:rPr>
        <w:t xml:space="preserve"> </w:t>
      </w:r>
      <w:r w:rsidRPr="00836124">
        <w:rPr>
          <w:rFonts w:eastAsia="Calibri"/>
          <w:i/>
        </w:rPr>
        <w:t>Tempo e Argumento</w:t>
      </w:r>
      <w:r w:rsidRPr="00960F93">
        <w:rPr>
          <w:rFonts w:eastAsia="Calibri"/>
        </w:rPr>
        <w:t>, Florianópolis, v. 11, n. 27, p. 1585-191, maio/ago. 2019.</w:t>
      </w:r>
    </w:p>
    <w:p w14:paraId="5A7EA4FA" w14:textId="77777777" w:rsidR="00960F93" w:rsidRDefault="00960F93" w:rsidP="00960F93">
      <w:pPr>
        <w:spacing w:line="240" w:lineRule="auto"/>
        <w:jc w:val="both"/>
        <w:rPr>
          <w:rFonts w:eastAsia="Calibri"/>
          <w:bCs/>
        </w:rPr>
      </w:pPr>
    </w:p>
    <w:p w14:paraId="478BE449" w14:textId="77777777" w:rsidR="00B35D04" w:rsidRPr="00960F93" w:rsidRDefault="00B35D04" w:rsidP="00960F93">
      <w:pPr>
        <w:spacing w:line="240" w:lineRule="auto"/>
        <w:jc w:val="both"/>
        <w:rPr>
          <w:rFonts w:eastAsia="Calibri"/>
        </w:rPr>
      </w:pPr>
      <w:r w:rsidRPr="00960F93">
        <w:rPr>
          <w:rFonts w:eastAsia="Calibri"/>
          <w:bCs/>
        </w:rPr>
        <w:t>OLIVEIRA, Raphael Ferreira de.</w:t>
      </w:r>
      <w:r w:rsidRPr="00960F93">
        <w:rPr>
          <w:rFonts w:eastAsia="Calibri"/>
        </w:rPr>
        <w:t xml:space="preserve"> </w:t>
      </w:r>
      <w:r w:rsidRPr="00836124">
        <w:rPr>
          <w:rFonts w:eastAsia="Calibri"/>
          <w:bCs/>
          <w:i/>
        </w:rPr>
        <w:t>O reconhecimento da união estável homoafetiva pelo STF: avanços, críticas e consequências</w:t>
      </w:r>
      <w:r w:rsidRPr="00960F93">
        <w:rPr>
          <w:rFonts w:eastAsia="Calibri"/>
          <w:bCs/>
        </w:rPr>
        <w:t>.</w:t>
      </w:r>
      <w:r w:rsidRPr="00960F93">
        <w:rPr>
          <w:rFonts w:eastAsia="Calibri"/>
        </w:rPr>
        <w:t xml:space="preserve"> 2020. 52 f. Trabalho de Conclusão de Curso (Bacharelado em Direito) – Faculdade de Direito, Universidade Federal do Pará, Belém, 2020.</w:t>
      </w:r>
    </w:p>
    <w:p w14:paraId="5CC199B6" w14:textId="77777777" w:rsidR="00960F93" w:rsidRDefault="00960F93" w:rsidP="00960F93">
      <w:pPr>
        <w:spacing w:line="240" w:lineRule="auto"/>
        <w:jc w:val="both"/>
        <w:rPr>
          <w:rFonts w:eastAsia="Calibri"/>
          <w:bCs/>
        </w:rPr>
      </w:pPr>
    </w:p>
    <w:p w14:paraId="0A32C91E" w14:textId="77777777" w:rsidR="00B35D04" w:rsidRPr="00960F93" w:rsidRDefault="00B35D04" w:rsidP="00960F93">
      <w:pPr>
        <w:spacing w:line="240" w:lineRule="auto"/>
        <w:jc w:val="both"/>
        <w:rPr>
          <w:rFonts w:eastAsia="Calibri"/>
        </w:rPr>
      </w:pPr>
      <w:r w:rsidRPr="00960F93">
        <w:rPr>
          <w:rFonts w:eastAsia="Calibri"/>
          <w:bCs/>
        </w:rPr>
        <w:t>RESENDE, Isabelle Rodrigues Monteiro de; AGLIO, Vitoria Oscalim.</w:t>
      </w:r>
      <w:r w:rsidRPr="00960F93">
        <w:rPr>
          <w:rFonts w:eastAsia="Calibri"/>
        </w:rPr>
        <w:t xml:space="preserve"> </w:t>
      </w:r>
      <w:r w:rsidRPr="00960F93">
        <w:rPr>
          <w:rFonts w:eastAsia="Calibri"/>
          <w:bCs/>
        </w:rPr>
        <w:t>A constitucionalidade do casamento homoafetivo no Brasil e a vulnerabilidade jurídica da comunidade LGBTQI+.</w:t>
      </w:r>
      <w:r w:rsidRPr="00960F93">
        <w:rPr>
          <w:rFonts w:eastAsia="Calibri"/>
        </w:rPr>
        <w:t xml:space="preserve"> </w:t>
      </w:r>
      <w:r w:rsidRPr="00836124">
        <w:rPr>
          <w:rFonts w:eastAsia="Calibri"/>
          <w:i/>
        </w:rPr>
        <w:t>Revista Direito</w:t>
      </w:r>
      <w:r w:rsidRPr="00960F93">
        <w:rPr>
          <w:rFonts w:eastAsia="Calibri"/>
        </w:rPr>
        <w:t xml:space="preserve">, Juiz de Fora, 11 dez. 2024. Disponível em: </w:t>
      </w:r>
      <w:hyperlink r:id="rId17" w:tgtFrame="_new" w:history="1">
        <w:r w:rsidRPr="00960F93">
          <w:rPr>
            <w:rStyle w:val="Hyperlink"/>
            <w:rFonts w:eastAsia="Calibri"/>
          </w:rPr>
          <w:t>http://hdl.handle.net/123456789/5017</w:t>
        </w:r>
      </w:hyperlink>
      <w:r w:rsidRPr="00960F93">
        <w:rPr>
          <w:rFonts w:eastAsia="Calibri"/>
        </w:rPr>
        <w:t>. Acesso em: 8 abril 2025.</w:t>
      </w:r>
    </w:p>
    <w:p w14:paraId="595A29E3" w14:textId="77777777" w:rsidR="00960F93" w:rsidRDefault="00960F93" w:rsidP="00960F93">
      <w:pPr>
        <w:spacing w:line="240" w:lineRule="auto"/>
        <w:jc w:val="both"/>
        <w:rPr>
          <w:rFonts w:eastAsia="Calibri"/>
          <w:bCs/>
        </w:rPr>
      </w:pPr>
    </w:p>
    <w:p w14:paraId="7305C6D3" w14:textId="77777777" w:rsidR="00B35D04" w:rsidRPr="00960F93" w:rsidRDefault="00B35D04" w:rsidP="00960F93">
      <w:pPr>
        <w:spacing w:line="240" w:lineRule="auto"/>
        <w:jc w:val="both"/>
        <w:rPr>
          <w:rFonts w:eastAsia="Calibri"/>
        </w:rPr>
      </w:pPr>
      <w:r w:rsidRPr="00960F93">
        <w:rPr>
          <w:rFonts w:eastAsia="Calibri"/>
          <w:bCs/>
        </w:rPr>
        <w:t>RIOS, Roger Raupp.</w:t>
      </w:r>
      <w:r w:rsidRPr="00960F93">
        <w:rPr>
          <w:rFonts w:eastAsia="Calibri"/>
        </w:rPr>
        <w:t xml:space="preserve"> </w:t>
      </w:r>
      <w:r w:rsidRPr="00960F93">
        <w:rPr>
          <w:rFonts w:eastAsia="Calibri"/>
          <w:bCs/>
        </w:rPr>
        <w:t>Proteção de direitos LGBTQIA+ no Direito brasileiro: momentos e descompassos jurídicos e políticos.</w:t>
      </w:r>
      <w:r w:rsidRPr="00960F93">
        <w:rPr>
          <w:rFonts w:eastAsia="Calibri"/>
        </w:rPr>
        <w:t xml:space="preserve"> </w:t>
      </w:r>
      <w:r w:rsidRPr="00836124">
        <w:rPr>
          <w:rFonts w:eastAsia="Calibri"/>
          <w:i/>
        </w:rPr>
        <w:t>Revista de Investigações Constitucionais</w:t>
      </w:r>
      <w:r w:rsidRPr="00960F93">
        <w:rPr>
          <w:rFonts w:eastAsia="Calibri"/>
        </w:rPr>
        <w:t>, Curitiba, v. 9, n. 3, p. 659-680, set./dez. 2022. DOI: 10.5380/rinc.v9i3.85903.</w:t>
      </w:r>
    </w:p>
    <w:p w14:paraId="3FA972EE" w14:textId="77777777" w:rsidR="00836124" w:rsidRDefault="00836124" w:rsidP="00960F93">
      <w:pPr>
        <w:spacing w:line="240" w:lineRule="auto"/>
        <w:jc w:val="both"/>
        <w:rPr>
          <w:rFonts w:eastAsia="Calibri"/>
          <w:bCs/>
        </w:rPr>
      </w:pPr>
    </w:p>
    <w:p w14:paraId="62AAEC0D" w14:textId="77777777" w:rsidR="00B35D04" w:rsidRPr="00960F93" w:rsidRDefault="00B35D04" w:rsidP="00960F93">
      <w:pPr>
        <w:spacing w:line="240" w:lineRule="auto"/>
        <w:jc w:val="both"/>
        <w:rPr>
          <w:rFonts w:eastAsia="Calibri"/>
        </w:rPr>
      </w:pPr>
      <w:r w:rsidRPr="00960F93">
        <w:rPr>
          <w:rFonts w:eastAsia="Calibri"/>
          <w:bCs/>
        </w:rPr>
        <w:t>SANTOS, Bruna Costa dos; BRUZACA, Ruan Didier.</w:t>
      </w:r>
      <w:r w:rsidRPr="00960F93">
        <w:rPr>
          <w:rFonts w:eastAsia="Calibri"/>
        </w:rPr>
        <w:t xml:space="preserve"> </w:t>
      </w:r>
      <w:r w:rsidRPr="00960F93">
        <w:rPr>
          <w:rFonts w:eastAsia="Calibri"/>
          <w:bCs/>
        </w:rPr>
        <w:t>“Mãe só tem uma”? Os desafios legais da dupla maternidade homoafetiva.</w:t>
      </w:r>
      <w:r w:rsidRPr="00960F93">
        <w:rPr>
          <w:rFonts w:eastAsia="Calibri"/>
        </w:rPr>
        <w:t xml:space="preserve"> </w:t>
      </w:r>
      <w:r w:rsidRPr="00836124">
        <w:rPr>
          <w:rFonts w:eastAsia="Calibri"/>
          <w:i/>
        </w:rPr>
        <w:t>Revista Direitos Sociais e Políticas Públicas</w:t>
      </w:r>
      <w:r w:rsidRPr="00960F93">
        <w:rPr>
          <w:rFonts w:eastAsia="Calibri"/>
        </w:rPr>
        <w:t xml:space="preserve"> (UNIFAFIBE), v. 12, n. 3, 2024. Disponível em: </w:t>
      </w:r>
      <w:hyperlink r:id="rId18" w:tgtFrame="_new" w:history="1">
        <w:r w:rsidRPr="00960F93">
          <w:rPr>
            <w:rStyle w:val="Hyperlink"/>
            <w:rFonts w:eastAsia="Calibri"/>
          </w:rPr>
          <w:t>https://www.unifafibe.com.br/revista/index.php/direitos-sociais-politicas-pub/index</w:t>
        </w:r>
      </w:hyperlink>
      <w:r w:rsidRPr="00960F93">
        <w:rPr>
          <w:rFonts w:eastAsia="Calibri"/>
        </w:rPr>
        <w:t>.</w:t>
      </w:r>
    </w:p>
    <w:p w14:paraId="522E9586" w14:textId="77777777" w:rsidR="00960F93" w:rsidRDefault="00960F93" w:rsidP="00960F93">
      <w:pPr>
        <w:spacing w:line="240" w:lineRule="auto"/>
        <w:jc w:val="both"/>
        <w:rPr>
          <w:rFonts w:eastAsia="Calibri"/>
          <w:bCs/>
        </w:rPr>
      </w:pPr>
    </w:p>
    <w:p w14:paraId="602B179C" w14:textId="77777777" w:rsidR="00B35D04" w:rsidRPr="00960F93" w:rsidRDefault="00B35D04" w:rsidP="00960F93">
      <w:pPr>
        <w:spacing w:line="240" w:lineRule="auto"/>
        <w:jc w:val="both"/>
        <w:rPr>
          <w:rFonts w:eastAsia="Calibri"/>
        </w:rPr>
      </w:pPr>
      <w:r w:rsidRPr="00960F93">
        <w:rPr>
          <w:rFonts w:eastAsia="Calibri"/>
          <w:bCs/>
        </w:rPr>
        <w:t>SANTOS, Nathaliê Cristo Ribeiro dos.</w:t>
      </w:r>
      <w:r w:rsidRPr="00960F93">
        <w:rPr>
          <w:rFonts w:eastAsia="Calibri"/>
        </w:rPr>
        <w:t xml:space="preserve"> </w:t>
      </w:r>
      <w:r w:rsidRPr="00836124">
        <w:rPr>
          <w:rFonts w:eastAsia="Calibri"/>
          <w:bCs/>
          <w:i/>
        </w:rPr>
        <w:t>A construção da Política Nacional de Atenção Integral à Saúde da Mulher e da Política de Atenção Integral à Saúde da População LGBT:</w:t>
      </w:r>
      <w:r w:rsidRPr="00960F93">
        <w:rPr>
          <w:rFonts w:eastAsia="Calibri"/>
          <w:bCs/>
        </w:rPr>
        <w:t xml:space="preserve"> a complexidade da saúde das lésbicas e a desconstrução do paradigma da heteronormatividade.</w:t>
      </w:r>
      <w:r w:rsidRPr="00960F93">
        <w:rPr>
          <w:rFonts w:eastAsia="Calibri"/>
        </w:rPr>
        <w:t xml:space="preserve"> </w:t>
      </w:r>
      <w:r w:rsidRPr="00836124">
        <w:rPr>
          <w:rFonts w:eastAsia="Calibri"/>
          <w:i/>
        </w:rPr>
        <w:t>In</w:t>
      </w:r>
      <w:r w:rsidRPr="00960F93">
        <w:rPr>
          <w:rFonts w:eastAsia="Calibri"/>
        </w:rPr>
        <w:t>: ENCONTRO INTERNACIONAL DE POLÍTICA SOCIAL, 3.; ENCONTRO NACIONAL DE POLÍTICA SOCIAL, 10., 2015, Vitória. Anais [...]. Vitória: UFES, 2015.</w:t>
      </w:r>
    </w:p>
    <w:p w14:paraId="7035A505" w14:textId="77777777" w:rsidR="00960F93" w:rsidRDefault="00960F93" w:rsidP="00960F93">
      <w:pPr>
        <w:spacing w:line="240" w:lineRule="auto"/>
        <w:jc w:val="both"/>
        <w:rPr>
          <w:rFonts w:eastAsia="Calibri"/>
          <w:bCs/>
        </w:rPr>
      </w:pPr>
    </w:p>
    <w:p w14:paraId="5508997E" w14:textId="77777777" w:rsidR="00B35D04" w:rsidRPr="00960F93" w:rsidRDefault="00B35D04" w:rsidP="00960F93">
      <w:pPr>
        <w:spacing w:line="240" w:lineRule="auto"/>
        <w:jc w:val="both"/>
        <w:rPr>
          <w:rFonts w:eastAsia="Calibri"/>
        </w:rPr>
      </w:pPr>
      <w:r w:rsidRPr="00960F93">
        <w:rPr>
          <w:rFonts w:eastAsia="Calibri"/>
          <w:bCs/>
        </w:rPr>
        <w:t>SOUZA, P. C. de; SOUZA, L. de.</w:t>
      </w:r>
      <w:r w:rsidRPr="00960F93">
        <w:rPr>
          <w:rFonts w:eastAsia="Calibri"/>
        </w:rPr>
        <w:t xml:space="preserve"> </w:t>
      </w:r>
      <w:r w:rsidRPr="00960F93">
        <w:rPr>
          <w:rFonts w:eastAsia="Calibri"/>
          <w:bCs/>
        </w:rPr>
        <w:t>O casamento homoafetivo e o ordenamento jurídico brasileiro: uma análise do presente e do futuro.</w:t>
      </w:r>
      <w:r w:rsidRPr="00960F93">
        <w:rPr>
          <w:rFonts w:eastAsia="Calibri"/>
        </w:rPr>
        <w:t xml:space="preserve"> </w:t>
      </w:r>
      <w:r w:rsidRPr="00836124">
        <w:rPr>
          <w:rFonts w:eastAsia="Calibri"/>
          <w:i/>
        </w:rPr>
        <w:t>Observatório de la Economía Latinoamericana</w:t>
      </w:r>
      <w:r w:rsidRPr="00960F93">
        <w:rPr>
          <w:rFonts w:eastAsia="Calibri"/>
        </w:rPr>
        <w:t xml:space="preserve">, [S. l.], v. 23, n. 1, p. e8571, 2025. DOI: 10.55905/oelv23n1-056. Disponível em: </w:t>
      </w:r>
      <w:hyperlink r:id="rId19" w:tgtFrame="_new" w:history="1">
        <w:r w:rsidRPr="00960F93">
          <w:rPr>
            <w:rStyle w:val="Hyperlink"/>
            <w:rFonts w:eastAsia="Calibri"/>
          </w:rPr>
          <w:t>https://ojs.observatoriolatinoamericano.com/ojs/index.php/olel/article/view/8571</w:t>
        </w:r>
      </w:hyperlink>
      <w:r w:rsidRPr="00960F93">
        <w:rPr>
          <w:rFonts w:eastAsia="Calibri"/>
        </w:rPr>
        <w:t>. Acesso em: 8 abril 2025.</w:t>
      </w:r>
    </w:p>
    <w:p w14:paraId="45F5472C" w14:textId="77777777" w:rsidR="00FF4348" w:rsidRPr="00960F93" w:rsidRDefault="00FF4348" w:rsidP="00960F93">
      <w:pPr>
        <w:spacing w:line="240" w:lineRule="auto"/>
        <w:jc w:val="both"/>
        <w:rPr>
          <w:rFonts w:eastAsia="Calibri"/>
          <w:sz w:val="24"/>
          <w:szCs w:val="24"/>
        </w:rPr>
      </w:pPr>
    </w:p>
    <w:sectPr w:rsidR="00FF4348" w:rsidRPr="00960F93" w:rsidSect="00C30BB9">
      <w:headerReference w:type="default" r:id="rId20"/>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20333" w14:textId="77777777" w:rsidR="00A4098D" w:rsidRDefault="00A4098D">
      <w:pPr>
        <w:spacing w:line="240" w:lineRule="auto"/>
      </w:pPr>
      <w:r>
        <w:separator/>
      </w:r>
    </w:p>
  </w:endnote>
  <w:endnote w:type="continuationSeparator" w:id="0">
    <w:p w14:paraId="3089FA86" w14:textId="77777777" w:rsidR="00A4098D" w:rsidRDefault="00A409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59183" w14:textId="77777777" w:rsidR="00A4098D" w:rsidRDefault="00A4098D">
      <w:pPr>
        <w:spacing w:line="240" w:lineRule="auto"/>
      </w:pPr>
      <w:r>
        <w:separator/>
      </w:r>
    </w:p>
  </w:footnote>
  <w:footnote w:type="continuationSeparator" w:id="0">
    <w:p w14:paraId="059EF5B6" w14:textId="77777777" w:rsidR="00A4098D" w:rsidRDefault="00A4098D">
      <w:pPr>
        <w:spacing w:line="240" w:lineRule="auto"/>
      </w:pPr>
      <w:r>
        <w:continuationSeparator/>
      </w:r>
    </w:p>
  </w:footnote>
  <w:footnote w:id="1">
    <w:p w14:paraId="45250878" w14:textId="77777777" w:rsidR="00431F3D" w:rsidRDefault="00431F3D" w:rsidP="00ED6F48">
      <w:pPr>
        <w:pStyle w:val="Textodenotaderodap"/>
        <w:spacing w:line="240" w:lineRule="auto"/>
      </w:pPr>
      <w:r>
        <w:rPr>
          <w:rStyle w:val="Refdenotaderodap"/>
        </w:rPr>
        <w:footnoteRef/>
      </w:r>
      <w:r>
        <w:t xml:space="preserve"> Graduanda em Direito pela Universidade CEUMA, </w:t>
      </w:r>
      <w:hyperlink r:id="rId1" w:history="1">
        <w:r w:rsidRPr="00B60163">
          <w:rPr>
            <w:rStyle w:val="Hyperlink"/>
          </w:rPr>
          <w:t>laryssafdireito@gmail.com</w:t>
        </w:r>
      </w:hyperlink>
    </w:p>
  </w:footnote>
  <w:footnote w:id="2">
    <w:p w14:paraId="38C2B03F" w14:textId="77777777" w:rsidR="00ED6F48" w:rsidRDefault="00ED6F48" w:rsidP="00ED6F48">
      <w:pPr>
        <w:pStyle w:val="Textodenotaderodap"/>
        <w:spacing w:line="240" w:lineRule="auto"/>
      </w:pPr>
      <w:r>
        <w:rPr>
          <w:rStyle w:val="Refdenotaderodap"/>
        </w:rPr>
        <w:footnoteRef/>
      </w:r>
      <w:r>
        <w:t xml:space="preserve"> </w:t>
      </w:r>
      <w:r w:rsidRPr="001D5D3C">
        <w:t>Mestra em Direito na Universidade do Pará (UFPA), Doutoranda em História (Universidade Estadual do Maranhão (UEMA), Professora da Universidade CEUMA</w:t>
      </w:r>
      <w:r>
        <w:t xml:space="preserve"> e orientadora do trabalho</w:t>
      </w:r>
      <w:r w:rsidRPr="001D5D3C">
        <w:t>, marjoriemaranhao@hotmail.com</w:t>
      </w:r>
    </w:p>
  </w:footnote>
  <w:footnote w:id="3">
    <w:p w14:paraId="1FF033C2" w14:textId="77777777" w:rsidR="00A8356E" w:rsidRDefault="00A8356E" w:rsidP="003D3AE6">
      <w:pPr>
        <w:spacing w:line="240" w:lineRule="auto"/>
        <w:jc w:val="both"/>
        <w:rPr>
          <w:sz w:val="20"/>
          <w:szCs w:val="20"/>
        </w:rPr>
      </w:pPr>
      <w:r w:rsidRPr="003D3AE6">
        <w:rPr>
          <w:sz w:val="20"/>
          <w:szCs w:val="20"/>
          <w:vertAlign w:val="superscript"/>
        </w:rPr>
        <w:footnoteRef/>
      </w:r>
      <w:r w:rsidRPr="003D3AE6">
        <w:rPr>
          <w:sz w:val="20"/>
          <w:szCs w:val="20"/>
        </w:rPr>
        <w:t xml:space="preserve"> </w:t>
      </w:r>
      <w:r w:rsidR="00FC0F40" w:rsidRPr="00FC0F40">
        <w:rPr>
          <w:sz w:val="20"/>
          <w:szCs w:val="20"/>
        </w:rPr>
        <w:t>O Código Civil de 1916 atribuía ao marido a chefia da sociedade conjugal, com poderes de representar a família, administrar bens, fixar domicílio, autorizar a profissão e residência da esposa, além de prover o sustento familiar (art. 233). A mulher, ao casar, assumia os sobrenomes do marido e a função de auxiliar nos encargos da família (art. 240). Já o art. 358 vedava o reconhecimento dos filhos incestuosos e adulterinos, oriundos de relações extraconjugais.</w:t>
      </w:r>
    </w:p>
    <w:p w14:paraId="5CFE6F45" w14:textId="77777777" w:rsidR="00FC0F40" w:rsidRPr="003D3AE6" w:rsidRDefault="00FC0F40" w:rsidP="003D3AE6">
      <w:pPr>
        <w:spacing w:line="240" w:lineRule="auto"/>
        <w:jc w:val="both"/>
        <w:rPr>
          <w:sz w:val="20"/>
          <w:szCs w:val="20"/>
        </w:rPr>
      </w:pPr>
    </w:p>
  </w:footnote>
  <w:footnote w:id="4">
    <w:p w14:paraId="27FF8315" w14:textId="77777777" w:rsidR="00A8356E" w:rsidRPr="003D3AE6" w:rsidRDefault="00A8356E" w:rsidP="003D3AE6">
      <w:pPr>
        <w:pStyle w:val="Textodenotaderodap"/>
        <w:spacing w:line="240" w:lineRule="auto"/>
        <w:jc w:val="both"/>
      </w:pPr>
      <w:r w:rsidRPr="003D3AE6">
        <w:rPr>
          <w:rStyle w:val="Refdenotaderodap"/>
        </w:rPr>
        <w:footnoteRef/>
      </w:r>
      <w:r w:rsidRPr="003D3AE6">
        <w:t xml:space="preserve"> Expressão utilizada aqui para referenciar a própria decisão, porque foi usada nela para se referir a todas as pessoas da comunidade LGBTQIAPN+.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4062" w14:textId="766ED296" w:rsidR="00FF4348" w:rsidRDefault="00827F1B">
    <w:r>
      <w:rPr>
        <w:noProof/>
      </w:rPr>
      <w:drawing>
        <wp:anchor distT="114300" distB="114300" distL="114300" distR="114300" simplePos="0" relativeHeight="251657728" behindDoc="1" locked="0" layoutInCell="1" allowOverlap="1" wp14:anchorId="23EC8E8A" wp14:editId="25BA4827">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014"/>
    <w:multiLevelType w:val="multilevel"/>
    <w:tmpl w:val="FC14395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16209906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1260A6"/>
    <w:rsid w:val="001C44CE"/>
    <w:rsid w:val="00222608"/>
    <w:rsid w:val="00292980"/>
    <w:rsid w:val="002B22E3"/>
    <w:rsid w:val="002C1AA9"/>
    <w:rsid w:val="003262D4"/>
    <w:rsid w:val="003647AE"/>
    <w:rsid w:val="003B049E"/>
    <w:rsid w:val="003D3AE6"/>
    <w:rsid w:val="003D3D15"/>
    <w:rsid w:val="00431F3D"/>
    <w:rsid w:val="0044387B"/>
    <w:rsid w:val="004562B7"/>
    <w:rsid w:val="00467F63"/>
    <w:rsid w:val="004F776F"/>
    <w:rsid w:val="005C4655"/>
    <w:rsid w:val="00686CA9"/>
    <w:rsid w:val="00711AAD"/>
    <w:rsid w:val="00721D14"/>
    <w:rsid w:val="00827F1B"/>
    <w:rsid w:val="00836124"/>
    <w:rsid w:val="00900D21"/>
    <w:rsid w:val="00960F93"/>
    <w:rsid w:val="00975812"/>
    <w:rsid w:val="009F06FA"/>
    <w:rsid w:val="00A14084"/>
    <w:rsid w:val="00A4098D"/>
    <w:rsid w:val="00A669C2"/>
    <w:rsid w:val="00A8356E"/>
    <w:rsid w:val="00AE3F6F"/>
    <w:rsid w:val="00B021CC"/>
    <w:rsid w:val="00B35D04"/>
    <w:rsid w:val="00B508BD"/>
    <w:rsid w:val="00B72D78"/>
    <w:rsid w:val="00BB06AC"/>
    <w:rsid w:val="00BC7C70"/>
    <w:rsid w:val="00C13F9D"/>
    <w:rsid w:val="00C30BB9"/>
    <w:rsid w:val="00D13565"/>
    <w:rsid w:val="00DA5281"/>
    <w:rsid w:val="00E64E46"/>
    <w:rsid w:val="00ED24F9"/>
    <w:rsid w:val="00ED6F48"/>
    <w:rsid w:val="00F02DC0"/>
    <w:rsid w:val="00F11778"/>
    <w:rsid w:val="00F2735F"/>
    <w:rsid w:val="00F4425B"/>
    <w:rsid w:val="00FC0F40"/>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89CE7"/>
  <w15:docId w15:val="{908ED045-8CDF-43FC-8873-59E3E6600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A8356E"/>
    <w:rPr>
      <w:sz w:val="20"/>
      <w:szCs w:val="20"/>
    </w:rPr>
  </w:style>
  <w:style w:type="character" w:customStyle="1" w:styleId="TextodenotaderodapChar">
    <w:name w:val="Texto de nota de rodapé Char"/>
    <w:basedOn w:val="Fontepargpadro"/>
    <w:link w:val="Textodenotaderodap"/>
    <w:uiPriority w:val="99"/>
    <w:semiHidden/>
    <w:rsid w:val="00A8356E"/>
  </w:style>
  <w:style w:type="character" w:styleId="Refdenotaderodap">
    <w:name w:val="footnote reference"/>
    <w:uiPriority w:val="99"/>
    <w:semiHidden/>
    <w:unhideWhenUsed/>
    <w:rsid w:val="00A8356E"/>
    <w:rPr>
      <w:vertAlign w:val="superscript"/>
    </w:rPr>
  </w:style>
  <w:style w:type="character" w:styleId="Hyperlink">
    <w:name w:val="Hyperlink"/>
    <w:uiPriority w:val="99"/>
    <w:unhideWhenUsed/>
    <w:rsid w:val="00B508BD"/>
    <w:rPr>
      <w:color w:val="467886"/>
      <w:u w:val="single"/>
    </w:rPr>
  </w:style>
  <w:style w:type="character" w:styleId="MenoPendente">
    <w:name w:val="Unresolved Mention"/>
    <w:uiPriority w:val="99"/>
    <w:semiHidden/>
    <w:unhideWhenUsed/>
    <w:rsid w:val="00B50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82881">
      <w:bodyDiv w:val="1"/>
      <w:marLeft w:val="0"/>
      <w:marRight w:val="0"/>
      <w:marTop w:val="0"/>
      <w:marBottom w:val="0"/>
      <w:divBdr>
        <w:top w:val="none" w:sz="0" w:space="0" w:color="auto"/>
        <w:left w:val="none" w:sz="0" w:space="0" w:color="auto"/>
        <w:bottom w:val="none" w:sz="0" w:space="0" w:color="auto"/>
        <w:right w:val="none" w:sz="0" w:space="0" w:color="auto"/>
      </w:divBdr>
    </w:div>
    <w:div w:id="264533386">
      <w:bodyDiv w:val="1"/>
      <w:marLeft w:val="0"/>
      <w:marRight w:val="0"/>
      <w:marTop w:val="0"/>
      <w:marBottom w:val="0"/>
      <w:divBdr>
        <w:top w:val="none" w:sz="0" w:space="0" w:color="auto"/>
        <w:left w:val="none" w:sz="0" w:space="0" w:color="auto"/>
        <w:bottom w:val="none" w:sz="0" w:space="0" w:color="auto"/>
        <w:right w:val="none" w:sz="0" w:space="0" w:color="auto"/>
      </w:divBdr>
    </w:div>
    <w:div w:id="561602479">
      <w:bodyDiv w:val="1"/>
      <w:marLeft w:val="0"/>
      <w:marRight w:val="0"/>
      <w:marTop w:val="0"/>
      <w:marBottom w:val="0"/>
      <w:divBdr>
        <w:top w:val="none" w:sz="0" w:space="0" w:color="auto"/>
        <w:left w:val="none" w:sz="0" w:space="0" w:color="auto"/>
        <w:bottom w:val="none" w:sz="0" w:space="0" w:color="auto"/>
        <w:right w:val="none" w:sz="0" w:space="0" w:color="auto"/>
      </w:divBdr>
    </w:div>
    <w:div w:id="620263888">
      <w:bodyDiv w:val="1"/>
      <w:marLeft w:val="0"/>
      <w:marRight w:val="0"/>
      <w:marTop w:val="0"/>
      <w:marBottom w:val="0"/>
      <w:divBdr>
        <w:top w:val="none" w:sz="0" w:space="0" w:color="auto"/>
        <w:left w:val="none" w:sz="0" w:space="0" w:color="auto"/>
        <w:bottom w:val="none" w:sz="0" w:space="0" w:color="auto"/>
        <w:right w:val="none" w:sz="0" w:space="0" w:color="auto"/>
      </w:divBdr>
    </w:div>
    <w:div w:id="662896880">
      <w:bodyDiv w:val="1"/>
      <w:marLeft w:val="0"/>
      <w:marRight w:val="0"/>
      <w:marTop w:val="0"/>
      <w:marBottom w:val="0"/>
      <w:divBdr>
        <w:top w:val="none" w:sz="0" w:space="0" w:color="auto"/>
        <w:left w:val="none" w:sz="0" w:space="0" w:color="auto"/>
        <w:bottom w:val="none" w:sz="0" w:space="0" w:color="auto"/>
        <w:right w:val="none" w:sz="0" w:space="0" w:color="auto"/>
      </w:divBdr>
    </w:div>
    <w:div w:id="703941736">
      <w:bodyDiv w:val="1"/>
      <w:marLeft w:val="0"/>
      <w:marRight w:val="0"/>
      <w:marTop w:val="0"/>
      <w:marBottom w:val="0"/>
      <w:divBdr>
        <w:top w:val="none" w:sz="0" w:space="0" w:color="auto"/>
        <w:left w:val="none" w:sz="0" w:space="0" w:color="auto"/>
        <w:bottom w:val="none" w:sz="0" w:space="0" w:color="auto"/>
        <w:right w:val="none" w:sz="0" w:space="0" w:color="auto"/>
      </w:divBdr>
    </w:div>
    <w:div w:id="733696882">
      <w:bodyDiv w:val="1"/>
      <w:marLeft w:val="0"/>
      <w:marRight w:val="0"/>
      <w:marTop w:val="0"/>
      <w:marBottom w:val="0"/>
      <w:divBdr>
        <w:top w:val="none" w:sz="0" w:space="0" w:color="auto"/>
        <w:left w:val="none" w:sz="0" w:space="0" w:color="auto"/>
        <w:bottom w:val="none" w:sz="0" w:space="0" w:color="auto"/>
        <w:right w:val="none" w:sz="0" w:space="0" w:color="auto"/>
      </w:divBdr>
    </w:div>
    <w:div w:id="784545445">
      <w:bodyDiv w:val="1"/>
      <w:marLeft w:val="0"/>
      <w:marRight w:val="0"/>
      <w:marTop w:val="0"/>
      <w:marBottom w:val="0"/>
      <w:divBdr>
        <w:top w:val="none" w:sz="0" w:space="0" w:color="auto"/>
        <w:left w:val="none" w:sz="0" w:space="0" w:color="auto"/>
        <w:bottom w:val="none" w:sz="0" w:space="0" w:color="auto"/>
        <w:right w:val="none" w:sz="0" w:space="0" w:color="auto"/>
      </w:divBdr>
    </w:div>
    <w:div w:id="833029815">
      <w:bodyDiv w:val="1"/>
      <w:marLeft w:val="0"/>
      <w:marRight w:val="0"/>
      <w:marTop w:val="0"/>
      <w:marBottom w:val="0"/>
      <w:divBdr>
        <w:top w:val="none" w:sz="0" w:space="0" w:color="auto"/>
        <w:left w:val="none" w:sz="0" w:space="0" w:color="auto"/>
        <w:bottom w:val="none" w:sz="0" w:space="0" w:color="auto"/>
        <w:right w:val="none" w:sz="0" w:space="0" w:color="auto"/>
      </w:divBdr>
    </w:div>
    <w:div w:id="914777187">
      <w:bodyDiv w:val="1"/>
      <w:marLeft w:val="0"/>
      <w:marRight w:val="0"/>
      <w:marTop w:val="0"/>
      <w:marBottom w:val="0"/>
      <w:divBdr>
        <w:top w:val="none" w:sz="0" w:space="0" w:color="auto"/>
        <w:left w:val="none" w:sz="0" w:space="0" w:color="auto"/>
        <w:bottom w:val="none" w:sz="0" w:space="0" w:color="auto"/>
        <w:right w:val="none" w:sz="0" w:space="0" w:color="auto"/>
      </w:divBdr>
    </w:div>
    <w:div w:id="997273497">
      <w:bodyDiv w:val="1"/>
      <w:marLeft w:val="0"/>
      <w:marRight w:val="0"/>
      <w:marTop w:val="0"/>
      <w:marBottom w:val="0"/>
      <w:divBdr>
        <w:top w:val="none" w:sz="0" w:space="0" w:color="auto"/>
        <w:left w:val="none" w:sz="0" w:space="0" w:color="auto"/>
        <w:bottom w:val="none" w:sz="0" w:space="0" w:color="auto"/>
        <w:right w:val="none" w:sz="0" w:space="0" w:color="auto"/>
      </w:divBdr>
    </w:div>
    <w:div w:id="1162619511">
      <w:bodyDiv w:val="1"/>
      <w:marLeft w:val="0"/>
      <w:marRight w:val="0"/>
      <w:marTop w:val="0"/>
      <w:marBottom w:val="0"/>
      <w:divBdr>
        <w:top w:val="none" w:sz="0" w:space="0" w:color="auto"/>
        <w:left w:val="none" w:sz="0" w:space="0" w:color="auto"/>
        <w:bottom w:val="none" w:sz="0" w:space="0" w:color="auto"/>
        <w:right w:val="none" w:sz="0" w:space="0" w:color="auto"/>
      </w:divBdr>
    </w:div>
    <w:div w:id="1165902938">
      <w:bodyDiv w:val="1"/>
      <w:marLeft w:val="0"/>
      <w:marRight w:val="0"/>
      <w:marTop w:val="0"/>
      <w:marBottom w:val="0"/>
      <w:divBdr>
        <w:top w:val="none" w:sz="0" w:space="0" w:color="auto"/>
        <w:left w:val="none" w:sz="0" w:space="0" w:color="auto"/>
        <w:bottom w:val="none" w:sz="0" w:space="0" w:color="auto"/>
        <w:right w:val="none" w:sz="0" w:space="0" w:color="auto"/>
      </w:divBdr>
    </w:div>
    <w:div w:id="1724214892">
      <w:bodyDiv w:val="1"/>
      <w:marLeft w:val="0"/>
      <w:marRight w:val="0"/>
      <w:marTop w:val="0"/>
      <w:marBottom w:val="0"/>
      <w:divBdr>
        <w:top w:val="none" w:sz="0" w:space="0" w:color="auto"/>
        <w:left w:val="none" w:sz="0" w:space="0" w:color="auto"/>
        <w:bottom w:val="none" w:sz="0" w:space="0" w:color="auto"/>
        <w:right w:val="none" w:sz="0" w:space="0" w:color="auto"/>
      </w:divBdr>
    </w:div>
    <w:div w:id="1757702118">
      <w:bodyDiv w:val="1"/>
      <w:marLeft w:val="0"/>
      <w:marRight w:val="0"/>
      <w:marTop w:val="0"/>
      <w:marBottom w:val="0"/>
      <w:divBdr>
        <w:top w:val="none" w:sz="0" w:space="0" w:color="auto"/>
        <w:left w:val="none" w:sz="0" w:space="0" w:color="auto"/>
        <w:bottom w:val="none" w:sz="0" w:space="0" w:color="auto"/>
        <w:right w:val="none" w:sz="0" w:space="0" w:color="auto"/>
      </w:divBdr>
    </w:div>
    <w:div w:id="1864394661">
      <w:bodyDiv w:val="1"/>
      <w:marLeft w:val="0"/>
      <w:marRight w:val="0"/>
      <w:marTop w:val="0"/>
      <w:marBottom w:val="0"/>
      <w:divBdr>
        <w:top w:val="none" w:sz="0" w:space="0" w:color="auto"/>
        <w:left w:val="none" w:sz="0" w:space="0" w:color="auto"/>
        <w:bottom w:val="none" w:sz="0" w:space="0" w:color="auto"/>
        <w:right w:val="none" w:sz="0" w:space="0" w:color="auto"/>
      </w:divBdr>
    </w:div>
    <w:div w:id="1912764278">
      <w:bodyDiv w:val="1"/>
      <w:marLeft w:val="0"/>
      <w:marRight w:val="0"/>
      <w:marTop w:val="0"/>
      <w:marBottom w:val="0"/>
      <w:divBdr>
        <w:top w:val="none" w:sz="0" w:space="0" w:color="auto"/>
        <w:left w:val="none" w:sz="0" w:space="0" w:color="auto"/>
        <w:bottom w:val="none" w:sz="0" w:space="0" w:color="auto"/>
        <w:right w:val="none" w:sz="0" w:space="0" w:color="auto"/>
      </w:divBdr>
    </w:div>
    <w:div w:id="2060467798">
      <w:bodyDiv w:val="1"/>
      <w:marLeft w:val="0"/>
      <w:marRight w:val="0"/>
      <w:marTop w:val="0"/>
      <w:marBottom w:val="0"/>
      <w:divBdr>
        <w:top w:val="none" w:sz="0" w:space="0" w:color="auto"/>
        <w:left w:val="none" w:sz="0" w:space="0" w:color="auto"/>
        <w:bottom w:val="none" w:sz="0" w:space="0" w:color="auto"/>
        <w:right w:val="none" w:sz="0" w:space="0" w:color="auto"/>
      </w:divBdr>
    </w:div>
    <w:div w:id="2144224782">
      <w:bodyDiv w:val="1"/>
      <w:marLeft w:val="0"/>
      <w:marRight w:val="0"/>
      <w:marTop w:val="0"/>
      <w:marBottom w:val="0"/>
      <w:divBdr>
        <w:top w:val="none" w:sz="0" w:space="0" w:color="auto"/>
        <w:left w:val="none" w:sz="0" w:space="0" w:color="auto"/>
        <w:bottom w:val="none" w:sz="0" w:space="0" w:color="auto"/>
        <w:right w:val="none" w:sz="0" w:space="0" w:color="auto"/>
      </w:divBdr>
    </w:div>
    <w:div w:id="2146391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mara.leg.br/proposicoesWeb/fichadetramitacao?idProposicao=2266295&amp;fichaAmigavel=nao" TargetMode="External"/><Relationship Id="rId13" Type="http://schemas.openxmlformats.org/officeDocument/2006/relationships/hyperlink" Target="https://ibdfam.org.br/noticias/11607/Mais+de+50+mil+crian%C3%A7as+foram+registradas+por+casais+homoafetivos+no+Brasil+nos+%C3%BAltimos+tr%C3%AAs+anos" TargetMode="External"/><Relationship Id="rId18" Type="http://schemas.openxmlformats.org/officeDocument/2006/relationships/hyperlink" Target="https://www.unifafibe.com.br/revista/index.php/direitos-sociais-politicas-pub/inde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iftc.edu.br/" TargetMode="External"/><Relationship Id="rId17" Type="http://schemas.openxmlformats.org/officeDocument/2006/relationships/hyperlink" Target="http://hdl.handle.net/123456789/5017" TargetMode="External"/><Relationship Id="rId2" Type="http://schemas.openxmlformats.org/officeDocument/2006/relationships/numbering" Target="numbering.xml"/><Relationship Id="rId16" Type="http://schemas.openxmlformats.org/officeDocument/2006/relationships/hyperlink" Target="https://dspace.doctum.edu.br/handle/123456789/501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baianaenferm.ufba.br/index.php/feminismos/article/view/53333" TargetMode="External"/><Relationship Id="rId5" Type="http://schemas.openxmlformats.org/officeDocument/2006/relationships/webSettings" Target="webSettings.xml"/><Relationship Id="rId15" Type="http://schemas.openxmlformats.org/officeDocument/2006/relationships/hyperlink" Target="https://periodicos.pucminas.br/virtuajus/article/view/29839" TargetMode="External"/><Relationship Id="rId10" Type="http://schemas.openxmlformats.org/officeDocument/2006/relationships/hyperlink" Target="https://portal.unifafibe.com.br:443/revista/index.php/direitos-sociais-politicas-pub/article/view/1537" TargetMode="External"/><Relationship Id="rId19" Type="http://schemas.openxmlformats.org/officeDocument/2006/relationships/hyperlink" Target="https://ojs.observatoriolatinoamericano.com/ojs/index.php/olel/article/view/8571" TargetMode="External"/><Relationship Id="rId4" Type="http://schemas.openxmlformats.org/officeDocument/2006/relationships/settings" Target="settings.xml"/><Relationship Id="rId9" Type="http://schemas.openxmlformats.org/officeDocument/2006/relationships/hyperlink" Target="https://www.stj.jus.br/sites/portalp/Paginas/Comunicacao/Noticias/2024/17102024-Mae-nao-biologica-tera-seu-nome-no-registro-civil-da-filha-gerada-com-semen-de-doador.aspx" TargetMode="External"/><Relationship Id="rId14" Type="http://schemas.openxmlformats.org/officeDocument/2006/relationships/hyperlink" Target="http://periodicoscientificos.ufmt.br/ojs/index.php/rebeh/index"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laryssafdireit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13059-F93C-4A67-9ECC-A2B2B542F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3872</Words>
  <Characters>20914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24737</CharactersWithSpaces>
  <SharedDoc>false</SharedDoc>
  <HLinks>
    <vt:vector size="78" baseType="variant">
      <vt:variant>
        <vt:i4>5898315</vt:i4>
      </vt:variant>
      <vt:variant>
        <vt:i4>33</vt:i4>
      </vt:variant>
      <vt:variant>
        <vt:i4>0</vt:i4>
      </vt:variant>
      <vt:variant>
        <vt:i4>5</vt:i4>
      </vt:variant>
      <vt:variant>
        <vt:lpwstr>https://ojs.observatoriolatinoamericano.com/ojs/index.php/olel/article/view/8571</vt:lpwstr>
      </vt:variant>
      <vt:variant>
        <vt:lpwstr/>
      </vt:variant>
      <vt:variant>
        <vt:i4>3604521</vt:i4>
      </vt:variant>
      <vt:variant>
        <vt:i4>30</vt:i4>
      </vt:variant>
      <vt:variant>
        <vt:i4>0</vt:i4>
      </vt:variant>
      <vt:variant>
        <vt:i4>5</vt:i4>
      </vt:variant>
      <vt:variant>
        <vt:lpwstr>https://www.unifafibe.com.br/revista/index.php/direitos-sociais-politicas-pub/index</vt:lpwstr>
      </vt:variant>
      <vt:variant>
        <vt:lpwstr/>
      </vt:variant>
      <vt:variant>
        <vt:i4>65540</vt:i4>
      </vt:variant>
      <vt:variant>
        <vt:i4>27</vt:i4>
      </vt:variant>
      <vt:variant>
        <vt:i4>0</vt:i4>
      </vt:variant>
      <vt:variant>
        <vt:i4>5</vt:i4>
      </vt:variant>
      <vt:variant>
        <vt:lpwstr>http://hdl.handle.net/123456789/5017</vt:lpwstr>
      </vt:variant>
      <vt:variant>
        <vt:lpwstr/>
      </vt:variant>
      <vt:variant>
        <vt:i4>6750319</vt:i4>
      </vt:variant>
      <vt:variant>
        <vt:i4>24</vt:i4>
      </vt:variant>
      <vt:variant>
        <vt:i4>0</vt:i4>
      </vt:variant>
      <vt:variant>
        <vt:i4>5</vt:i4>
      </vt:variant>
      <vt:variant>
        <vt:lpwstr>https://dspace.doctum.edu.br/handle/123456789/5017</vt:lpwstr>
      </vt:variant>
      <vt:variant>
        <vt:lpwstr/>
      </vt:variant>
      <vt:variant>
        <vt:i4>6488103</vt:i4>
      </vt:variant>
      <vt:variant>
        <vt:i4>21</vt:i4>
      </vt:variant>
      <vt:variant>
        <vt:i4>0</vt:i4>
      </vt:variant>
      <vt:variant>
        <vt:i4>5</vt:i4>
      </vt:variant>
      <vt:variant>
        <vt:lpwstr>https://periodicos.pucminas.br/virtuajus/article/view/29839</vt:lpwstr>
      </vt:variant>
      <vt:variant>
        <vt:lpwstr/>
      </vt:variant>
      <vt:variant>
        <vt:i4>6553707</vt:i4>
      </vt:variant>
      <vt:variant>
        <vt:i4>18</vt:i4>
      </vt:variant>
      <vt:variant>
        <vt:i4>0</vt:i4>
      </vt:variant>
      <vt:variant>
        <vt:i4>5</vt:i4>
      </vt:variant>
      <vt:variant>
        <vt:lpwstr>http://periodicoscientificos.ufmt.br/ojs/index.php/rebeh/index</vt:lpwstr>
      </vt:variant>
      <vt:variant>
        <vt:lpwstr/>
      </vt:variant>
      <vt:variant>
        <vt:i4>1900562</vt:i4>
      </vt:variant>
      <vt:variant>
        <vt:i4>15</vt:i4>
      </vt:variant>
      <vt:variant>
        <vt:i4>0</vt:i4>
      </vt:variant>
      <vt:variant>
        <vt:i4>5</vt:i4>
      </vt:variant>
      <vt:variant>
        <vt:lpwstr>https://ibdfam.org.br/noticias/11607/Mais+de+50+mil+crian%C3%A7as+foram+registradas+por+casais+homoafetivos+no+Brasil+nos+%C3%BAltimos+tr%C3%AAs+anos</vt:lpwstr>
      </vt:variant>
      <vt:variant>
        <vt:lpwstr/>
      </vt:variant>
      <vt:variant>
        <vt:i4>8257598</vt:i4>
      </vt:variant>
      <vt:variant>
        <vt:i4>12</vt:i4>
      </vt:variant>
      <vt:variant>
        <vt:i4>0</vt:i4>
      </vt:variant>
      <vt:variant>
        <vt:i4>5</vt:i4>
      </vt:variant>
      <vt:variant>
        <vt:lpwstr>https://www.uniftc.edu.br/</vt:lpwstr>
      </vt:variant>
      <vt:variant>
        <vt:lpwstr/>
      </vt:variant>
      <vt:variant>
        <vt:i4>3276907</vt:i4>
      </vt:variant>
      <vt:variant>
        <vt:i4>9</vt:i4>
      </vt:variant>
      <vt:variant>
        <vt:i4>0</vt:i4>
      </vt:variant>
      <vt:variant>
        <vt:i4>5</vt:i4>
      </vt:variant>
      <vt:variant>
        <vt:lpwstr>https://revbaianaenferm.ufba.br/index.php/feminismos/article/view/53333</vt:lpwstr>
      </vt:variant>
      <vt:variant>
        <vt:lpwstr/>
      </vt:variant>
      <vt:variant>
        <vt:i4>3080253</vt:i4>
      </vt:variant>
      <vt:variant>
        <vt:i4>6</vt:i4>
      </vt:variant>
      <vt:variant>
        <vt:i4>0</vt:i4>
      </vt:variant>
      <vt:variant>
        <vt:i4>5</vt:i4>
      </vt:variant>
      <vt:variant>
        <vt:lpwstr>https://portal.unifafibe.com.br/revista/index.php/direitos-sociais-politicas-pub/article/view/1537</vt:lpwstr>
      </vt:variant>
      <vt:variant>
        <vt:lpwstr/>
      </vt:variant>
      <vt:variant>
        <vt:i4>3080228</vt:i4>
      </vt:variant>
      <vt:variant>
        <vt:i4>3</vt:i4>
      </vt:variant>
      <vt:variant>
        <vt:i4>0</vt:i4>
      </vt:variant>
      <vt:variant>
        <vt:i4>5</vt:i4>
      </vt:variant>
      <vt:variant>
        <vt:lpwstr>https://www.stj.jus.br/sites/portalp/Paginas/Comunicacao/Noticias/2024/17102024-Mae-nao-biologica-tera-seu-nome-no-registro-civil-da-filha-gerada-com-semen-de-doador.aspx</vt:lpwstr>
      </vt:variant>
      <vt:variant>
        <vt:lpwstr/>
      </vt:variant>
      <vt:variant>
        <vt:i4>852034</vt:i4>
      </vt:variant>
      <vt:variant>
        <vt:i4>0</vt:i4>
      </vt:variant>
      <vt:variant>
        <vt:i4>0</vt:i4>
      </vt:variant>
      <vt:variant>
        <vt:i4>5</vt:i4>
      </vt:variant>
      <vt:variant>
        <vt:lpwstr>https://www.camara.leg.br/proposicoesWeb/fichadetramitacao?idProposicao=2266295&amp;fichaAmigavel=nao</vt:lpwstr>
      </vt:variant>
      <vt:variant>
        <vt:lpwstr/>
      </vt:variant>
      <vt:variant>
        <vt:i4>1703994</vt:i4>
      </vt:variant>
      <vt:variant>
        <vt:i4>0</vt:i4>
      </vt:variant>
      <vt:variant>
        <vt:i4>0</vt:i4>
      </vt:variant>
      <vt:variant>
        <vt:i4>5</vt:i4>
      </vt:variant>
      <vt:variant>
        <vt:lpwstr>mailto:laryssafdireito@gmail.com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Gestão MSF</cp:lastModifiedBy>
  <cp:revision>2</cp:revision>
  <dcterms:created xsi:type="dcterms:W3CDTF">2025-07-03T11:05:00Z</dcterms:created>
  <dcterms:modified xsi:type="dcterms:W3CDTF">2025-07-03T11:05:00Z</dcterms:modified>
</cp:coreProperties>
</file>