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D50" w:rsidRDefault="009222BC">
      <w:pPr>
        <w:spacing w:line="360" w:lineRule="auto"/>
        <w:jc w:val="center"/>
        <w:rPr>
          <w:sz w:val="24"/>
          <w:szCs w:val="24"/>
        </w:rPr>
      </w:pPr>
      <w:r>
        <w:rPr>
          <w:b/>
          <w:sz w:val="24"/>
          <w:szCs w:val="24"/>
        </w:rPr>
        <w:t>POLÍTICAS AFIRMATIVAS NA UNILAB:</w:t>
      </w:r>
      <w:r>
        <w:rPr>
          <w:sz w:val="24"/>
          <w:szCs w:val="24"/>
        </w:rPr>
        <w:t xml:space="preserve"> uma análise a partir das Resoluções </w:t>
      </w:r>
      <w:r w:rsidR="001159D2">
        <w:rPr>
          <w:sz w:val="24"/>
          <w:szCs w:val="24"/>
        </w:rPr>
        <w:t>CONSUNI</w:t>
      </w:r>
      <w:r>
        <w:rPr>
          <w:sz w:val="24"/>
          <w:szCs w:val="24"/>
        </w:rPr>
        <w:t xml:space="preserve"> nº 40/2021 e </w:t>
      </w:r>
      <w:r w:rsidR="001159D2">
        <w:rPr>
          <w:sz w:val="24"/>
          <w:szCs w:val="24"/>
        </w:rPr>
        <w:t>CONSEPE</w:t>
      </w:r>
      <w:r>
        <w:rPr>
          <w:sz w:val="24"/>
          <w:szCs w:val="24"/>
        </w:rPr>
        <w:t xml:space="preserve"> nº 42/2019 </w:t>
      </w:r>
    </w:p>
    <w:p w:rsidR="00727D50" w:rsidRDefault="00727D50">
      <w:pPr>
        <w:spacing w:line="360" w:lineRule="auto"/>
        <w:jc w:val="center"/>
        <w:rPr>
          <w:sz w:val="24"/>
          <w:szCs w:val="24"/>
        </w:rPr>
      </w:pPr>
    </w:p>
    <w:p w:rsidR="00727D50" w:rsidRDefault="009222BC">
      <w:pPr>
        <w:spacing w:line="360" w:lineRule="auto"/>
        <w:jc w:val="right"/>
        <w:rPr>
          <w:sz w:val="24"/>
          <w:szCs w:val="24"/>
        </w:rPr>
      </w:pPr>
      <w:r>
        <w:rPr>
          <w:sz w:val="24"/>
          <w:szCs w:val="24"/>
        </w:rPr>
        <w:t xml:space="preserve"> Mirla Menezes da Silva</w:t>
      </w:r>
      <w:r>
        <w:rPr>
          <w:sz w:val="24"/>
          <w:szCs w:val="24"/>
          <w:vertAlign w:val="superscript"/>
        </w:rPr>
        <w:footnoteReference w:id="1"/>
      </w:r>
    </w:p>
    <w:p w:rsidR="00727D50" w:rsidRDefault="009222BC">
      <w:pPr>
        <w:spacing w:line="360" w:lineRule="auto"/>
        <w:jc w:val="right"/>
        <w:rPr>
          <w:sz w:val="24"/>
          <w:szCs w:val="24"/>
        </w:rPr>
      </w:pPr>
      <w:proofErr w:type="spellStart"/>
      <w:r>
        <w:rPr>
          <w:sz w:val="24"/>
          <w:szCs w:val="24"/>
        </w:rPr>
        <w:t>Antonia</w:t>
      </w:r>
      <w:proofErr w:type="spellEnd"/>
      <w:r>
        <w:rPr>
          <w:sz w:val="24"/>
          <w:szCs w:val="24"/>
        </w:rPr>
        <w:t xml:space="preserve"> </w:t>
      </w:r>
      <w:proofErr w:type="spellStart"/>
      <w:r>
        <w:rPr>
          <w:sz w:val="24"/>
          <w:szCs w:val="24"/>
        </w:rPr>
        <w:t>Arylenne</w:t>
      </w:r>
      <w:proofErr w:type="spellEnd"/>
      <w:r>
        <w:rPr>
          <w:sz w:val="24"/>
          <w:szCs w:val="24"/>
        </w:rPr>
        <w:t xml:space="preserve"> Marques de Freitas</w:t>
      </w:r>
      <w:r>
        <w:rPr>
          <w:sz w:val="24"/>
          <w:szCs w:val="24"/>
          <w:vertAlign w:val="superscript"/>
        </w:rPr>
        <w:footnoteReference w:id="2"/>
      </w:r>
      <w:r>
        <w:rPr>
          <w:sz w:val="24"/>
          <w:szCs w:val="24"/>
        </w:rPr>
        <w:t xml:space="preserve"> </w:t>
      </w:r>
    </w:p>
    <w:p w:rsidR="00727D50" w:rsidRDefault="009222BC">
      <w:pPr>
        <w:spacing w:line="360" w:lineRule="auto"/>
        <w:jc w:val="right"/>
        <w:rPr>
          <w:sz w:val="24"/>
          <w:szCs w:val="24"/>
        </w:rPr>
      </w:pPr>
      <w:proofErr w:type="spellStart"/>
      <w:r>
        <w:rPr>
          <w:sz w:val="24"/>
          <w:szCs w:val="24"/>
        </w:rPr>
        <w:t>Greyssy</w:t>
      </w:r>
      <w:proofErr w:type="spellEnd"/>
      <w:r>
        <w:rPr>
          <w:sz w:val="24"/>
          <w:szCs w:val="24"/>
        </w:rPr>
        <w:t xml:space="preserve"> Kelly Araújo de Souza</w:t>
      </w:r>
      <w:r>
        <w:rPr>
          <w:sz w:val="24"/>
          <w:szCs w:val="24"/>
          <w:vertAlign w:val="superscript"/>
        </w:rPr>
        <w:footnoteReference w:id="3"/>
      </w:r>
    </w:p>
    <w:p w:rsidR="00727D50" w:rsidRDefault="00727D50">
      <w:pPr>
        <w:spacing w:line="360" w:lineRule="auto"/>
        <w:jc w:val="right"/>
        <w:rPr>
          <w:sz w:val="24"/>
          <w:szCs w:val="24"/>
        </w:rPr>
      </w:pPr>
    </w:p>
    <w:p w:rsidR="00727D50" w:rsidRDefault="009222BC">
      <w:pPr>
        <w:pBdr>
          <w:top w:val="nil"/>
          <w:left w:val="nil"/>
          <w:bottom w:val="nil"/>
          <w:right w:val="nil"/>
          <w:between w:val="nil"/>
        </w:pBdr>
        <w:spacing w:line="240" w:lineRule="auto"/>
        <w:ind w:left="2835"/>
        <w:jc w:val="both"/>
        <w:rPr>
          <w:b/>
          <w:sz w:val="20"/>
          <w:szCs w:val="20"/>
        </w:rPr>
      </w:pPr>
      <w:r>
        <w:rPr>
          <w:b/>
          <w:sz w:val="20"/>
          <w:szCs w:val="20"/>
        </w:rPr>
        <w:t>Resumo</w:t>
      </w:r>
    </w:p>
    <w:p w:rsidR="00727D50" w:rsidRDefault="009222BC">
      <w:pPr>
        <w:pBdr>
          <w:top w:val="nil"/>
          <w:left w:val="nil"/>
          <w:bottom w:val="nil"/>
          <w:right w:val="nil"/>
          <w:between w:val="nil"/>
        </w:pBdr>
        <w:spacing w:line="240" w:lineRule="auto"/>
        <w:ind w:left="2835"/>
        <w:jc w:val="both"/>
        <w:rPr>
          <w:sz w:val="20"/>
          <w:szCs w:val="20"/>
        </w:rPr>
      </w:pPr>
      <w:r>
        <w:rPr>
          <w:sz w:val="20"/>
          <w:szCs w:val="20"/>
        </w:rPr>
        <w:t>Este artigo analisa as políticas afirmativas e os mecanismos de permanência material e simbólica da UNILAB, com base nas Resoluções CONSUNI nº 40/2021 e CONSEPE nº 42/2019. Vinculado ao projeto de iniciação científica PIBIC/UNILAB 2024-2025, o estudo adota uma abordagem qualitativa e análise documental crítica. A pesquisa destaca os avanços institucionais da universidade, mas também evidencia os limites impostos pela insuficiência de recursos e pela ênfase no apoio material. Conclui-se que a efetivação das políticas depende da superação de entraves estruturais que ainda comprometem a permanência plena dos estudantes historicamente marginalizados.</w:t>
      </w:r>
    </w:p>
    <w:p w:rsidR="00727D50" w:rsidRDefault="009222BC">
      <w:pPr>
        <w:pBdr>
          <w:top w:val="nil"/>
          <w:left w:val="nil"/>
          <w:bottom w:val="nil"/>
          <w:right w:val="nil"/>
          <w:between w:val="nil"/>
        </w:pBdr>
        <w:spacing w:line="240" w:lineRule="auto"/>
        <w:ind w:left="2835"/>
        <w:jc w:val="both"/>
        <w:rPr>
          <w:sz w:val="20"/>
          <w:szCs w:val="20"/>
        </w:rPr>
      </w:pPr>
      <w:r>
        <w:rPr>
          <w:b/>
          <w:sz w:val="20"/>
          <w:szCs w:val="20"/>
        </w:rPr>
        <w:t xml:space="preserve">Palavras-chave: </w:t>
      </w:r>
      <w:r>
        <w:rPr>
          <w:sz w:val="20"/>
          <w:szCs w:val="20"/>
        </w:rPr>
        <w:t>Ações afirmativas; Permanência estudantil; UNILAB.</w:t>
      </w:r>
    </w:p>
    <w:p w:rsidR="00727D50" w:rsidRDefault="00727D50">
      <w:pPr>
        <w:spacing w:line="240" w:lineRule="auto"/>
        <w:ind w:left="2835"/>
        <w:jc w:val="both"/>
        <w:rPr>
          <w:sz w:val="20"/>
          <w:szCs w:val="20"/>
        </w:rPr>
      </w:pPr>
    </w:p>
    <w:p w:rsidR="00727D50" w:rsidRDefault="009222BC">
      <w:pPr>
        <w:spacing w:line="240" w:lineRule="auto"/>
        <w:ind w:left="2835"/>
        <w:jc w:val="both"/>
        <w:rPr>
          <w:b/>
          <w:sz w:val="20"/>
          <w:szCs w:val="20"/>
        </w:rPr>
      </w:pPr>
      <w:r>
        <w:rPr>
          <w:b/>
          <w:sz w:val="20"/>
          <w:szCs w:val="20"/>
        </w:rPr>
        <w:t>Abstract</w:t>
      </w:r>
    </w:p>
    <w:p w:rsidR="00727D50" w:rsidRDefault="009222BC">
      <w:pPr>
        <w:spacing w:line="308"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affirmative</w:t>
      </w:r>
      <w:proofErr w:type="spellEnd"/>
      <w:r>
        <w:rPr>
          <w:sz w:val="20"/>
          <w:szCs w:val="20"/>
        </w:rPr>
        <w:t xml:space="preserve"> </w:t>
      </w:r>
      <w:proofErr w:type="spellStart"/>
      <w:r>
        <w:rPr>
          <w:sz w:val="20"/>
          <w:szCs w:val="20"/>
        </w:rPr>
        <w:t>action</w:t>
      </w:r>
      <w:proofErr w:type="spellEnd"/>
      <w:r>
        <w:rPr>
          <w:sz w:val="20"/>
          <w:szCs w:val="20"/>
        </w:rPr>
        <w:t xml:space="preserve"> policies </w:t>
      </w:r>
      <w:proofErr w:type="spellStart"/>
      <w:r>
        <w:rPr>
          <w:sz w:val="20"/>
          <w:szCs w:val="20"/>
        </w:rPr>
        <w:t>and</w:t>
      </w:r>
      <w:proofErr w:type="spellEnd"/>
      <w:r>
        <w:rPr>
          <w:sz w:val="20"/>
          <w:szCs w:val="20"/>
        </w:rPr>
        <w:t xml:space="preserve"> </w:t>
      </w:r>
      <w:proofErr w:type="spellStart"/>
      <w:r>
        <w:rPr>
          <w:sz w:val="20"/>
          <w:szCs w:val="20"/>
        </w:rPr>
        <w:t>mechanisms</w:t>
      </w:r>
      <w:proofErr w:type="spellEnd"/>
      <w:r>
        <w:rPr>
          <w:sz w:val="20"/>
          <w:szCs w:val="20"/>
        </w:rPr>
        <w:t xml:space="preserve"> for material </w:t>
      </w:r>
      <w:proofErr w:type="spellStart"/>
      <w:r>
        <w:rPr>
          <w:sz w:val="20"/>
          <w:szCs w:val="20"/>
        </w:rPr>
        <w:t>and</w:t>
      </w:r>
      <w:proofErr w:type="spellEnd"/>
      <w:r>
        <w:rPr>
          <w:sz w:val="20"/>
          <w:szCs w:val="20"/>
        </w:rPr>
        <w:t xml:space="preserve"> </w:t>
      </w:r>
      <w:proofErr w:type="spellStart"/>
      <w:r>
        <w:rPr>
          <w:sz w:val="20"/>
          <w:szCs w:val="20"/>
        </w:rPr>
        <w:t>symbolic</w:t>
      </w:r>
      <w:proofErr w:type="spellEnd"/>
      <w:r>
        <w:rPr>
          <w:sz w:val="20"/>
          <w:szCs w:val="20"/>
        </w:rPr>
        <w:t xml:space="preserve"> </w:t>
      </w:r>
      <w:proofErr w:type="spellStart"/>
      <w:r>
        <w:rPr>
          <w:sz w:val="20"/>
          <w:szCs w:val="20"/>
        </w:rPr>
        <w:t>retention</w:t>
      </w:r>
      <w:proofErr w:type="spellEnd"/>
      <w:r>
        <w:rPr>
          <w:sz w:val="20"/>
          <w:szCs w:val="20"/>
        </w:rPr>
        <w:t xml:space="preserve"> </w:t>
      </w:r>
      <w:proofErr w:type="spellStart"/>
      <w:r>
        <w:rPr>
          <w:sz w:val="20"/>
          <w:szCs w:val="20"/>
        </w:rPr>
        <w:t>at</w:t>
      </w:r>
      <w:proofErr w:type="spellEnd"/>
      <w:r>
        <w:rPr>
          <w:sz w:val="20"/>
          <w:szCs w:val="20"/>
        </w:rPr>
        <w:t xml:space="preserve"> UNILAB,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Resolutions</w:t>
      </w:r>
      <w:proofErr w:type="spellEnd"/>
      <w:r>
        <w:rPr>
          <w:sz w:val="20"/>
          <w:szCs w:val="20"/>
        </w:rPr>
        <w:t xml:space="preserve"> CONSUNI </w:t>
      </w:r>
      <w:proofErr w:type="spellStart"/>
      <w:r>
        <w:rPr>
          <w:sz w:val="20"/>
          <w:szCs w:val="20"/>
        </w:rPr>
        <w:t>Number</w:t>
      </w:r>
      <w:proofErr w:type="spellEnd"/>
      <w:r>
        <w:rPr>
          <w:sz w:val="20"/>
          <w:szCs w:val="20"/>
        </w:rPr>
        <w:t xml:space="preserve"> 40/2021 </w:t>
      </w:r>
      <w:proofErr w:type="spellStart"/>
      <w:r>
        <w:rPr>
          <w:sz w:val="20"/>
          <w:szCs w:val="20"/>
        </w:rPr>
        <w:t>and</w:t>
      </w:r>
      <w:proofErr w:type="spellEnd"/>
      <w:r>
        <w:rPr>
          <w:sz w:val="20"/>
          <w:szCs w:val="20"/>
        </w:rPr>
        <w:t xml:space="preserve"> CONSEPE </w:t>
      </w:r>
      <w:proofErr w:type="spellStart"/>
      <w:r>
        <w:rPr>
          <w:sz w:val="20"/>
          <w:szCs w:val="20"/>
        </w:rPr>
        <w:t>Number</w:t>
      </w:r>
      <w:proofErr w:type="spellEnd"/>
      <w:r>
        <w:rPr>
          <w:sz w:val="20"/>
          <w:szCs w:val="20"/>
        </w:rPr>
        <w:t xml:space="preserve">. 42/2019. </w:t>
      </w:r>
      <w:proofErr w:type="spellStart"/>
      <w:r>
        <w:rPr>
          <w:sz w:val="20"/>
          <w:szCs w:val="20"/>
        </w:rPr>
        <w:t>Linked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PIBIC/UNILAB 2024-2025 </w:t>
      </w:r>
      <w:proofErr w:type="spellStart"/>
      <w:r>
        <w:rPr>
          <w:sz w:val="20"/>
          <w:szCs w:val="20"/>
        </w:rPr>
        <w:t>scientific</w:t>
      </w:r>
      <w:proofErr w:type="spellEnd"/>
      <w:r>
        <w:rPr>
          <w:sz w:val="20"/>
          <w:szCs w:val="20"/>
        </w:rPr>
        <w:t xml:space="preserve"> </w:t>
      </w:r>
      <w:proofErr w:type="spellStart"/>
      <w:r>
        <w:rPr>
          <w:sz w:val="20"/>
          <w:szCs w:val="20"/>
        </w:rPr>
        <w:t>initiation</w:t>
      </w:r>
      <w:proofErr w:type="spellEnd"/>
      <w:r>
        <w:rPr>
          <w:sz w:val="20"/>
          <w:szCs w:val="20"/>
        </w:rPr>
        <w:t xml:space="preserve"> </w:t>
      </w:r>
      <w:proofErr w:type="spellStart"/>
      <w:r>
        <w:rPr>
          <w:sz w:val="20"/>
          <w:szCs w:val="20"/>
        </w:rPr>
        <w:t>project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adopts</w:t>
      </w:r>
      <w:proofErr w:type="spellEnd"/>
      <w:r>
        <w:rPr>
          <w:sz w:val="20"/>
          <w:szCs w:val="20"/>
        </w:rPr>
        <w:t xml:space="preserve"> a </w:t>
      </w:r>
      <w:proofErr w:type="spellStart"/>
      <w:r>
        <w:rPr>
          <w:sz w:val="20"/>
          <w:szCs w:val="20"/>
        </w:rPr>
        <w:t>qualitative</w:t>
      </w:r>
      <w:proofErr w:type="spellEnd"/>
      <w:r>
        <w:rPr>
          <w:sz w:val="20"/>
          <w:szCs w:val="20"/>
        </w:rPr>
        <w:t xml:space="preserve"> approach </w:t>
      </w:r>
      <w:proofErr w:type="spellStart"/>
      <w:r>
        <w:rPr>
          <w:sz w:val="20"/>
          <w:szCs w:val="20"/>
        </w:rPr>
        <w:t>and</w:t>
      </w:r>
      <w:proofErr w:type="spellEnd"/>
      <w:r>
        <w:rPr>
          <w:sz w:val="20"/>
          <w:szCs w:val="20"/>
        </w:rPr>
        <w:t xml:space="preserve"> </w:t>
      </w:r>
      <w:proofErr w:type="spellStart"/>
      <w:r>
        <w:rPr>
          <w:sz w:val="20"/>
          <w:szCs w:val="20"/>
        </w:rPr>
        <w:t>critical</w:t>
      </w:r>
      <w:proofErr w:type="spellEnd"/>
      <w:r>
        <w:rPr>
          <w:sz w:val="20"/>
          <w:szCs w:val="20"/>
        </w:rPr>
        <w:t xml:space="preserve"> </w:t>
      </w:r>
      <w:proofErr w:type="spellStart"/>
      <w:r>
        <w:rPr>
          <w:sz w:val="20"/>
          <w:szCs w:val="20"/>
        </w:rPr>
        <w:t>documentary</w:t>
      </w:r>
      <w:proofErr w:type="spellEnd"/>
      <w:r>
        <w:rPr>
          <w:sz w:val="20"/>
          <w:szCs w:val="20"/>
        </w:rPr>
        <w:t xml:space="preserve"> </w:t>
      </w:r>
      <w:proofErr w:type="spellStart"/>
      <w:r>
        <w:rPr>
          <w:sz w:val="20"/>
          <w:szCs w:val="20"/>
        </w:rPr>
        <w:t>analysis</w:t>
      </w:r>
      <w:proofErr w:type="spellEnd"/>
      <w:r>
        <w:rPr>
          <w:sz w:val="20"/>
          <w:szCs w:val="20"/>
        </w:rPr>
        <w:t xml:space="preserve">. The </w:t>
      </w:r>
      <w:proofErr w:type="spellStart"/>
      <w:r>
        <w:rPr>
          <w:sz w:val="20"/>
          <w:szCs w:val="20"/>
        </w:rPr>
        <w:t>research</w:t>
      </w:r>
      <w:proofErr w:type="spellEnd"/>
      <w:r>
        <w:rPr>
          <w:sz w:val="20"/>
          <w:szCs w:val="20"/>
        </w:rPr>
        <w:t xml:space="preserve"> </w:t>
      </w:r>
      <w:proofErr w:type="spellStart"/>
      <w:r>
        <w:rPr>
          <w:sz w:val="20"/>
          <w:szCs w:val="20"/>
        </w:rPr>
        <w:t>highlights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university's</w:t>
      </w:r>
      <w:proofErr w:type="spellEnd"/>
      <w:r>
        <w:rPr>
          <w:sz w:val="20"/>
          <w:szCs w:val="20"/>
        </w:rPr>
        <w:t xml:space="preserve"> </w:t>
      </w:r>
      <w:proofErr w:type="spellStart"/>
      <w:r>
        <w:rPr>
          <w:sz w:val="20"/>
          <w:szCs w:val="20"/>
        </w:rPr>
        <w:t>institutional</w:t>
      </w:r>
      <w:proofErr w:type="spellEnd"/>
      <w:r>
        <w:rPr>
          <w:sz w:val="20"/>
          <w:szCs w:val="20"/>
        </w:rPr>
        <w:t xml:space="preserve"> </w:t>
      </w:r>
      <w:proofErr w:type="spellStart"/>
      <w:r>
        <w:rPr>
          <w:sz w:val="20"/>
          <w:szCs w:val="20"/>
        </w:rPr>
        <w:t>advances</w:t>
      </w:r>
      <w:proofErr w:type="spellEnd"/>
      <w:r>
        <w:rPr>
          <w:sz w:val="20"/>
          <w:szCs w:val="20"/>
        </w:rPr>
        <w:t xml:space="preserve">, </w:t>
      </w:r>
      <w:proofErr w:type="spellStart"/>
      <w:r>
        <w:rPr>
          <w:sz w:val="20"/>
          <w:szCs w:val="20"/>
        </w:rPr>
        <w:t>but</w:t>
      </w:r>
      <w:proofErr w:type="spellEnd"/>
      <w:r>
        <w:rPr>
          <w:sz w:val="20"/>
          <w:szCs w:val="20"/>
        </w:rPr>
        <w:t xml:space="preserve"> </w:t>
      </w:r>
      <w:proofErr w:type="spellStart"/>
      <w:r>
        <w:rPr>
          <w:sz w:val="20"/>
          <w:szCs w:val="20"/>
        </w:rPr>
        <w:t>also</w:t>
      </w:r>
      <w:proofErr w:type="spellEnd"/>
      <w:r>
        <w:rPr>
          <w:sz w:val="20"/>
          <w:szCs w:val="20"/>
        </w:rPr>
        <w:t xml:space="preserve"> </w:t>
      </w:r>
      <w:proofErr w:type="spellStart"/>
      <w:r>
        <w:rPr>
          <w:sz w:val="20"/>
          <w:szCs w:val="20"/>
        </w:rPr>
        <w:t>highlights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limits</w:t>
      </w:r>
      <w:proofErr w:type="spellEnd"/>
      <w:r>
        <w:rPr>
          <w:sz w:val="20"/>
          <w:szCs w:val="20"/>
        </w:rPr>
        <w:t xml:space="preserve"> </w:t>
      </w:r>
      <w:proofErr w:type="spellStart"/>
      <w:r>
        <w:rPr>
          <w:sz w:val="20"/>
          <w:szCs w:val="20"/>
        </w:rPr>
        <w:t>imposed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insufficient</w:t>
      </w:r>
      <w:proofErr w:type="spellEnd"/>
      <w:r>
        <w:rPr>
          <w:sz w:val="20"/>
          <w:szCs w:val="20"/>
        </w:rPr>
        <w:t xml:space="preserve"> </w:t>
      </w:r>
      <w:proofErr w:type="spellStart"/>
      <w:r>
        <w:rPr>
          <w:sz w:val="20"/>
          <w:szCs w:val="20"/>
        </w:rPr>
        <w:t>resources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emphasis</w:t>
      </w:r>
      <w:proofErr w:type="spellEnd"/>
      <w:r>
        <w:rPr>
          <w:sz w:val="20"/>
          <w:szCs w:val="20"/>
        </w:rPr>
        <w:t xml:space="preserve"> </w:t>
      </w:r>
      <w:proofErr w:type="spellStart"/>
      <w:r>
        <w:rPr>
          <w:sz w:val="20"/>
          <w:szCs w:val="20"/>
        </w:rPr>
        <w:t>on</w:t>
      </w:r>
      <w:proofErr w:type="spellEnd"/>
      <w:r>
        <w:rPr>
          <w:sz w:val="20"/>
          <w:szCs w:val="20"/>
        </w:rPr>
        <w:t xml:space="preserve"> material </w:t>
      </w:r>
      <w:proofErr w:type="spellStart"/>
      <w:r>
        <w:rPr>
          <w:sz w:val="20"/>
          <w:szCs w:val="20"/>
        </w:rPr>
        <w:t>support</w:t>
      </w:r>
      <w:proofErr w:type="spellEnd"/>
      <w:r>
        <w:rPr>
          <w:sz w:val="20"/>
          <w:szCs w:val="20"/>
        </w:rPr>
        <w:t xml:space="preserve">. It </w:t>
      </w:r>
      <w:proofErr w:type="spellStart"/>
      <w:r>
        <w:rPr>
          <w:sz w:val="20"/>
          <w:szCs w:val="20"/>
        </w:rPr>
        <w:t>is</w:t>
      </w:r>
      <w:proofErr w:type="spellEnd"/>
      <w:r>
        <w:rPr>
          <w:sz w:val="20"/>
          <w:szCs w:val="20"/>
        </w:rPr>
        <w:t xml:space="preserve"> </w:t>
      </w:r>
      <w:proofErr w:type="spellStart"/>
      <w:r>
        <w:rPr>
          <w:sz w:val="20"/>
          <w:szCs w:val="20"/>
        </w:rPr>
        <w:t>concluded</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implementation</w:t>
      </w:r>
      <w:proofErr w:type="spellEnd"/>
      <w:r>
        <w:rPr>
          <w:sz w:val="20"/>
          <w:szCs w:val="20"/>
        </w:rPr>
        <w:t xml:space="preserve"> </w:t>
      </w:r>
      <w:proofErr w:type="spellStart"/>
      <w:r>
        <w:rPr>
          <w:sz w:val="20"/>
          <w:szCs w:val="20"/>
        </w:rPr>
        <w:t>of</w:t>
      </w:r>
      <w:proofErr w:type="spellEnd"/>
      <w:r>
        <w:rPr>
          <w:sz w:val="20"/>
          <w:szCs w:val="20"/>
        </w:rPr>
        <w:t xml:space="preserve"> policies </w:t>
      </w:r>
      <w:proofErr w:type="spellStart"/>
      <w:r>
        <w:rPr>
          <w:sz w:val="20"/>
          <w:szCs w:val="20"/>
        </w:rPr>
        <w:t>depends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overcoming</w:t>
      </w:r>
      <w:proofErr w:type="spellEnd"/>
      <w:r>
        <w:rPr>
          <w:sz w:val="20"/>
          <w:szCs w:val="20"/>
        </w:rPr>
        <w:t xml:space="preserve"> </w:t>
      </w:r>
      <w:proofErr w:type="spellStart"/>
      <w:r>
        <w:rPr>
          <w:sz w:val="20"/>
          <w:szCs w:val="20"/>
        </w:rPr>
        <w:t>structural</w:t>
      </w:r>
      <w:proofErr w:type="spellEnd"/>
      <w:r>
        <w:rPr>
          <w:sz w:val="20"/>
          <w:szCs w:val="20"/>
        </w:rPr>
        <w:t xml:space="preserve"> </w:t>
      </w:r>
      <w:proofErr w:type="spellStart"/>
      <w:r>
        <w:rPr>
          <w:sz w:val="20"/>
          <w:szCs w:val="20"/>
        </w:rPr>
        <w:t>obstacles</w:t>
      </w:r>
      <w:proofErr w:type="spellEnd"/>
      <w:r>
        <w:rPr>
          <w:sz w:val="20"/>
          <w:szCs w:val="20"/>
        </w:rPr>
        <w:t xml:space="preserve"> </w:t>
      </w:r>
      <w:proofErr w:type="spellStart"/>
      <w:r>
        <w:rPr>
          <w:sz w:val="20"/>
          <w:szCs w:val="20"/>
        </w:rPr>
        <w:t>that</w:t>
      </w:r>
      <w:proofErr w:type="spellEnd"/>
      <w:r>
        <w:rPr>
          <w:sz w:val="20"/>
          <w:szCs w:val="20"/>
        </w:rPr>
        <w:t xml:space="preserve"> still </w:t>
      </w:r>
      <w:proofErr w:type="spellStart"/>
      <w:r>
        <w:rPr>
          <w:sz w:val="20"/>
          <w:szCs w:val="20"/>
        </w:rPr>
        <w:t>compromise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full</w:t>
      </w:r>
      <w:proofErr w:type="spellEnd"/>
      <w:r>
        <w:rPr>
          <w:sz w:val="20"/>
          <w:szCs w:val="20"/>
        </w:rPr>
        <w:t xml:space="preserve"> </w:t>
      </w:r>
      <w:proofErr w:type="spellStart"/>
      <w:r>
        <w:rPr>
          <w:sz w:val="20"/>
          <w:szCs w:val="20"/>
        </w:rPr>
        <w:t>retention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historically</w:t>
      </w:r>
      <w:proofErr w:type="spellEnd"/>
      <w:r>
        <w:rPr>
          <w:sz w:val="20"/>
          <w:szCs w:val="20"/>
        </w:rPr>
        <w:t xml:space="preserve"> </w:t>
      </w:r>
      <w:proofErr w:type="spellStart"/>
      <w:r>
        <w:rPr>
          <w:sz w:val="20"/>
          <w:szCs w:val="20"/>
        </w:rPr>
        <w:t>marginalized</w:t>
      </w:r>
      <w:proofErr w:type="spellEnd"/>
      <w:r>
        <w:rPr>
          <w:sz w:val="20"/>
          <w:szCs w:val="20"/>
        </w:rPr>
        <w:t xml:space="preserve"> </w:t>
      </w:r>
      <w:proofErr w:type="spellStart"/>
      <w:r>
        <w:rPr>
          <w:sz w:val="20"/>
          <w:szCs w:val="20"/>
        </w:rPr>
        <w:t>students</w:t>
      </w:r>
      <w:proofErr w:type="spellEnd"/>
      <w:r>
        <w:rPr>
          <w:sz w:val="20"/>
          <w:szCs w:val="20"/>
        </w:rPr>
        <w:t>.</w:t>
      </w:r>
    </w:p>
    <w:p w:rsidR="00727D50" w:rsidRDefault="009222BC">
      <w:pPr>
        <w:spacing w:line="240" w:lineRule="auto"/>
        <w:ind w:left="2835"/>
        <w:jc w:val="both"/>
        <w:rPr>
          <w:sz w:val="20"/>
          <w:szCs w:val="20"/>
        </w:rPr>
      </w:pPr>
      <w:r>
        <w:rPr>
          <w:b/>
          <w:sz w:val="20"/>
          <w:szCs w:val="20"/>
        </w:rPr>
        <w:t>Keywords:</w:t>
      </w:r>
      <w:r>
        <w:rPr>
          <w:sz w:val="20"/>
          <w:szCs w:val="20"/>
        </w:rPr>
        <w:t xml:space="preserve"> </w:t>
      </w:r>
      <w:proofErr w:type="spellStart"/>
      <w:r>
        <w:rPr>
          <w:sz w:val="20"/>
          <w:szCs w:val="20"/>
        </w:rPr>
        <w:t>Affirmative</w:t>
      </w:r>
      <w:proofErr w:type="spellEnd"/>
      <w:r>
        <w:rPr>
          <w:sz w:val="20"/>
          <w:szCs w:val="20"/>
        </w:rPr>
        <w:t xml:space="preserve"> </w:t>
      </w:r>
      <w:proofErr w:type="spellStart"/>
      <w:r>
        <w:rPr>
          <w:sz w:val="20"/>
          <w:szCs w:val="20"/>
        </w:rPr>
        <w:t>actions</w:t>
      </w:r>
      <w:proofErr w:type="spellEnd"/>
      <w:r>
        <w:rPr>
          <w:sz w:val="20"/>
          <w:szCs w:val="20"/>
        </w:rPr>
        <w:t xml:space="preserve">; </w:t>
      </w:r>
      <w:proofErr w:type="spellStart"/>
      <w:r>
        <w:rPr>
          <w:sz w:val="20"/>
          <w:szCs w:val="20"/>
        </w:rPr>
        <w:t>Student</w:t>
      </w:r>
      <w:proofErr w:type="spellEnd"/>
      <w:r>
        <w:rPr>
          <w:sz w:val="20"/>
          <w:szCs w:val="20"/>
        </w:rPr>
        <w:t xml:space="preserve"> </w:t>
      </w:r>
      <w:proofErr w:type="spellStart"/>
      <w:r>
        <w:rPr>
          <w:sz w:val="20"/>
          <w:szCs w:val="20"/>
        </w:rPr>
        <w:t>retention</w:t>
      </w:r>
      <w:proofErr w:type="spellEnd"/>
      <w:r>
        <w:rPr>
          <w:sz w:val="20"/>
          <w:szCs w:val="20"/>
        </w:rPr>
        <w:t>; UNILAB.</w:t>
      </w:r>
    </w:p>
    <w:p w:rsidR="00727D50" w:rsidRDefault="00727D50">
      <w:pPr>
        <w:spacing w:line="360" w:lineRule="auto"/>
        <w:jc w:val="both"/>
        <w:rPr>
          <w:sz w:val="24"/>
          <w:szCs w:val="24"/>
        </w:rPr>
      </w:pPr>
    </w:p>
    <w:p w:rsidR="00727D50" w:rsidRDefault="00727D50">
      <w:pPr>
        <w:spacing w:line="360" w:lineRule="auto"/>
        <w:jc w:val="both"/>
        <w:rPr>
          <w:sz w:val="24"/>
          <w:szCs w:val="24"/>
        </w:rPr>
      </w:pPr>
    </w:p>
    <w:p w:rsidR="00727D50" w:rsidRDefault="00727D50">
      <w:pPr>
        <w:spacing w:line="360" w:lineRule="auto"/>
        <w:jc w:val="both"/>
        <w:rPr>
          <w:sz w:val="24"/>
          <w:szCs w:val="24"/>
        </w:rPr>
      </w:pPr>
    </w:p>
    <w:p w:rsidR="00727D50" w:rsidRDefault="009222BC">
      <w:pPr>
        <w:spacing w:after="200" w:line="360" w:lineRule="auto"/>
        <w:rPr>
          <w:b/>
          <w:sz w:val="24"/>
          <w:szCs w:val="24"/>
        </w:rPr>
      </w:pPr>
      <w:r>
        <w:rPr>
          <w:b/>
          <w:sz w:val="24"/>
          <w:szCs w:val="24"/>
        </w:rPr>
        <w:t>1</w:t>
      </w:r>
      <w:r>
        <w:rPr>
          <w:b/>
          <w:sz w:val="24"/>
          <w:szCs w:val="24"/>
        </w:rPr>
        <w:tab/>
        <w:t>INTRODUÇÃO</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A partir de 2003, com os governos Lula e Dilma, o ensino superior brasileiro passou por um processo de ampliação e democratização impulsionado por políticas públicas como o REUNI e o Projeto Expandir. Programas como PROUNI, FIES, UAB e SISU foram fundamentais para aumentar o acesso de estudantes de classes populares ao ensino superior. No entanto, estudos apontam que o ingresso, por si só, não assegura a permanência nem a equidade, o que exigiu a reformulação da universidade em seus objetivos e práticas, para atender à sua função social de enfrentamento às desigualdades históricas.</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Nesse contexto, as políticas afirmativas ganham centralidade, especialmente como resposta à Conferência de Durban (2001) e à pressão dos movimentos sociais, em especial o movimento negro, por reparação das desigualdades raciais. Essas políticas visam corrigir distorções históricas e promover a igualdade de oportunidades na educação superior. A criação da UNILAB, em 2010, simboliza esse compromisso, ao articular formação acadêmica com integração entre Brasil e países da CPLP, especialmente africanos, promovendo uma educação voltada à diversidade, ao pluralismo e à cooperação internacional.</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Apesar dos avanços, as políticas de permanência estudantil enfrentam sérios desafios devido aos cortes orçamentários nas universidades públicas. A escassez de recursos compromete bolsas, alimentação e apoio pedagógico, afetando principalmente estudantes em situação de vulnerabilidade. Isso fragiliza a afiliação estudantil e a permanência qualificada. A continuidade dessas políticas depende de financiamento estável.</w:t>
      </w:r>
    </w:p>
    <w:p w:rsidR="00727D50" w:rsidRDefault="009222BC">
      <w:pPr>
        <w:pBdr>
          <w:top w:val="nil"/>
          <w:left w:val="nil"/>
          <w:bottom w:val="nil"/>
          <w:right w:val="nil"/>
          <w:between w:val="nil"/>
        </w:pBdr>
        <w:spacing w:after="200" w:line="360" w:lineRule="auto"/>
        <w:ind w:firstLine="709"/>
        <w:jc w:val="both"/>
        <w:rPr>
          <w:sz w:val="24"/>
          <w:szCs w:val="24"/>
        </w:rPr>
      </w:pPr>
      <w:r>
        <w:rPr>
          <w:sz w:val="24"/>
          <w:szCs w:val="24"/>
        </w:rPr>
        <w:t xml:space="preserve">Nesse cenário, o presente artigo propõe-se a analisar as políticas afirmativas e os mecanismos de permanência estudantil na UNILAB, com foco nas dimensões material e simbólica da permanência. A análise se concentra nas Resoluções </w:t>
      </w:r>
      <w:r>
        <w:rPr>
          <w:sz w:val="24"/>
          <w:szCs w:val="24"/>
        </w:rPr>
        <w:lastRenderedPageBreak/>
        <w:t xml:space="preserve">CONSEPE nº 42/2019 e CONSUNI nº 40/2021, que regulamentam o ingresso e a permanência de estudantes da CPLP e ações afirmativas. Adota-se uma abordagem qualitativa e documental, conforme </w:t>
      </w:r>
      <w:proofErr w:type="spellStart"/>
      <w:r>
        <w:rPr>
          <w:sz w:val="24"/>
          <w:szCs w:val="24"/>
        </w:rPr>
        <w:t>Minayo</w:t>
      </w:r>
      <w:proofErr w:type="spellEnd"/>
      <w:r>
        <w:rPr>
          <w:sz w:val="24"/>
          <w:szCs w:val="24"/>
        </w:rPr>
        <w:t xml:space="preserve"> (1995) e </w:t>
      </w:r>
      <w:proofErr w:type="spellStart"/>
      <w:r>
        <w:rPr>
          <w:sz w:val="24"/>
          <w:szCs w:val="24"/>
        </w:rPr>
        <w:t>Cellard</w:t>
      </w:r>
      <w:proofErr w:type="spellEnd"/>
      <w:r>
        <w:rPr>
          <w:sz w:val="24"/>
          <w:szCs w:val="24"/>
        </w:rPr>
        <w:t xml:space="preserve"> (2008), voltada à compreensão dos significados e impactos dessas políticas no cotidiano acadêmico da UNILAB.</w:t>
      </w:r>
    </w:p>
    <w:p w:rsidR="00727D50" w:rsidRDefault="009222BC">
      <w:pPr>
        <w:pBdr>
          <w:top w:val="nil"/>
          <w:left w:val="nil"/>
          <w:bottom w:val="nil"/>
          <w:right w:val="nil"/>
          <w:between w:val="nil"/>
        </w:pBdr>
        <w:spacing w:line="240" w:lineRule="auto"/>
        <w:jc w:val="both"/>
        <w:rPr>
          <w:b/>
          <w:color w:val="000000"/>
          <w:sz w:val="24"/>
          <w:szCs w:val="24"/>
        </w:rPr>
      </w:pPr>
      <w:r>
        <w:rPr>
          <w:b/>
          <w:sz w:val="24"/>
          <w:szCs w:val="24"/>
        </w:rPr>
        <w:t>2</w:t>
      </w:r>
      <w:r>
        <w:rPr>
          <w:b/>
          <w:sz w:val="24"/>
          <w:szCs w:val="24"/>
        </w:rPr>
        <w:tab/>
      </w:r>
      <w:r>
        <w:rPr>
          <w:b/>
          <w:color w:val="000000"/>
          <w:sz w:val="24"/>
          <w:szCs w:val="24"/>
        </w:rPr>
        <w:t xml:space="preserve">O QUE A </w:t>
      </w:r>
      <w:r>
        <w:rPr>
          <w:b/>
          <w:sz w:val="24"/>
          <w:szCs w:val="24"/>
        </w:rPr>
        <w:t>UNILAB</w:t>
      </w:r>
      <w:r>
        <w:rPr>
          <w:b/>
          <w:color w:val="000000"/>
          <w:sz w:val="24"/>
          <w:szCs w:val="24"/>
        </w:rPr>
        <w:t xml:space="preserve"> ENTENDE POR AÇÕES AFIRMATIVAS? </w:t>
      </w:r>
    </w:p>
    <w:p w:rsidR="00727D50" w:rsidRDefault="00727D50">
      <w:pPr>
        <w:pBdr>
          <w:top w:val="nil"/>
          <w:left w:val="nil"/>
          <w:bottom w:val="nil"/>
          <w:right w:val="nil"/>
          <w:between w:val="nil"/>
        </w:pBdr>
        <w:spacing w:after="200" w:line="240" w:lineRule="auto"/>
        <w:rPr>
          <w:color w:val="000000"/>
          <w:sz w:val="24"/>
          <w:szCs w:val="24"/>
        </w:rPr>
      </w:pPr>
    </w:p>
    <w:p w:rsidR="00727D50" w:rsidRDefault="009222BC">
      <w:pPr>
        <w:pBdr>
          <w:top w:val="nil"/>
          <w:left w:val="nil"/>
          <w:bottom w:val="nil"/>
          <w:right w:val="nil"/>
          <w:between w:val="nil"/>
        </w:pBdr>
        <w:spacing w:line="360" w:lineRule="auto"/>
        <w:ind w:firstLine="709"/>
        <w:jc w:val="both"/>
        <w:rPr>
          <w:sz w:val="24"/>
          <w:szCs w:val="24"/>
        </w:rPr>
      </w:pPr>
      <w:r>
        <w:rPr>
          <w:sz w:val="24"/>
          <w:szCs w:val="24"/>
        </w:rPr>
        <w:t xml:space="preserve">Segundo o site oficial da UNILAB, a política afirmativa é definida como um conjunto de ações institucionais no ensino, pesquisa e extensão voltadas ao ingresso e permanência de grupos socialmente </w:t>
      </w:r>
      <w:proofErr w:type="spellStart"/>
      <w:r>
        <w:rPr>
          <w:sz w:val="24"/>
          <w:szCs w:val="24"/>
        </w:rPr>
        <w:t>vulnerabilizados</w:t>
      </w:r>
      <w:proofErr w:type="spellEnd"/>
      <w:r>
        <w:rPr>
          <w:sz w:val="24"/>
          <w:szCs w:val="24"/>
        </w:rPr>
        <w:t>, como indígenas, negros, quilombolas, ciganos, povos tradicionais, refugiados, pessoas com deficiência e de baixa renda. Criada com foco na reparação histórica do racismo, a UNILAB também desenvolve políticas específicas para estudantes internacionais de países africanos de língua portuguesa, promovendo a integração e cooperação Sul-Sul.</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 xml:space="preserve">Segundo Machado et al. (2023), a UNILAB reafirma seu compromisso com os países da CPLP por meio de um intercâmbio acadêmico e solidário que promove a interculturalidade, cidadania e democracia. Sua presença em cidades do interior do Ceará amplia o acesso ao ensino superior, mas enfrenta desafios estruturais e orçamentários que fragilizam a infraestrutura e comprometem a efetividade das ações afirmativas e da cooperação Sul-Sul. </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 xml:space="preserve">Para tanto, possui 2 (duas) importantes Resoluções que </w:t>
      </w:r>
      <w:r>
        <w:rPr>
          <w:color w:val="000000"/>
          <w:sz w:val="24"/>
          <w:szCs w:val="24"/>
        </w:rPr>
        <w:t xml:space="preserve">tratam da implementação de políticas de ação afirmativa e de inclusão social na </w:t>
      </w:r>
      <w:r>
        <w:rPr>
          <w:sz w:val="24"/>
          <w:szCs w:val="24"/>
        </w:rPr>
        <w:t>I</w:t>
      </w:r>
      <w:r>
        <w:rPr>
          <w:color w:val="000000"/>
          <w:sz w:val="24"/>
          <w:szCs w:val="24"/>
        </w:rPr>
        <w:t>nstituição, Resolução</w:t>
      </w:r>
      <w:r>
        <w:rPr>
          <w:sz w:val="24"/>
          <w:szCs w:val="24"/>
        </w:rPr>
        <w:t xml:space="preserve"> </w:t>
      </w:r>
      <w:r>
        <w:rPr>
          <w:color w:val="000000"/>
          <w:sz w:val="24"/>
          <w:szCs w:val="24"/>
        </w:rPr>
        <w:t>CONSUNI/UNI</w:t>
      </w:r>
      <w:r>
        <w:rPr>
          <w:sz w:val="24"/>
          <w:szCs w:val="24"/>
        </w:rPr>
        <w:t>LAB Nº 40/2021 e CONSEPE Nº 42/2019</w:t>
      </w:r>
      <w:r>
        <w:rPr>
          <w:color w:val="000000"/>
          <w:sz w:val="24"/>
          <w:szCs w:val="24"/>
        </w:rPr>
        <w:t xml:space="preserve">, visando corrigir desigualdades históricas e promover a diversidade dentro do ambiente acadêmico. Dessa forma iremos analisar cada uma das resoluções para compreender </w:t>
      </w:r>
      <w:r w:rsidR="00004B1D">
        <w:rPr>
          <w:color w:val="000000"/>
          <w:sz w:val="24"/>
          <w:szCs w:val="24"/>
        </w:rPr>
        <w:t>as suas especificidades</w:t>
      </w:r>
      <w:r>
        <w:rPr>
          <w:color w:val="000000"/>
          <w:sz w:val="24"/>
          <w:szCs w:val="24"/>
        </w:rPr>
        <w:t xml:space="preserve"> </w:t>
      </w:r>
      <w:r>
        <w:rPr>
          <w:sz w:val="24"/>
          <w:szCs w:val="24"/>
        </w:rPr>
        <w:t>a seguir.</w:t>
      </w:r>
    </w:p>
    <w:p w:rsidR="00727D50" w:rsidRDefault="009222BC">
      <w:pPr>
        <w:pBdr>
          <w:top w:val="nil"/>
          <w:left w:val="nil"/>
          <w:bottom w:val="nil"/>
          <w:right w:val="nil"/>
          <w:between w:val="nil"/>
        </w:pBdr>
        <w:spacing w:line="360" w:lineRule="auto"/>
        <w:ind w:firstLine="709"/>
        <w:jc w:val="both"/>
        <w:rPr>
          <w:color w:val="000000"/>
          <w:sz w:val="24"/>
          <w:szCs w:val="24"/>
        </w:rPr>
      </w:pPr>
      <w:r>
        <w:rPr>
          <w:color w:val="000000"/>
          <w:sz w:val="24"/>
          <w:szCs w:val="24"/>
        </w:rPr>
        <w:lastRenderedPageBreak/>
        <w:t xml:space="preserve">Na </w:t>
      </w:r>
      <w:r>
        <w:rPr>
          <w:sz w:val="24"/>
          <w:szCs w:val="24"/>
        </w:rPr>
        <w:t>R</w:t>
      </w:r>
      <w:r>
        <w:rPr>
          <w:color w:val="000000"/>
          <w:sz w:val="24"/>
          <w:szCs w:val="24"/>
        </w:rPr>
        <w:t xml:space="preserve">esolução Nº 42/2019 fica estabelecido como dar-se-á o processo seletivo para alunos estrangeiros advindos da Comunidade dos Países de Língua Portuguesa-CPLP. Tendo por objetivos: </w:t>
      </w:r>
    </w:p>
    <w:p w:rsidR="00727D50" w:rsidRDefault="009222BC">
      <w:pPr>
        <w:pBdr>
          <w:top w:val="nil"/>
          <w:left w:val="nil"/>
          <w:bottom w:val="nil"/>
          <w:right w:val="nil"/>
          <w:between w:val="nil"/>
        </w:pBdr>
        <w:spacing w:line="240" w:lineRule="auto"/>
        <w:ind w:left="2268" w:right="113"/>
        <w:jc w:val="both"/>
        <w:rPr>
          <w:color w:val="000000"/>
          <w:sz w:val="20"/>
          <w:szCs w:val="20"/>
        </w:rPr>
      </w:pPr>
      <w:r>
        <w:rPr>
          <w:color w:val="000000"/>
          <w:sz w:val="20"/>
          <w:szCs w:val="20"/>
        </w:rPr>
        <w:t>“I – Promover a integração internacional através da cooperação técnico-</w:t>
      </w:r>
      <w:proofErr w:type="spellStart"/>
      <w:r>
        <w:rPr>
          <w:color w:val="000000"/>
          <w:sz w:val="20"/>
          <w:szCs w:val="20"/>
        </w:rPr>
        <w:t>cienfica</w:t>
      </w:r>
      <w:proofErr w:type="spellEnd"/>
      <w:r>
        <w:rPr>
          <w:color w:val="000000"/>
          <w:sz w:val="20"/>
          <w:szCs w:val="20"/>
        </w:rPr>
        <w:t xml:space="preserve"> na forma do art. 2º da Lei nº 12.289/2010; </w:t>
      </w:r>
    </w:p>
    <w:p w:rsidR="00727D50" w:rsidRDefault="009222BC">
      <w:pPr>
        <w:pBdr>
          <w:top w:val="nil"/>
          <w:left w:val="nil"/>
          <w:bottom w:val="nil"/>
          <w:right w:val="nil"/>
          <w:between w:val="nil"/>
        </w:pBdr>
        <w:spacing w:line="240" w:lineRule="auto"/>
        <w:ind w:left="2268" w:right="113"/>
        <w:jc w:val="both"/>
        <w:rPr>
          <w:color w:val="000000"/>
          <w:sz w:val="20"/>
          <w:szCs w:val="20"/>
        </w:rPr>
      </w:pPr>
      <w:r>
        <w:rPr>
          <w:color w:val="000000"/>
          <w:sz w:val="20"/>
          <w:szCs w:val="20"/>
        </w:rPr>
        <w:t xml:space="preserve">II - Prover o ingresso de estudantes de nacionalidades africanas e do Timor-Leste, observando o art. 13 da Lei nº 12.289/2010; </w:t>
      </w:r>
    </w:p>
    <w:p w:rsidR="00727D50" w:rsidRDefault="009222BC">
      <w:pPr>
        <w:pBdr>
          <w:top w:val="nil"/>
          <w:left w:val="nil"/>
          <w:bottom w:val="nil"/>
          <w:right w:val="nil"/>
          <w:between w:val="nil"/>
        </w:pBdr>
        <w:spacing w:line="240" w:lineRule="auto"/>
        <w:ind w:left="2268" w:right="113"/>
        <w:jc w:val="both"/>
        <w:rPr>
          <w:color w:val="000000"/>
          <w:sz w:val="20"/>
          <w:szCs w:val="20"/>
        </w:rPr>
      </w:pPr>
      <w:r>
        <w:rPr>
          <w:color w:val="000000"/>
          <w:sz w:val="20"/>
          <w:szCs w:val="20"/>
        </w:rPr>
        <w:t xml:space="preserve">III - Ocupar até 50% das vagas disponíveis para ingressantes, anualmente, nos cursos de graduação da </w:t>
      </w:r>
      <w:r>
        <w:rPr>
          <w:sz w:val="20"/>
          <w:szCs w:val="20"/>
        </w:rPr>
        <w:t>UNILAB</w:t>
      </w:r>
      <w:r>
        <w:rPr>
          <w:color w:val="000000"/>
          <w:sz w:val="20"/>
          <w:szCs w:val="20"/>
        </w:rPr>
        <w:t xml:space="preserve"> com estudantes de nacionalidades africanas e do Timor-Leste" (Nº 42/2019, pág.02)</w:t>
      </w:r>
    </w:p>
    <w:p w:rsidR="00727D50" w:rsidRDefault="00727D50">
      <w:pPr>
        <w:pBdr>
          <w:top w:val="nil"/>
          <w:left w:val="nil"/>
          <w:bottom w:val="nil"/>
          <w:right w:val="nil"/>
          <w:between w:val="nil"/>
        </w:pBdr>
        <w:spacing w:line="240" w:lineRule="auto"/>
        <w:ind w:left="2268" w:right="113"/>
        <w:jc w:val="both"/>
        <w:rPr>
          <w:color w:val="000000"/>
          <w:sz w:val="24"/>
          <w:szCs w:val="24"/>
        </w:rPr>
      </w:pPr>
    </w:p>
    <w:p w:rsidR="00727D50" w:rsidRDefault="009222BC">
      <w:pPr>
        <w:spacing w:line="360" w:lineRule="auto"/>
        <w:ind w:firstLine="709"/>
        <w:jc w:val="both"/>
        <w:rPr>
          <w:sz w:val="24"/>
          <w:szCs w:val="24"/>
        </w:rPr>
      </w:pPr>
      <w:r>
        <w:rPr>
          <w:sz w:val="24"/>
          <w:szCs w:val="24"/>
        </w:rPr>
        <w:t xml:space="preserve">Além de regulamentar as etapas do processo seletivo, a referida resolução detalha os trâmites burocráticos até seu desfecho, culminando em aspectos que interessam diretamente a esta análise: as ações afirmativas e a política de permanência estudantil. No art. 19, p. 5, consta que: “Mediante a existência de disponibilidade orçamentária, o estrangeiro ingressante, regularmente matriculado, poderá pleitear auxílio estudantil a partir de inscrição e seleção disciplinada por edital da </w:t>
      </w:r>
      <w:proofErr w:type="spellStart"/>
      <w:r>
        <w:rPr>
          <w:sz w:val="24"/>
          <w:szCs w:val="24"/>
        </w:rPr>
        <w:t>Pró-Reitoria</w:t>
      </w:r>
      <w:proofErr w:type="spellEnd"/>
      <w:r>
        <w:rPr>
          <w:sz w:val="24"/>
          <w:szCs w:val="24"/>
        </w:rPr>
        <w:t xml:space="preserve"> de Políticas Afirmativas e Estudantis - PROPAE”. Nesta direção, o cenário levanta uma preocupação crítica: caso não haja orçamento disponível, uma realidade cada vez mais presente no cenário do ensino superior brasileiro, a permanência desses estudantes estaria seriamente comprometida.</w:t>
      </w:r>
    </w:p>
    <w:p w:rsidR="00727D50" w:rsidRDefault="009222BC">
      <w:pPr>
        <w:spacing w:line="360" w:lineRule="auto"/>
        <w:ind w:firstLine="709"/>
        <w:jc w:val="both"/>
        <w:rPr>
          <w:sz w:val="24"/>
          <w:szCs w:val="24"/>
        </w:rPr>
      </w:pPr>
      <w:r>
        <w:rPr>
          <w:sz w:val="24"/>
          <w:szCs w:val="24"/>
        </w:rPr>
        <w:t xml:space="preserve">Já a resolução CONSUNI nº 40/2021 em seu artigo 3, página 02, nos apresenta que a percepção da UNILAB no que tange às ações afirmativas onde as “(...) consideradas como um conjunto de medidas e ações, específicas e especiais, necessárias para contribuir com o respeito à dignidade, à afirmação da identidade e da cultura de grupos socialmente </w:t>
      </w:r>
      <w:proofErr w:type="spellStart"/>
      <w:r>
        <w:rPr>
          <w:sz w:val="24"/>
          <w:szCs w:val="24"/>
        </w:rPr>
        <w:t>vulnerabilizados</w:t>
      </w:r>
      <w:proofErr w:type="spellEnd"/>
      <w:r>
        <w:rPr>
          <w:sz w:val="24"/>
          <w:szCs w:val="24"/>
        </w:rPr>
        <w:t>.” Nesse contexto, o cenário de cortes e/ou redução de recursos destinados às políticas afirmativas tem comprometido tais princípios, o que coloca em risco a dignidade e a permanência desses alunos. Isso, no entanto, evidencia que a universidade admite e compreende, no plano teórico de suas Resoluções, a emergência e a importância das ações afirmativas para a permanência estudantil.</w:t>
      </w:r>
    </w:p>
    <w:p w:rsidR="00727D50" w:rsidRDefault="009222BC">
      <w:pPr>
        <w:spacing w:line="360" w:lineRule="auto"/>
        <w:ind w:firstLine="720"/>
        <w:jc w:val="both"/>
        <w:rPr>
          <w:sz w:val="24"/>
          <w:szCs w:val="24"/>
        </w:rPr>
      </w:pPr>
      <w:r>
        <w:rPr>
          <w:sz w:val="24"/>
          <w:szCs w:val="24"/>
        </w:rPr>
        <w:lastRenderedPageBreak/>
        <w:t xml:space="preserve">A Resolução nº 40 estabelece diferentes tipos de cotas nas ações afirmativas, incluindo cotas étnico-raciais para estudantes autodeclarados negros, pardos, indígenas, quilombolas, ciganos, povos e comunidades tradicionais, refugiados, pessoas com deficiência, pessoas com identidades </w:t>
      </w:r>
      <w:proofErr w:type="spellStart"/>
      <w:r>
        <w:rPr>
          <w:sz w:val="24"/>
          <w:szCs w:val="24"/>
        </w:rPr>
        <w:t>trans</w:t>
      </w:r>
      <w:proofErr w:type="spellEnd"/>
      <w:r>
        <w:rPr>
          <w:sz w:val="24"/>
          <w:szCs w:val="24"/>
        </w:rPr>
        <w:t xml:space="preserve"> e pessoas em situação de privação de liberdade ou egressas do sistema prisional, visando promover a equidade racial; além disso, detalha os mecanismos de inclusão para pessoas com deficiência nos processos seletivos e prevê ações de permanência estudantil, como programas de apoio, bolsas e assistência, para assegurar que estudantes desses grupos minoritários possam concluir seus cursos universitários.</w:t>
      </w:r>
    </w:p>
    <w:p w:rsidR="00727D50" w:rsidRDefault="009222BC">
      <w:pPr>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No Art. 5º da </w:t>
      </w:r>
      <w:r>
        <w:rPr>
          <w:sz w:val="24"/>
          <w:szCs w:val="24"/>
        </w:rPr>
        <w:t>R</w:t>
      </w:r>
      <w:r>
        <w:rPr>
          <w:color w:val="000000"/>
          <w:sz w:val="24"/>
          <w:szCs w:val="24"/>
        </w:rPr>
        <w:t xml:space="preserve">esolução 40, nas páginas 03 e 04, </w:t>
      </w:r>
      <w:r>
        <w:rPr>
          <w:sz w:val="24"/>
          <w:szCs w:val="24"/>
        </w:rPr>
        <w:t>são</w:t>
      </w:r>
      <w:r>
        <w:rPr>
          <w:color w:val="000000"/>
          <w:sz w:val="24"/>
          <w:szCs w:val="24"/>
        </w:rPr>
        <w:t xml:space="preserve"> </w:t>
      </w:r>
      <w:r>
        <w:rPr>
          <w:sz w:val="24"/>
          <w:szCs w:val="24"/>
        </w:rPr>
        <w:t xml:space="preserve">descritas </w:t>
      </w:r>
      <w:r>
        <w:rPr>
          <w:color w:val="000000"/>
          <w:sz w:val="24"/>
          <w:szCs w:val="24"/>
        </w:rPr>
        <w:t>as finalidades do Programa de Ações Afirmativas</w:t>
      </w:r>
      <w:r>
        <w:rPr>
          <w:sz w:val="24"/>
          <w:szCs w:val="24"/>
        </w:rPr>
        <w:t>, as quais sejam</w:t>
      </w:r>
      <w:r>
        <w:rPr>
          <w:color w:val="000000"/>
          <w:sz w:val="24"/>
          <w:szCs w:val="24"/>
        </w:rPr>
        <w:t>:</w:t>
      </w:r>
    </w:p>
    <w:p w:rsidR="00727D50" w:rsidRDefault="009222BC">
      <w:pPr>
        <w:pBdr>
          <w:top w:val="nil"/>
          <w:left w:val="nil"/>
          <w:bottom w:val="nil"/>
          <w:right w:val="nil"/>
          <w:between w:val="nil"/>
        </w:pBdr>
        <w:spacing w:line="240" w:lineRule="auto"/>
        <w:ind w:right="113"/>
        <w:jc w:val="both"/>
        <w:rPr>
          <w:color w:val="000000"/>
          <w:sz w:val="24"/>
          <w:szCs w:val="24"/>
        </w:rPr>
      </w:pPr>
      <w:r>
        <w:rPr>
          <w:color w:val="000000"/>
          <w:sz w:val="24"/>
          <w:szCs w:val="24"/>
        </w:rPr>
        <w:t xml:space="preserve"> </w:t>
      </w:r>
    </w:p>
    <w:p w:rsidR="00727D50" w:rsidRDefault="009222BC">
      <w:pPr>
        <w:pBdr>
          <w:top w:val="nil"/>
          <w:left w:val="nil"/>
          <w:bottom w:val="nil"/>
          <w:right w:val="nil"/>
          <w:between w:val="nil"/>
        </w:pBdr>
        <w:spacing w:line="240" w:lineRule="auto"/>
        <w:ind w:left="2268" w:right="170"/>
        <w:jc w:val="both"/>
        <w:rPr>
          <w:color w:val="000000"/>
          <w:sz w:val="20"/>
          <w:szCs w:val="20"/>
        </w:rPr>
      </w:pPr>
      <w:r>
        <w:rPr>
          <w:color w:val="000000"/>
          <w:sz w:val="20"/>
          <w:szCs w:val="20"/>
        </w:rPr>
        <w:t xml:space="preserve">I - </w:t>
      </w:r>
      <w:proofErr w:type="gramStart"/>
      <w:r>
        <w:rPr>
          <w:color w:val="000000"/>
          <w:sz w:val="20"/>
          <w:szCs w:val="20"/>
        </w:rPr>
        <w:t>ampliar</w:t>
      </w:r>
      <w:proofErr w:type="gramEnd"/>
      <w:r>
        <w:rPr>
          <w:color w:val="000000"/>
          <w:sz w:val="20"/>
          <w:szCs w:val="20"/>
        </w:rPr>
        <w:t xml:space="preserve"> o acesso de pessoas pertencentes a grupos socialmente marginalizados aos Cursos de Graduação e Pós-Graduação da </w:t>
      </w:r>
      <w:r>
        <w:rPr>
          <w:sz w:val="20"/>
          <w:szCs w:val="20"/>
        </w:rPr>
        <w:t>UNILAB</w:t>
      </w:r>
      <w:r>
        <w:rPr>
          <w:color w:val="000000"/>
          <w:sz w:val="20"/>
          <w:szCs w:val="20"/>
        </w:rPr>
        <w:t xml:space="preserve">; II - fortalecer ações para a permanência na universidade de pessoas pertencentes a grupos socialmente marginalizados e que são economicamente desfavorecidos; </w:t>
      </w:r>
    </w:p>
    <w:p w:rsidR="00727D50" w:rsidRDefault="009222BC">
      <w:pPr>
        <w:pBdr>
          <w:top w:val="nil"/>
          <w:left w:val="nil"/>
          <w:bottom w:val="nil"/>
          <w:right w:val="nil"/>
          <w:between w:val="nil"/>
        </w:pBdr>
        <w:spacing w:line="240" w:lineRule="auto"/>
        <w:ind w:left="2268" w:right="170"/>
        <w:jc w:val="both"/>
        <w:rPr>
          <w:color w:val="000000"/>
          <w:sz w:val="20"/>
          <w:szCs w:val="20"/>
        </w:rPr>
      </w:pPr>
      <w:r>
        <w:rPr>
          <w:color w:val="000000"/>
          <w:sz w:val="20"/>
          <w:szCs w:val="20"/>
        </w:rPr>
        <w:t xml:space="preserve">III - oferecer ações e orientações pedagógicas para o desenvolvimento e aprimoramento acadêmico; </w:t>
      </w:r>
    </w:p>
    <w:p w:rsidR="00727D50" w:rsidRDefault="009222BC">
      <w:pPr>
        <w:pBdr>
          <w:top w:val="nil"/>
          <w:left w:val="nil"/>
          <w:bottom w:val="nil"/>
          <w:right w:val="nil"/>
          <w:between w:val="nil"/>
        </w:pBdr>
        <w:spacing w:line="240" w:lineRule="auto"/>
        <w:ind w:left="2268" w:right="170"/>
        <w:jc w:val="both"/>
        <w:rPr>
          <w:color w:val="000000"/>
          <w:sz w:val="20"/>
          <w:szCs w:val="20"/>
        </w:rPr>
      </w:pPr>
      <w:r>
        <w:rPr>
          <w:color w:val="000000"/>
          <w:sz w:val="20"/>
          <w:szCs w:val="20"/>
        </w:rPr>
        <w:t xml:space="preserve">IV - </w:t>
      </w:r>
      <w:proofErr w:type="gramStart"/>
      <w:r>
        <w:rPr>
          <w:color w:val="000000"/>
          <w:sz w:val="20"/>
          <w:szCs w:val="20"/>
        </w:rPr>
        <w:t>contribuir</w:t>
      </w:r>
      <w:proofErr w:type="gramEnd"/>
      <w:r>
        <w:rPr>
          <w:color w:val="000000"/>
          <w:sz w:val="20"/>
          <w:szCs w:val="20"/>
        </w:rPr>
        <w:t xml:space="preserve"> para a eliminação das desigualdades e segregações e promover ações, projetos e programas para a educação das relações étnico-raciais e diversidades; </w:t>
      </w:r>
    </w:p>
    <w:p w:rsidR="00727D50" w:rsidRDefault="009222BC">
      <w:pPr>
        <w:pBdr>
          <w:top w:val="nil"/>
          <w:left w:val="nil"/>
          <w:bottom w:val="nil"/>
          <w:right w:val="nil"/>
          <w:between w:val="nil"/>
        </w:pBdr>
        <w:spacing w:line="240" w:lineRule="auto"/>
        <w:ind w:left="2268" w:right="170"/>
        <w:jc w:val="both"/>
        <w:rPr>
          <w:color w:val="000000"/>
          <w:sz w:val="20"/>
          <w:szCs w:val="20"/>
        </w:rPr>
      </w:pPr>
      <w:r>
        <w:rPr>
          <w:color w:val="000000"/>
          <w:sz w:val="20"/>
          <w:szCs w:val="20"/>
        </w:rPr>
        <w:t xml:space="preserve">V - </w:t>
      </w:r>
      <w:proofErr w:type="gramStart"/>
      <w:r>
        <w:rPr>
          <w:color w:val="000000"/>
          <w:sz w:val="20"/>
          <w:szCs w:val="20"/>
        </w:rPr>
        <w:t>promover</w:t>
      </w:r>
      <w:proofErr w:type="gramEnd"/>
      <w:r>
        <w:rPr>
          <w:color w:val="000000"/>
          <w:sz w:val="20"/>
          <w:szCs w:val="20"/>
        </w:rPr>
        <w:t xml:space="preserve"> os direitos humanos em todos os âmbitos da universidade; e </w:t>
      </w:r>
    </w:p>
    <w:p w:rsidR="00727D50" w:rsidRDefault="009222BC">
      <w:pPr>
        <w:spacing w:line="240" w:lineRule="auto"/>
        <w:ind w:left="2268" w:right="170"/>
        <w:jc w:val="both"/>
        <w:rPr>
          <w:sz w:val="20"/>
          <w:szCs w:val="20"/>
        </w:rPr>
      </w:pPr>
      <w:r>
        <w:rPr>
          <w:sz w:val="20"/>
          <w:szCs w:val="20"/>
        </w:rPr>
        <w:t xml:space="preserve">VI - Acompanhar e elaborar, junto à </w:t>
      </w:r>
      <w:proofErr w:type="spellStart"/>
      <w:r>
        <w:rPr>
          <w:sz w:val="20"/>
          <w:szCs w:val="20"/>
        </w:rPr>
        <w:t>Pró-reitoria</w:t>
      </w:r>
      <w:proofErr w:type="spellEnd"/>
      <w:r>
        <w:rPr>
          <w:sz w:val="20"/>
          <w:szCs w:val="20"/>
        </w:rPr>
        <w:t xml:space="preserve"> de Graduação, Direção de Institutos e Coordenação de Cursos, os processos seletivos específicos para as populações atendidas pelo Programa de Ações Afirmativas. </w:t>
      </w:r>
    </w:p>
    <w:p w:rsidR="00727D50" w:rsidRDefault="00727D50">
      <w:pPr>
        <w:spacing w:line="240" w:lineRule="auto"/>
        <w:ind w:right="170"/>
        <w:rPr>
          <w:sz w:val="24"/>
          <w:szCs w:val="24"/>
        </w:rPr>
      </w:pPr>
    </w:p>
    <w:p w:rsidR="00727D50" w:rsidRDefault="009222BC">
      <w:pPr>
        <w:spacing w:line="360" w:lineRule="auto"/>
        <w:ind w:firstLine="709"/>
        <w:jc w:val="both"/>
        <w:rPr>
          <w:sz w:val="24"/>
          <w:szCs w:val="24"/>
        </w:rPr>
      </w:pPr>
      <w:bookmarkStart w:id="0" w:name="_9u3ujz3g33tc" w:colFirst="0" w:colLast="0"/>
      <w:bookmarkEnd w:id="0"/>
      <w:r>
        <w:rPr>
          <w:sz w:val="24"/>
          <w:szCs w:val="24"/>
        </w:rPr>
        <w:t xml:space="preserve">Com isso, a UNILAB oferece programas de apoio ao estudante, como o Programa de Assistência ao Estudante-PAES que conta com a oferta de auxílios moradia, alimentação, transporte, instalação e social com atividades de arte, cultura e esporte. Conta com o Programa Bolsa Permanência do MEC e o Programa de Acompanhamento da Permanência Estudantil (ACAMP) da UNILAB. Contudo, esses recursos ainda são insuficientes uma vez que focam apenas no apoio financeiro, além de que os recursos não suprem todas as demandas dos alunos pois como visto acima, os recursos dependem da disponibilidade orçamentária. </w:t>
      </w:r>
    </w:p>
    <w:p w:rsidR="00727D50" w:rsidRDefault="009222BC">
      <w:pPr>
        <w:spacing w:after="200" w:line="360" w:lineRule="auto"/>
        <w:ind w:firstLine="720"/>
        <w:jc w:val="both"/>
        <w:rPr>
          <w:sz w:val="24"/>
          <w:szCs w:val="24"/>
        </w:rPr>
      </w:pPr>
      <w:r>
        <w:rPr>
          <w:sz w:val="24"/>
          <w:szCs w:val="24"/>
        </w:rPr>
        <w:lastRenderedPageBreak/>
        <w:t>Segundo Souza (2020), os estudantes precisam tanto de apoio material quanto simbólico, sendo este último relacionado ao desenvolvimento de habilidades fundamentais para o êxito na vida acadêmica, como escrita segundo as normas da ABNT, elaboração de resenhas críticas, leitura de textos complexos, uso de ferramentas de pesquisa e apresentação em eventos, competências geralmente não adquiridas no ensino médio. Além da assistência material, projetos de pesquisa, extensão e monitoria também exercem papel importante na integração estudantil, exigindo um olhar atento ao processo de afiliação universitária (</w:t>
      </w:r>
      <w:proofErr w:type="spellStart"/>
      <w:r>
        <w:rPr>
          <w:sz w:val="24"/>
          <w:szCs w:val="24"/>
        </w:rPr>
        <w:t>C</w:t>
      </w:r>
      <w:r w:rsidR="00004B1D">
        <w:rPr>
          <w:sz w:val="24"/>
          <w:szCs w:val="24"/>
        </w:rPr>
        <w:t>oulon</w:t>
      </w:r>
      <w:proofErr w:type="spellEnd"/>
      <w:r>
        <w:rPr>
          <w:sz w:val="24"/>
          <w:szCs w:val="24"/>
        </w:rPr>
        <w:t>, 2008), que corresponde à aprendizagem e adaptação à cultura e às práticas do ambiente acadêmico.</w:t>
      </w:r>
    </w:p>
    <w:p w:rsidR="00727D50" w:rsidRDefault="009222BC">
      <w:pPr>
        <w:spacing w:after="240" w:line="360" w:lineRule="auto"/>
        <w:jc w:val="both"/>
        <w:rPr>
          <w:b/>
          <w:sz w:val="24"/>
          <w:szCs w:val="24"/>
        </w:rPr>
      </w:pPr>
      <w:bookmarkStart w:id="1" w:name="_4l7l3zyi60nq" w:colFirst="0" w:colLast="0"/>
      <w:bookmarkEnd w:id="1"/>
      <w:r>
        <w:rPr>
          <w:b/>
          <w:sz w:val="24"/>
          <w:szCs w:val="24"/>
        </w:rPr>
        <w:t>3   POLÍTICAS AFIRMATIVAS E MECANISMOS DE PERMANÊNCIA NA UNILAB: UM OLHAR SOBRE POLÍTICAS, PROGRAMAS E SETORES</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 xml:space="preserve">A análise das páginas oficiais da UNILAB revela um forte compromisso institucional com a promoção do acesso e da permanência de estudantes historicamente excluídos do ensino superior. A universidade adota uma política de ações afirmativas abrangente, consolidada pela Resolução </w:t>
      </w:r>
      <w:proofErr w:type="spellStart"/>
      <w:r>
        <w:rPr>
          <w:sz w:val="24"/>
          <w:szCs w:val="24"/>
        </w:rPr>
        <w:t>Consuni</w:t>
      </w:r>
      <w:proofErr w:type="spellEnd"/>
      <w:r>
        <w:rPr>
          <w:sz w:val="24"/>
          <w:szCs w:val="24"/>
        </w:rPr>
        <w:t xml:space="preserve"> nº 40/2021, que contempla diversos grupos sociais como indígenas, quilombolas, negros, ciganos, pessoas com deficiência, pessoas </w:t>
      </w:r>
      <w:proofErr w:type="spellStart"/>
      <w:r>
        <w:rPr>
          <w:sz w:val="24"/>
          <w:szCs w:val="24"/>
        </w:rPr>
        <w:t>trans</w:t>
      </w:r>
      <w:proofErr w:type="spellEnd"/>
      <w:r>
        <w:rPr>
          <w:sz w:val="24"/>
          <w:szCs w:val="24"/>
        </w:rPr>
        <w:t>, refugiados e egressos do sistema prisional, reconhecendo suas especificidades culturais, sociais e históricas.</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 xml:space="preserve">A Resolução reconhece identidades coletivas e trajetórias marcadas por exclusão estrutural, com base na </w:t>
      </w:r>
      <w:proofErr w:type="spellStart"/>
      <w:r>
        <w:rPr>
          <w:sz w:val="24"/>
          <w:szCs w:val="24"/>
        </w:rPr>
        <w:t>autodeclaração</w:t>
      </w:r>
      <w:proofErr w:type="spellEnd"/>
      <w:r>
        <w:rPr>
          <w:sz w:val="24"/>
          <w:szCs w:val="24"/>
        </w:rPr>
        <w:t xml:space="preserve"> e pertencimento coletivo, ampliando o conceito de diversidade e inclusão para além dos critérios socioeconômicos. Essa política se diferencia da política nacional (Lei 12.711/2012, atualizada pela Lei 14.723/2023), ao incluir grupos ainda não contemplados em nível federal, como povos tradicionais e pessoas privadas de liberdade.</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 xml:space="preserve">Essa política amplia o conceito de inclusão ao considerar não apenas o ingresso, mas o pertencimento simbólico dos sujeitos no ambiente acadêmico, </w:t>
      </w:r>
      <w:r>
        <w:rPr>
          <w:sz w:val="24"/>
          <w:szCs w:val="24"/>
        </w:rPr>
        <w:lastRenderedPageBreak/>
        <w:t>tratando o ensino superior público como um espaço de justiça social e reparação histórica. No entanto, sua efetividade ainda depende de financiamento adequado, estratégias de permanência e enfrentamento às violências institucionais.</w:t>
      </w:r>
    </w:p>
    <w:p w:rsidR="00727D50" w:rsidRDefault="009222BC">
      <w:pPr>
        <w:pBdr>
          <w:top w:val="nil"/>
          <w:left w:val="nil"/>
          <w:bottom w:val="nil"/>
          <w:right w:val="nil"/>
          <w:between w:val="nil"/>
        </w:pBdr>
        <w:spacing w:line="360" w:lineRule="auto"/>
        <w:ind w:firstLine="709"/>
        <w:jc w:val="both"/>
        <w:rPr>
          <w:sz w:val="24"/>
          <w:szCs w:val="24"/>
        </w:rPr>
      </w:pPr>
      <w:r>
        <w:rPr>
          <w:sz w:val="24"/>
          <w:szCs w:val="24"/>
        </w:rPr>
        <w:t xml:space="preserve">Conforme Gomes (2021), a UNILAB vem adotando princípios </w:t>
      </w:r>
      <w:proofErr w:type="spellStart"/>
      <w:r>
        <w:rPr>
          <w:sz w:val="24"/>
          <w:szCs w:val="24"/>
        </w:rPr>
        <w:t>decoloniais</w:t>
      </w:r>
      <w:proofErr w:type="spellEnd"/>
      <w:r>
        <w:rPr>
          <w:sz w:val="24"/>
          <w:szCs w:val="24"/>
        </w:rPr>
        <w:t xml:space="preserve"> e dialogando com movimentos sociais para institucionalizar suas políticas afirmativas. Ainda que </w:t>
      </w:r>
      <w:proofErr w:type="spellStart"/>
      <w:r>
        <w:rPr>
          <w:sz w:val="24"/>
          <w:szCs w:val="24"/>
        </w:rPr>
        <w:t>existam</w:t>
      </w:r>
      <w:proofErr w:type="spellEnd"/>
      <w:r>
        <w:rPr>
          <w:sz w:val="24"/>
          <w:szCs w:val="24"/>
        </w:rPr>
        <w:t xml:space="preserve"> desafios, como a articulação entre setores administrativos e acadêmicos, a universidade avança por meio de editais e projetos pedagógicos voltados à diversidade, como demonstrado nos programas sistematizados no Quadro 1.</w:t>
      </w:r>
    </w:p>
    <w:p w:rsidR="00727D50" w:rsidRDefault="00004B1D" w:rsidP="00004B1D">
      <w:pPr>
        <w:spacing w:line="360" w:lineRule="auto"/>
        <w:ind w:firstLine="708"/>
      </w:pPr>
      <w:r>
        <w:rPr>
          <w:b/>
        </w:rPr>
        <w:t xml:space="preserve">           </w:t>
      </w:r>
      <w:r w:rsidR="009222BC">
        <w:rPr>
          <w:b/>
        </w:rPr>
        <w:t>Quadro 1</w:t>
      </w:r>
      <w:r w:rsidR="009222BC">
        <w:t>: Programas que viabilizam a permanência estudantil.</w:t>
      </w:r>
    </w:p>
    <w:tbl>
      <w:tblPr>
        <w:tblStyle w:val="a"/>
        <w:tblW w:w="881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5173"/>
      </w:tblGrid>
      <w:tr w:rsidR="00727D50" w:rsidTr="00004B1D">
        <w:tc>
          <w:tcPr>
            <w:tcW w:w="3645" w:type="dxa"/>
          </w:tcPr>
          <w:p w:rsidR="00727D50" w:rsidRDefault="009222BC">
            <w:pPr>
              <w:spacing w:line="240" w:lineRule="auto"/>
              <w:jc w:val="center"/>
              <w:rPr>
                <w:rFonts w:ascii="Arial" w:eastAsia="Arial" w:hAnsi="Arial" w:cs="Arial"/>
                <w:sz w:val="18"/>
                <w:szCs w:val="18"/>
              </w:rPr>
            </w:pPr>
            <w:r>
              <w:rPr>
                <w:rFonts w:ascii="Arial" w:eastAsia="Arial" w:hAnsi="Arial" w:cs="Arial"/>
                <w:sz w:val="18"/>
                <w:szCs w:val="18"/>
              </w:rPr>
              <w:t>PROGRAMA</w:t>
            </w:r>
          </w:p>
        </w:tc>
        <w:tc>
          <w:tcPr>
            <w:tcW w:w="5173" w:type="dxa"/>
          </w:tcPr>
          <w:p w:rsidR="00727D50" w:rsidRDefault="009222BC">
            <w:pPr>
              <w:pBdr>
                <w:top w:val="nil"/>
                <w:left w:val="nil"/>
                <w:bottom w:val="nil"/>
                <w:right w:val="nil"/>
                <w:between w:val="nil"/>
              </w:pBdr>
              <w:spacing w:after="160" w:line="240" w:lineRule="auto"/>
              <w:ind w:left="283"/>
              <w:jc w:val="center"/>
              <w:rPr>
                <w:rFonts w:ascii="Arial" w:eastAsia="Arial" w:hAnsi="Arial" w:cs="Arial"/>
                <w:sz w:val="18"/>
                <w:szCs w:val="18"/>
              </w:rPr>
            </w:pPr>
            <w:r>
              <w:rPr>
                <w:rFonts w:ascii="Arial" w:eastAsia="Arial" w:hAnsi="Arial" w:cs="Arial"/>
                <w:color w:val="000000"/>
                <w:sz w:val="18"/>
                <w:szCs w:val="18"/>
              </w:rPr>
              <w:t>DESCRIÇÃO</w:t>
            </w:r>
          </w:p>
        </w:tc>
      </w:tr>
      <w:tr w:rsidR="00727D50" w:rsidTr="00004B1D">
        <w:tc>
          <w:tcPr>
            <w:tcW w:w="3645"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Programa de Assistência ao Estudante (PAES)</w:t>
            </w:r>
          </w:p>
        </w:tc>
        <w:tc>
          <w:tcPr>
            <w:tcW w:w="5173"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Responsável por conceder auxílios financeiros (moradia, alimentação, transporte, instalação e participação cultural/esportiva), destinados a estudantes em situação de vulnerabilidade socioeconômica.</w:t>
            </w:r>
          </w:p>
          <w:p w:rsidR="00727D50" w:rsidRDefault="00727D50">
            <w:pPr>
              <w:spacing w:line="240" w:lineRule="auto"/>
              <w:jc w:val="both"/>
              <w:rPr>
                <w:rFonts w:ascii="Arial" w:eastAsia="Arial" w:hAnsi="Arial" w:cs="Arial"/>
                <w:sz w:val="18"/>
                <w:szCs w:val="18"/>
              </w:rPr>
            </w:pPr>
          </w:p>
        </w:tc>
      </w:tr>
      <w:tr w:rsidR="00727D50" w:rsidTr="00004B1D">
        <w:tc>
          <w:tcPr>
            <w:tcW w:w="3645"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Programa Bolsa Permanência (PBP/MEC)</w:t>
            </w:r>
          </w:p>
        </w:tc>
        <w:tc>
          <w:tcPr>
            <w:tcW w:w="5173"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Voltado a estudantes indígenas e quilombolas, em articulação com o Ministério da Educação.</w:t>
            </w:r>
          </w:p>
          <w:p w:rsidR="00727D50" w:rsidRDefault="00727D50">
            <w:pPr>
              <w:spacing w:line="240" w:lineRule="auto"/>
              <w:jc w:val="both"/>
              <w:rPr>
                <w:rFonts w:ascii="Arial" w:eastAsia="Arial" w:hAnsi="Arial" w:cs="Arial"/>
                <w:sz w:val="18"/>
                <w:szCs w:val="18"/>
              </w:rPr>
            </w:pPr>
          </w:p>
        </w:tc>
      </w:tr>
      <w:tr w:rsidR="00727D50" w:rsidTr="00004B1D">
        <w:tc>
          <w:tcPr>
            <w:tcW w:w="3645"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Programa de Acompanhamento da Permanência Estudantil (ACAMP)</w:t>
            </w:r>
          </w:p>
        </w:tc>
        <w:tc>
          <w:tcPr>
            <w:tcW w:w="5173"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Em fase de desenvolvimento</w:t>
            </w:r>
          </w:p>
        </w:tc>
      </w:tr>
      <w:tr w:rsidR="00727D50" w:rsidTr="00004B1D">
        <w:tc>
          <w:tcPr>
            <w:tcW w:w="3645"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Programa de Acolhimento e Integração de Estudantes Estrangeiros (PAIE)</w:t>
            </w:r>
          </w:p>
        </w:tc>
        <w:tc>
          <w:tcPr>
            <w:tcW w:w="5173"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Destinado a apoiar a adaptação e integração de estudantes internacionais, especialmente os provenientes dos países lusófonos.</w:t>
            </w:r>
          </w:p>
          <w:p w:rsidR="00727D50" w:rsidRDefault="00727D50">
            <w:pPr>
              <w:spacing w:line="240" w:lineRule="auto"/>
              <w:jc w:val="both"/>
              <w:rPr>
                <w:rFonts w:ascii="Arial" w:eastAsia="Arial" w:hAnsi="Arial" w:cs="Arial"/>
                <w:sz w:val="18"/>
                <w:szCs w:val="18"/>
              </w:rPr>
            </w:pPr>
          </w:p>
        </w:tc>
      </w:tr>
      <w:tr w:rsidR="00727D50" w:rsidTr="00004B1D">
        <w:tc>
          <w:tcPr>
            <w:tcW w:w="3645"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Programas de Monitoria, Pesquisa e Extensão</w:t>
            </w:r>
          </w:p>
        </w:tc>
        <w:tc>
          <w:tcPr>
            <w:tcW w:w="5173"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Além de sua função acadêmica, funcionam como espaços de pertencimento e formação crítica para estudantes</w:t>
            </w:r>
          </w:p>
          <w:p w:rsidR="00727D50" w:rsidRDefault="00727D50">
            <w:pPr>
              <w:spacing w:line="240" w:lineRule="auto"/>
              <w:jc w:val="both"/>
              <w:rPr>
                <w:rFonts w:ascii="Arial" w:eastAsia="Arial" w:hAnsi="Arial" w:cs="Arial"/>
                <w:sz w:val="18"/>
                <w:szCs w:val="18"/>
              </w:rPr>
            </w:pPr>
          </w:p>
        </w:tc>
      </w:tr>
      <w:tr w:rsidR="00727D50" w:rsidTr="00004B1D">
        <w:tc>
          <w:tcPr>
            <w:tcW w:w="3645"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Programa de Ações Afirmativas (PAA)</w:t>
            </w:r>
          </w:p>
        </w:tc>
        <w:tc>
          <w:tcPr>
            <w:tcW w:w="5173"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Institucionaliza a promoção de equidade e diversidade, fortalecendo as políticas de acesso, permanência e combate a todas as formas de discriminação.</w:t>
            </w:r>
          </w:p>
        </w:tc>
      </w:tr>
      <w:tr w:rsidR="00727D50" w:rsidTr="00004B1D">
        <w:tc>
          <w:tcPr>
            <w:tcW w:w="3645" w:type="dxa"/>
          </w:tcPr>
          <w:p w:rsidR="00727D50" w:rsidRDefault="009222BC">
            <w:pPr>
              <w:pStyle w:val="Ttulo2"/>
              <w:keepNext w:val="0"/>
              <w:keepLines w:val="0"/>
              <w:spacing w:after="80" w:line="240" w:lineRule="auto"/>
              <w:jc w:val="both"/>
              <w:outlineLvl w:val="1"/>
              <w:rPr>
                <w:rFonts w:ascii="Arial" w:eastAsia="Arial" w:hAnsi="Arial" w:cs="Arial"/>
                <w:sz w:val="18"/>
                <w:szCs w:val="18"/>
              </w:rPr>
            </w:pPr>
            <w:bookmarkStart w:id="2" w:name="_o7x6hddi3bz" w:colFirst="0" w:colLast="0"/>
            <w:bookmarkEnd w:id="2"/>
            <w:r>
              <w:rPr>
                <w:rFonts w:ascii="Arial" w:eastAsia="Arial" w:hAnsi="Arial" w:cs="Arial"/>
                <w:sz w:val="18"/>
                <w:szCs w:val="18"/>
              </w:rPr>
              <w:t>Programa de Incentivo às Práticas</w:t>
            </w:r>
            <w:r>
              <w:rPr>
                <w:rFonts w:ascii="Arial" w:eastAsia="Arial" w:hAnsi="Arial" w:cs="Arial"/>
                <w:b/>
                <w:sz w:val="18"/>
                <w:szCs w:val="18"/>
              </w:rPr>
              <w:t xml:space="preserve"> </w:t>
            </w:r>
            <w:r>
              <w:rPr>
                <w:rFonts w:ascii="Arial" w:eastAsia="Arial" w:hAnsi="Arial" w:cs="Arial"/>
                <w:sz w:val="18"/>
                <w:szCs w:val="18"/>
              </w:rPr>
              <w:t>Esportiva e de Lazer (PROPEL)</w:t>
            </w:r>
          </w:p>
        </w:tc>
        <w:tc>
          <w:tcPr>
            <w:tcW w:w="5173" w:type="dxa"/>
          </w:tcPr>
          <w:p w:rsidR="00727D50" w:rsidRDefault="009222BC">
            <w:pPr>
              <w:spacing w:line="240" w:lineRule="auto"/>
              <w:jc w:val="both"/>
              <w:rPr>
                <w:rFonts w:ascii="Arial" w:eastAsia="Arial" w:hAnsi="Arial" w:cs="Arial"/>
                <w:sz w:val="18"/>
                <w:szCs w:val="18"/>
              </w:rPr>
            </w:pPr>
            <w:r>
              <w:rPr>
                <w:rFonts w:ascii="Arial" w:eastAsia="Arial" w:hAnsi="Arial" w:cs="Arial"/>
                <w:sz w:val="18"/>
                <w:szCs w:val="18"/>
              </w:rPr>
              <w:t>O Programa destina valores pecuniários em formato de ajuda de custo ou de bolsa, com vistas a custear despesas com atividades que envolvam práticas esportivas recreativas ou profissionais, de lazer ou de promoção de saúde e bem-estar físico.</w:t>
            </w:r>
          </w:p>
        </w:tc>
      </w:tr>
    </w:tbl>
    <w:p w:rsidR="00727D50" w:rsidRDefault="009222BC">
      <w:pPr>
        <w:spacing w:after="120" w:line="360" w:lineRule="auto"/>
        <w:rPr>
          <w:sz w:val="20"/>
          <w:szCs w:val="20"/>
        </w:rPr>
      </w:pPr>
      <w:r>
        <w:rPr>
          <w:sz w:val="20"/>
          <w:szCs w:val="20"/>
        </w:rPr>
        <w:t>Fonte: Elaborado pelas autoras com base nas informações extraídas do site da UNILAB. (2025)</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 xml:space="preserve">A UNILAB tem investido em mecanismos estratégicos para fortalecer suas políticas afirmativas e de permanência estudantil. Um exemplo é o Curso Formativo de </w:t>
      </w:r>
      <w:proofErr w:type="spellStart"/>
      <w:r>
        <w:rPr>
          <w:sz w:val="24"/>
          <w:szCs w:val="24"/>
        </w:rPr>
        <w:t>Heteroidentificação</w:t>
      </w:r>
      <w:proofErr w:type="spellEnd"/>
      <w:r>
        <w:rPr>
          <w:sz w:val="24"/>
          <w:szCs w:val="24"/>
        </w:rPr>
        <w:t xml:space="preserve">, que capacita servidores para validar </w:t>
      </w:r>
      <w:proofErr w:type="spellStart"/>
      <w:r>
        <w:rPr>
          <w:sz w:val="24"/>
          <w:szCs w:val="24"/>
        </w:rPr>
        <w:t>autodeclarações</w:t>
      </w:r>
      <w:proofErr w:type="spellEnd"/>
      <w:r>
        <w:rPr>
          <w:sz w:val="24"/>
          <w:szCs w:val="24"/>
        </w:rPr>
        <w:t xml:space="preserve"> étnico-</w:t>
      </w:r>
      <w:r>
        <w:rPr>
          <w:sz w:val="24"/>
          <w:szCs w:val="24"/>
        </w:rPr>
        <w:lastRenderedPageBreak/>
        <w:t>raciais com legalidade e legitimidade. Outro destaque é o Serviço de Acolhimento e Acompanhamento (SAA), voltado aos estudantes estrangeiros da CPLP, oferecendo suporte desde o pré-embarque até o acompanhamento acadêmico e sociocultural. Além disso, o Observatório da Vida Estudantil (Observe) realiza pesquisas sobre as condições reais de permanência, subsidiando a formulação de políticas institucionais mais eficazes.</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 xml:space="preserve">Apesar desses avanços, a universidade enfrenta sérios desafios orçamentários. A manutenção dos auxílios estudantis está comprometida por cortes e estagnação de recursos há mais de uma década, o que não acompanha a inflação nem o aumento dos custos de vida. Essa realidade afeta principalmente os estudantes mais pobres, para quem a permanência vai além de apoio financeiro e inclui aspectos simbólicos como o desenvolvimento acadêmico, emocional e social. Autores como </w:t>
      </w:r>
      <w:proofErr w:type="spellStart"/>
      <w:r>
        <w:rPr>
          <w:sz w:val="24"/>
          <w:szCs w:val="24"/>
        </w:rPr>
        <w:t>Coulon</w:t>
      </w:r>
      <w:proofErr w:type="spellEnd"/>
      <w:r>
        <w:rPr>
          <w:sz w:val="24"/>
          <w:szCs w:val="24"/>
        </w:rPr>
        <w:t xml:space="preserve"> e Souza destacam que a afiliação estudantil exige mais do que suporte material: demanda estratégias pedagógicas inclusivas e reconhecimento de saberes diversos.</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O cenário orçamentário crítico da UNILAB não é isolado. Universidades interiorizadas como a UFOB também enfrentam restrições que comprometem suas metas de permanência. Estudos indicam que a criação dessas instituições sem garantia de estrutura e financiamento adequado gera uma exclusão disfarçada, contrariando os objetivos do programa de expansão universitária (Reuni). Durante o governo Bolsonaro, houve tanto desvalorização simbólica quanto cortes severos na educação superior. Já sob o governo Lula, observa-se uma retomada dos investimentos, como por meio do Programa de Aceleração do Crescimento (PAC), embora ainda seja necessária maior atenção à permanência estudantil.</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 xml:space="preserve">A atualização da Lei nº 12.711/2012 pela Lei nº 14.726/2023 reforça essa necessidade, ao prever prioridade de auxílio para estudantes em vulnerabilidade social. No entanto, a insuficiência dos recursos ainda compromete essa prioridade, com atrasos no pagamento e valores defasados em relação às despesas reais de </w:t>
      </w:r>
      <w:r>
        <w:rPr>
          <w:sz w:val="24"/>
          <w:szCs w:val="24"/>
        </w:rPr>
        <w:lastRenderedPageBreak/>
        <w:t>moradia, alimentação e materiais acadêmicos. Além disso, aspectos simbólicos como o lazer — essenciais para a saúde mental e a experiência universitária — seguem pouco valorizados nas políticas institucionais.</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A UNILAB, por meio da PROPAE, mantém uma estrutura composta por coordenações e divisões que atuam na saúde, alimentação e assistência estudantil, evidenciando seu compromisso com a permanência qualificada. Apesar dos desafios financeiros, a universidade continua se esforçando para garantir inclusão e equidade, principalmente sob gestões comprometidas com a educação pública, reafirmando seu papel como promotora de justiça social e diversidade no ensino superior.</w:t>
      </w:r>
    </w:p>
    <w:p w:rsidR="00727D50" w:rsidRDefault="00727D50">
      <w:pPr>
        <w:spacing w:line="360" w:lineRule="auto"/>
        <w:ind w:firstLine="708"/>
        <w:jc w:val="both"/>
        <w:rPr>
          <w:sz w:val="24"/>
          <w:szCs w:val="24"/>
        </w:rPr>
      </w:pPr>
    </w:p>
    <w:p w:rsidR="00727D50" w:rsidRDefault="00004B1D">
      <w:pPr>
        <w:spacing w:line="360" w:lineRule="auto"/>
        <w:jc w:val="both"/>
        <w:rPr>
          <w:b/>
          <w:sz w:val="34"/>
          <w:szCs w:val="34"/>
        </w:rPr>
      </w:pPr>
      <w:r>
        <w:rPr>
          <w:b/>
          <w:sz w:val="24"/>
          <w:szCs w:val="24"/>
        </w:rPr>
        <w:t>4 CONCLUSÃO</w:t>
      </w:r>
    </w:p>
    <w:p w:rsidR="00727D50" w:rsidRDefault="00727D50"/>
    <w:p w:rsidR="00727D50" w:rsidRDefault="009222BC">
      <w:pPr>
        <w:pBdr>
          <w:top w:val="nil"/>
          <w:left w:val="nil"/>
          <w:bottom w:val="nil"/>
          <w:right w:val="nil"/>
          <w:between w:val="nil"/>
        </w:pBdr>
        <w:spacing w:line="360" w:lineRule="auto"/>
        <w:ind w:firstLine="720"/>
        <w:jc w:val="both"/>
        <w:rPr>
          <w:sz w:val="24"/>
          <w:szCs w:val="24"/>
        </w:rPr>
      </w:pPr>
      <w:r>
        <w:rPr>
          <w:sz w:val="24"/>
          <w:szCs w:val="24"/>
        </w:rPr>
        <w:t xml:space="preserve">A análise das ações afirmativas e dos mecanismos de permanência na UNILAB evidencia um forte compromisso institucional com a inclusão de grupos historicamente marginalizados, por meio de políticas que reconhecem as múltiplas dimensões da desigualdade — racial, étnica, de gênero, territorial e econômica. A universidade se destaca nacionalmente por uma abordagem ampliada das ações afirmativas, contemplando não apenas negros, indígenas e quilombolas, mas também pessoas </w:t>
      </w:r>
      <w:proofErr w:type="spellStart"/>
      <w:r>
        <w:rPr>
          <w:sz w:val="24"/>
          <w:szCs w:val="24"/>
        </w:rPr>
        <w:t>trans</w:t>
      </w:r>
      <w:proofErr w:type="spellEnd"/>
      <w:r>
        <w:rPr>
          <w:sz w:val="24"/>
          <w:szCs w:val="24"/>
        </w:rPr>
        <w:t>, povos tradicionais e egressos do sistema prisional, o que a posiciona como referência em justiça social e reparação histórica.</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 xml:space="preserve">Esse compromisso se materializa em marcos normativos como as Resoluções </w:t>
      </w:r>
      <w:proofErr w:type="spellStart"/>
      <w:r>
        <w:rPr>
          <w:sz w:val="24"/>
          <w:szCs w:val="24"/>
        </w:rPr>
        <w:t>Consuni</w:t>
      </w:r>
      <w:proofErr w:type="spellEnd"/>
      <w:r>
        <w:rPr>
          <w:sz w:val="24"/>
          <w:szCs w:val="24"/>
        </w:rPr>
        <w:t xml:space="preserve"> nº 40/2021 e </w:t>
      </w:r>
      <w:proofErr w:type="spellStart"/>
      <w:r>
        <w:rPr>
          <w:sz w:val="24"/>
          <w:szCs w:val="24"/>
        </w:rPr>
        <w:t>Consepe</w:t>
      </w:r>
      <w:proofErr w:type="spellEnd"/>
      <w:r>
        <w:rPr>
          <w:sz w:val="24"/>
          <w:szCs w:val="24"/>
        </w:rPr>
        <w:t xml:space="preserve"> nº 42/2019, operacionalizados pela PROPAE e suas coordenações. A estrutura institucional inclui bancas de </w:t>
      </w:r>
      <w:proofErr w:type="spellStart"/>
      <w:r>
        <w:rPr>
          <w:sz w:val="24"/>
          <w:szCs w:val="24"/>
        </w:rPr>
        <w:t>heteroidentificação</w:t>
      </w:r>
      <w:proofErr w:type="spellEnd"/>
      <w:r>
        <w:rPr>
          <w:sz w:val="24"/>
          <w:szCs w:val="24"/>
        </w:rPr>
        <w:t>, serviços como o SAA e o Observe, e programas de apoio que acompanham os estudantes desde o ingresso até sua trajetória acadêmica, garantindo suporte amplo e articulado.</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 xml:space="preserve">Entretanto, a efetividade dessas políticas é limitada pela dependência de financiamento público federal. A insuficiência orçamentária compromete desde o pagamento de auxílios estudantis até o funcionamento de serviços fundamentais, </w:t>
      </w:r>
      <w:r>
        <w:rPr>
          <w:sz w:val="24"/>
          <w:szCs w:val="24"/>
        </w:rPr>
        <w:lastRenderedPageBreak/>
        <w:t>afetando de forma mais severa os estudantes em situação de vulnerabilidade, como os cotistas e internacionais. A permanência simbólica — que envolve pertencimento, bem-estar e desenvolvimento acadêmico pleno — ainda carece de maior atenção e investimento institucional.</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O cenário orçamentário atual da UNILAB é crítico. Em maio de 2025, a Reitoria alertou para o risco de paralisação de programas essenciais, caso não haja recomposição emergencial de recursos. Essa situação ameaça diretamente os objetivos centrais da universidade, impactando estudantes que são justamente o foco das políticas de inclusão.</w:t>
      </w:r>
    </w:p>
    <w:p w:rsidR="00727D50" w:rsidRDefault="009222BC">
      <w:pPr>
        <w:pBdr>
          <w:top w:val="nil"/>
          <w:left w:val="nil"/>
          <w:bottom w:val="nil"/>
          <w:right w:val="nil"/>
          <w:between w:val="nil"/>
        </w:pBdr>
        <w:spacing w:line="360" w:lineRule="auto"/>
        <w:ind w:firstLine="720"/>
        <w:jc w:val="both"/>
        <w:rPr>
          <w:sz w:val="24"/>
          <w:szCs w:val="24"/>
        </w:rPr>
      </w:pPr>
      <w:r>
        <w:rPr>
          <w:sz w:val="24"/>
          <w:szCs w:val="24"/>
        </w:rPr>
        <w:t>Diante disso, o estudo conclui que é urgente integrar a assistência estudantil às ações afirmativas de forma integral, indo além do apoio financeiro e promovendo uma permanência qualificada. Para que a UNILAB e outras universidades federais cumpram sua função social, é necessário garantir financiamento contínuo e estruturado, capaz de sustentar políticas que assegurem o acesso, a permanência e o pleno desenvolvimento dos estudantes.</w:t>
      </w:r>
    </w:p>
    <w:p w:rsidR="00727D50" w:rsidRDefault="00727D50">
      <w:pPr>
        <w:spacing w:line="360" w:lineRule="auto"/>
        <w:jc w:val="both"/>
        <w:rPr>
          <w:sz w:val="24"/>
          <w:szCs w:val="24"/>
        </w:rPr>
      </w:pPr>
    </w:p>
    <w:p w:rsidR="00004B1D" w:rsidRDefault="00004B1D">
      <w:pPr>
        <w:spacing w:line="360" w:lineRule="auto"/>
        <w:jc w:val="both"/>
        <w:rPr>
          <w:sz w:val="24"/>
          <w:szCs w:val="24"/>
        </w:rPr>
      </w:pPr>
      <w:bookmarkStart w:id="3" w:name="_GoBack"/>
      <w:bookmarkEnd w:id="3"/>
    </w:p>
    <w:p w:rsidR="00727D50" w:rsidRDefault="009222BC" w:rsidP="00004B1D">
      <w:pPr>
        <w:jc w:val="center"/>
        <w:rPr>
          <w:b/>
          <w:sz w:val="24"/>
          <w:szCs w:val="24"/>
        </w:rPr>
      </w:pPr>
      <w:r>
        <w:rPr>
          <w:b/>
          <w:sz w:val="24"/>
          <w:szCs w:val="24"/>
        </w:rPr>
        <w:t>REFERÊNCIAS</w:t>
      </w:r>
    </w:p>
    <w:p w:rsidR="00727D50" w:rsidRDefault="00727D50">
      <w:pPr>
        <w:jc w:val="center"/>
        <w:rPr>
          <w:b/>
          <w:sz w:val="24"/>
          <w:szCs w:val="24"/>
        </w:rPr>
      </w:pPr>
    </w:p>
    <w:p w:rsidR="00727D50" w:rsidRDefault="009222BC">
      <w:pPr>
        <w:jc w:val="both"/>
        <w:rPr>
          <w:sz w:val="24"/>
          <w:szCs w:val="24"/>
        </w:rPr>
      </w:pPr>
      <w:r>
        <w:rPr>
          <w:sz w:val="24"/>
          <w:szCs w:val="24"/>
        </w:rPr>
        <w:t xml:space="preserve">ALMEIDA, Denise Ribeiro de </w:t>
      </w:r>
      <w:r>
        <w:rPr>
          <w:i/>
          <w:sz w:val="24"/>
          <w:szCs w:val="24"/>
        </w:rPr>
        <w:t>et al</w:t>
      </w:r>
      <w:r>
        <w:rPr>
          <w:sz w:val="24"/>
          <w:szCs w:val="24"/>
        </w:rPr>
        <w:t xml:space="preserve">. Os Desafios das Universidades Federais Diante dos Constantes Cortes Orçamentários. In: ROSSI, Renata Alvarez; TUDE, João Martins (org.). </w:t>
      </w:r>
      <w:r>
        <w:rPr>
          <w:b/>
          <w:sz w:val="24"/>
          <w:szCs w:val="24"/>
        </w:rPr>
        <w:t>CORTES NO ORÇAMENTO DAS UNIVERSIDADES FEDERAIS: significados e efeitos</w:t>
      </w:r>
      <w:r>
        <w:rPr>
          <w:sz w:val="24"/>
          <w:szCs w:val="24"/>
        </w:rPr>
        <w:t xml:space="preserve">. Salvador: Escola de Administração da Universidade Federal da Bahia- </w:t>
      </w:r>
      <w:proofErr w:type="spellStart"/>
      <w:r>
        <w:rPr>
          <w:sz w:val="24"/>
          <w:szCs w:val="24"/>
        </w:rPr>
        <w:t>Eaufba</w:t>
      </w:r>
      <w:proofErr w:type="spellEnd"/>
      <w:r>
        <w:rPr>
          <w:sz w:val="24"/>
          <w:szCs w:val="24"/>
        </w:rPr>
        <w:t xml:space="preserve">, 2021. Cap. 1. p. 8-12. </w:t>
      </w:r>
    </w:p>
    <w:p w:rsidR="00727D50" w:rsidRDefault="00727D50">
      <w:pPr>
        <w:jc w:val="both"/>
        <w:rPr>
          <w:sz w:val="24"/>
          <w:szCs w:val="24"/>
        </w:rPr>
      </w:pPr>
    </w:p>
    <w:p w:rsidR="00727D50" w:rsidRDefault="009222BC">
      <w:pPr>
        <w:jc w:val="both"/>
        <w:rPr>
          <w:sz w:val="24"/>
          <w:szCs w:val="24"/>
        </w:rPr>
      </w:pPr>
      <w:r>
        <w:rPr>
          <w:sz w:val="24"/>
          <w:szCs w:val="24"/>
        </w:rPr>
        <w:t>ANDES–SN. Sindicato Nacional dos Docentes das Instituições de Ensino Superior. ANDES questiona decreto do MEC que diminui recursos para as IFE e chama a mobilização. Brasília, 22 maio 2025. Disponível em: https://www.andes.org.br/.... Acesso em: 8 jun. 2025.</w:t>
      </w:r>
    </w:p>
    <w:p w:rsidR="00727D50" w:rsidRDefault="00727D50">
      <w:pPr>
        <w:jc w:val="both"/>
        <w:rPr>
          <w:sz w:val="24"/>
          <w:szCs w:val="24"/>
        </w:rPr>
      </w:pPr>
    </w:p>
    <w:p w:rsidR="00727D50" w:rsidRDefault="009222BC">
      <w:pPr>
        <w:jc w:val="both"/>
        <w:rPr>
          <w:sz w:val="24"/>
          <w:szCs w:val="24"/>
        </w:rPr>
      </w:pPr>
      <w:r>
        <w:rPr>
          <w:sz w:val="24"/>
          <w:szCs w:val="24"/>
        </w:rPr>
        <w:lastRenderedPageBreak/>
        <w:t>BRASIL.</w:t>
      </w:r>
      <w:r>
        <w:rPr>
          <w:sz w:val="24"/>
          <w:szCs w:val="24"/>
          <w:highlight w:val="white"/>
        </w:rPr>
        <w:t xml:space="preserve"> </w:t>
      </w:r>
      <w:r>
        <w:rPr>
          <w:b/>
          <w:sz w:val="24"/>
          <w:szCs w:val="24"/>
          <w:highlight w:val="white"/>
        </w:rPr>
        <w:t>Lei nº 12.711, de 29 de agosto de 2012.</w:t>
      </w:r>
      <w:r>
        <w:rPr>
          <w:sz w:val="24"/>
          <w:szCs w:val="24"/>
          <w:highlight w:val="white"/>
        </w:rPr>
        <w:t xml:space="preserve"> Dispõe sobre o ingresso nas universidades federais e nas instituições federais de ensino técnico de nível médio e dá outras providências. Diário Oficial da União, Brasília, DF, 30 ago. 2012. Disponível em: </w:t>
      </w:r>
      <w:hyperlink r:id="rId6">
        <w:r>
          <w:rPr>
            <w:sz w:val="24"/>
            <w:szCs w:val="24"/>
            <w:highlight w:val="white"/>
            <w:u w:val="single"/>
          </w:rPr>
          <w:t>https://www.planalto.gov.br/ccivil_03/_ato2011-2014/2012/lei/l12711.htm</w:t>
        </w:r>
      </w:hyperlink>
      <w:r>
        <w:rPr>
          <w:sz w:val="24"/>
          <w:szCs w:val="24"/>
          <w:highlight w:val="white"/>
        </w:rPr>
        <w:t xml:space="preserve"> Acesso em: 29 de junho de 2025. </w:t>
      </w:r>
    </w:p>
    <w:p w:rsidR="00727D50" w:rsidRDefault="00727D50">
      <w:pPr>
        <w:jc w:val="both"/>
        <w:rPr>
          <w:sz w:val="24"/>
          <w:szCs w:val="24"/>
        </w:rPr>
      </w:pPr>
    </w:p>
    <w:p w:rsidR="00727D50" w:rsidRDefault="009222BC">
      <w:pPr>
        <w:jc w:val="both"/>
        <w:rPr>
          <w:b/>
          <w:sz w:val="24"/>
          <w:szCs w:val="24"/>
          <w:u w:val="single"/>
        </w:rPr>
      </w:pPr>
      <w:r>
        <w:rPr>
          <w:sz w:val="24"/>
          <w:szCs w:val="24"/>
        </w:rPr>
        <w:t>BRASIL</w:t>
      </w:r>
      <w:r>
        <w:rPr>
          <w:b/>
          <w:sz w:val="24"/>
          <w:szCs w:val="24"/>
        </w:rPr>
        <w:t xml:space="preserve">. </w:t>
      </w:r>
      <w:hyperlink r:id="rId7">
        <w:r>
          <w:rPr>
            <w:b/>
            <w:sz w:val="24"/>
            <w:szCs w:val="24"/>
          </w:rPr>
          <w:t xml:space="preserve">Lei nº 14.723, de 13 de novembro de  2023. </w:t>
        </w:r>
      </w:hyperlink>
      <w:r>
        <w:rPr>
          <w:sz w:val="24"/>
          <w:szCs w:val="24"/>
        </w:rPr>
        <w:t xml:space="preserve">Altera a Lei nº 12.711, de 29 de agosto de 2012, para dispor sobre o programa especial para o acesso às instituições federais de educação superior e de ensino técnico de nível médio de estudantes pretos, pardos, indígenas e quilombolas e de pessoas com deficiência, bem como daqueles que tenham cursado integralmente o ensino médio ou fundamental em escola pública. </w:t>
      </w:r>
      <w:r>
        <w:rPr>
          <w:sz w:val="24"/>
          <w:szCs w:val="24"/>
          <w:highlight w:val="white"/>
        </w:rPr>
        <w:t xml:space="preserve">Presidência da República, Casa Civil. Disponível em: </w:t>
      </w:r>
      <w:hyperlink r:id="rId8" w:anchor="art2">
        <w:r>
          <w:rPr>
            <w:sz w:val="24"/>
            <w:szCs w:val="24"/>
            <w:highlight w:val="white"/>
            <w:u w:val="single"/>
          </w:rPr>
          <w:t>https://www.planalto.gov.br/ccivil_03/_Ato2023-2026/2023/Lei/L14723.htm#art2</w:t>
        </w:r>
      </w:hyperlink>
      <w:r>
        <w:rPr>
          <w:sz w:val="24"/>
          <w:szCs w:val="24"/>
          <w:highlight w:val="white"/>
        </w:rPr>
        <w:t xml:space="preserve"> Acesso em: 29 de junho de 2025. </w:t>
      </w:r>
    </w:p>
    <w:p w:rsidR="00727D50" w:rsidRDefault="00727D50">
      <w:pPr>
        <w:jc w:val="both"/>
        <w:rPr>
          <w:sz w:val="24"/>
          <w:szCs w:val="24"/>
        </w:rPr>
      </w:pPr>
    </w:p>
    <w:p w:rsidR="00727D50" w:rsidRDefault="009222BC">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COULON, Alain. </w:t>
      </w:r>
      <w:r>
        <w:rPr>
          <w:b/>
          <w:color w:val="000000"/>
          <w:sz w:val="24"/>
          <w:szCs w:val="24"/>
        </w:rPr>
        <w:t>A Condição de Estudante: a entrada para vida universitária</w:t>
      </w:r>
      <w:r>
        <w:rPr>
          <w:color w:val="000000"/>
          <w:sz w:val="24"/>
          <w:szCs w:val="24"/>
        </w:rPr>
        <w:t>.  Tradução de: Georgina Gonçalves dos Santos, Sônia Maria Rocha Sampaio.  Salvador: EDUFBA, 2008.</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9222BC">
      <w:pPr>
        <w:widowControl w:val="0"/>
        <w:pBdr>
          <w:top w:val="nil"/>
          <w:left w:val="nil"/>
          <w:bottom w:val="nil"/>
          <w:right w:val="nil"/>
          <w:between w:val="nil"/>
        </w:pBdr>
        <w:spacing w:line="240" w:lineRule="auto"/>
        <w:jc w:val="both"/>
        <w:rPr>
          <w:sz w:val="24"/>
          <w:szCs w:val="24"/>
        </w:rPr>
      </w:pPr>
      <w:r>
        <w:rPr>
          <w:sz w:val="24"/>
          <w:szCs w:val="24"/>
        </w:rPr>
        <w:t xml:space="preserve">GOMES, </w:t>
      </w:r>
      <w:proofErr w:type="spellStart"/>
      <w:r>
        <w:rPr>
          <w:sz w:val="24"/>
          <w:szCs w:val="24"/>
        </w:rPr>
        <w:t>Arilson</w:t>
      </w:r>
      <w:proofErr w:type="spellEnd"/>
      <w:r>
        <w:rPr>
          <w:sz w:val="24"/>
          <w:szCs w:val="24"/>
        </w:rPr>
        <w:t xml:space="preserve"> dos Santos. A UNILAB e as ações de promoção da igualdade étnico-racial (2010-2020). </w:t>
      </w:r>
      <w:r>
        <w:rPr>
          <w:b/>
          <w:sz w:val="24"/>
          <w:szCs w:val="24"/>
        </w:rPr>
        <w:t>Revista Contemporânea de Educação</w:t>
      </w:r>
      <w:r>
        <w:rPr>
          <w:sz w:val="24"/>
          <w:szCs w:val="24"/>
        </w:rPr>
        <w:t xml:space="preserve">, [S.L.], v. 16, n. 37, p. 104-130, 22 dez. 2021. Revista </w:t>
      </w:r>
      <w:proofErr w:type="spellStart"/>
      <w:r>
        <w:rPr>
          <w:sz w:val="24"/>
          <w:szCs w:val="24"/>
        </w:rPr>
        <w:t>Contemporanea</w:t>
      </w:r>
      <w:proofErr w:type="spellEnd"/>
      <w:r>
        <w:rPr>
          <w:sz w:val="24"/>
          <w:szCs w:val="24"/>
        </w:rPr>
        <w:t xml:space="preserve"> de </w:t>
      </w:r>
      <w:proofErr w:type="spellStart"/>
      <w:r>
        <w:rPr>
          <w:sz w:val="24"/>
          <w:szCs w:val="24"/>
        </w:rPr>
        <w:t>Educacao</w:t>
      </w:r>
      <w:proofErr w:type="spellEnd"/>
      <w:r>
        <w:rPr>
          <w:sz w:val="24"/>
          <w:szCs w:val="24"/>
        </w:rPr>
        <w:t xml:space="preserve">. http://dx.doi.org/10.20500/rce.v16i37.45058. </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9222BC">
      <w:pPr>
        <w:widowControl w:val="0"/>
        <w:spacing w:line="240" w:lineRule="auto"/>
        <w:jc w:val="both"/>
        <w:rPr>
          <w:sz w:val="24"/>
          <w:szCs w:val="24"/>
        </w:rPr>
      </w:pPr>
      <w:r>
        <w:rPr>
          <w:sz w:val="24"/>
          <w:szCs w:val="24"/>
        </w:rPr>
        <w:t xml:space="preserve">HERINGER, Rosana. </w:t>
      </w:r>
      <w:r>
        <w:rPr>
          <w:sz w:val="24"/>
          <w:szCs w:val="24"/>
          <w:highlight w:val="white"/>
        </w:rPr>
        <w:t>Um balanço de 10 anos de políticas de ação afirmativa no Brasil. Revista Tomo, 2014.</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9222BC">
      <w:pPr>
        <w:widowControl w:val="0"/>
        <w:pBdr>
          <w:top w:val="nil"/>
          <w:left w:val="nil"/>
          <w:bottom w:val="nil"/>
          <w:right w:val="nil"/>
          <w:between w:val="nil"/>
        </w:pBdr>
        <w:spacing w:line="240" w:lineRule="auto"/>
        <w:jc w:val="both"/>
        <w:rPr>
          <w:sz w:val="24"/>
          <w:szCs w:val="24"/>
        </w:rPr>
      </w:pPr>
      <w:r>
        <w:rPr>
          <w:sz w:val="24"/>
          <w:szCs w:val="24"/>
        </w:rPr>
        <w:t xml:space="preserve">MACHADO, Eduardo Gomes; NASCIMENTO, Ricardo César Carvalho; IMPANTA, </w:t>
      </w:r>
      <w:proofErr w:type="spellStart"/>
      <w:r>
        <w:rPr>
          <w:sz w:val="24"/>
          <w:szCs w:val="24"/>
        </w:rPr>
        <w:t>Iadira</w:t>
      </w:r>
      <w:proofErr w:type="spellEnd"/>
      <w:r>
        <w:rPr>
          <w:sz w:val="24"/>
          <w:szCs w:val="24"/>
        </w:rPr>
        <w:t xml:space="preserve"> </w:t>
      </w:r>
      <w:proofErr w:type="spellStart"/>
      <w:r>
        <w:rPr>
          <w:sz w:val="24"/>
          <w:szCs w:val="24"/>
        </w:rPr>
        <w:t>Antonio</w:t>
      </w:r>
      <w:proofErr w:type="spellEnd"/>
      <w:r>
        <w:rPr>
          <w:sz w:val="24"/>
          <w:szCs w:val="24"/>
        </w:rPr>
        <w:t xml:space="preserve">. Um campo universitário‑urbano no nordeste brasileiro: o caso da UNILAB. </w:t>
      </w:r>
      <w:r>
        <w:rPr>
          <w:i/>
          <w:sz w:val="24"/>
          <w:szCs w:val="24"/>
        </w:rPr>
        <w:t xml:space="preserve">Avaliação: </w:t>
      </w:r>
      <w:r>
        <w:rPr>
          <w:b/>
          <w:sz w:val="24"/>
          <w:szCs w:val="24"/>
        </w:rPr>
        <w:t>Revista da Avaliação da Educação Superior</w:t>
      </w:r>
      <w:r>
        <w:rPr>
          <w:sz w:val="24"/>
          <w:szCs w:val="24"/>
        </w:rPr>
        <w:t xml:space="preserve">, Campinas; Sorocaba, SP, v. 28, e023010, 2023. DOI: 10.1590/S1414‑40772023000100013. </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9222BC">
      <w:pPr>
        <w:widowControl w:val="0"/>
        <w:pBdr>
          <w:top w:val="nil"/>
          <w:left w:val="nil"/>
          <w:bottom w:val="nil"/>
          <w:right w:val="nil"/>
          <w:between w:val="nil"/>
        </w:pBdr>
        <w:spacing w:line="240" w:lineRule="auto"/>
        <w:jc w:val="both"/>
        <w:rPr>
          <w:color w:val="000000"/>
          <w:sz w:val="24"/>
          <w:szCs w:val="24"/>
        </w:rPr>
      </w:pPr>
      <w:bookmarkStart w:id="4" w:name="_ktod1qwqadtx" w:colFirst="0" w:colLast="0"/>
      <w:bookmarkEnd w:id="4"/>
      <w:r>
        <w:rPr>
          <w:color w:val="000000"/>
          <w:sz w:val="24"/>
          <w:szCs w:val="24"/>
        </w:rPr>
        <w:t>MINAYO, M. C. S. et al. (</w:t>
      </w:r>
      <w:proofErr w:type="spellStart"/>
      <w:r>
        <w:rPr>
          <w:color w:val="000000"/>
          <w:sz w:val="24"/>
          <w:szCs w:val="24"/>
        </w:rPr>
        <w:t>Org</w:t>
      </w:r>
      <w:proofErr w:type="spellEnd"/>
      <w:r>
        <w:rPr>
          <w:color w:val="000000"/>
          <w:sz w:val="24"/>
          <w:szCs w:val="24"/>
        </w:rPr>
        <w:t xml:space="preserve">). </w:t>
      </w:r>
      <w:r>
        <w:rPr>
          <w:b/>
          <w:color w:val="000000"/>
          <w:sz w:val="24"/>
          <w:szCs w:val="24"/>
        </w:rPr>
        <w:t>Pesquisa Social: teoria, método e criatividade</w:t>
      </w:r>
      <w:r>
        <w:rPr>
          <w:color w:val="000000"/>
          <w:sz w:val="24"/>
          <w:szCs w:val="24"/>
        </w:rPr>
        <w:t>.  Petrópolis, 1995.</w:t>
      </w:r>
    </w:p>
    <w:p w:rsidR="00727D50" w:rsidRDefault="00727D50">
      <w:pPr>
        <w:widowControl w:val="0"/>
        <w:pBdr>
          <w:top w:val="nil"/>
          <w:left w:val="nil"/>
          <w:bottom w:val="nil"/>
          <w:right w:val="nil"/>
          <w:between w:val="nil"/>
        </w:pBdr>
        <w:spacing w:line="240" w:lineRule="auto"/>
        <w:jc w:val="both"/>
        <w:rPr>
          <w:sz w:val="24"/>
          <w:szCs w:val="24"/>
        </w:rPr>
      </w:pPr>
      <w:bookmarkStart w:id="5" w:name="_2jul1io0s3rb" w:colFirst="0" w:colLast="0"/>
      <w:bookmarkEnd w:id="5"/>
    </w:p>
    <w:p w:rsidR="00727D50" w:rsidRDefault="009222BC">
      <w:pPr>
        <w:widowControl w:val="0"/>
        <w:pBdr>
          <w:top w:val="nil"/>
          <w:left w:val="nil"/>
          <w:bottom w:val="nil"/>
          <w:right w:val="nil"/>
          <w:between w:val="nil"/>
        </w:pBdr>
        <w:spacing w:line="240" w:lineRule="auto"/>
        <w:jc w:val="both"/>
        <w:rPr>
          <w:sz w:val="24"/>
          <w:szCs w:val="24"/>
        </w:rPr>
      </w:pPr>
      <w:bookmarkStart w:id="6" w:name="_qmfhiwee7q" w:colFirst="0" w:colLast="0"/>
      <w:bookmarkEnd w:id="6"/>
      <w:r>
        <w:rPr>
          <w:sz w:val="24"/>
          <w:szCs w:val="24"/>
        </w:rPr>
        <w:t xml:space="preserve">PÁDUA, Vânia Lúcia Muniz de; MORAES, Luanda Silva de; SOUZA, </w:t>
      </w:r>
      <w:proofErr w:type="spellStart"/>
      <w:r>
        <w:rPr>
          <w:sz w:val="24"/>
          <w:szCs w:val="24"/>
        </w:rPr>
        <w:t>Greyssy</w:t>
      </w:r>
      <w:proofErr w:type="spellEnd"/>
      <w:r>
        <w:rPr>
          <w:sz w:val="24"/>
          <w:szCs w:val="24"/>
        </w:rPr>
        <w:t xml:space="preserve"> Kelly Araújo de. Desafios para o ensino superior diante de um caso de periferia social institucional. In: VARGAS, </w:t>
      </w:r>
      <w:proofErr w:type="spellStart"/>
      <w:r>
        <w:rPr>
          <w:sz w:val="24"/>
          <w:szCs w:val="24"/>
        </w:rPr>
        <w:t>Hustana</w:t>
      </w:r>
      <w:proofErr w:type="spellEnd"/>
      <w:r>
        <w:rPr>
          <w:sz w:val="24"/>
          <w:szCs w:val="24"/>
        </w:rPr>
        <w:t xml:space="preserve">; ZUCCARELLI, Carolina; WALTENBERG, Fábio (org.). </w:t>
      </w:r>
      <w:r>
        <w:rPr>
          <w:b/>
          <w:sz w:val="24"/>
          <w:szCs w:val="24"/>
        </w:rPr>
        <w:t xml:space="preserve">Educação superior e os desafios da permanência estudantil em tempos </w:t>
      </w:r>
      <w:r>
        <w:rPr>
          <w:b/>
          <w:sz w:val="24"/>
          <w:szCs w:val="24"/>
        </w:rPr>
        <w:lastRenderedPageBreak/>
        <w:t>de crise política e econômica.</w:t>
      </w:r>
      <w:r>
        <w:rPr>
          <w:sz w:val="24"/>
          <w:szCs w:val="24"/>
        </w:rPr>
        <w:t xml:space="preserve"> Curitiba: CRV, 2021. p. 49–71.</w:t>
      </w:r>
    </w:p>
    <w:p w:rsidR="00727D50" w:rsidRDefault="00727D50">
      <w:pPr>
        <w:widowControl w:val="0"/>
        <w:pBdr>
          <w:top w:val="nil"/>
          <w:left w:val="nil"/>
          <w:bottom w:val="nil"/>
          <w:right w:val="nil"/>
          <w:between w:val="nil"/>
        </w:pBdr>
        <w:spacing w:line="240" w:lineRule="auto"/>
        <w:jc w:val="both"/>
        <w:rPr>
          <w:sz w:val="24"/>
          <w:szCs w:val="24"/>
        </w:rPr>
      </w:pPr>
      <w:bookmarkStart w:id="7" w:name="_szy2jt231umd" w:colFirst="0" w:colLast="0"/>
      <w:bookmarkEnd w:id="7"/>
    </w:p>
    <w:p w:rsidR="00727D50" w:rsidRDefault="009222BC">
      <w:pPr>
        <w:widowControl w:val="0"/>
        <w:pBdr>
          <w:top w:val="nil"/>
          <w:left w:val="nil"/>
          <w:bottom w:val="nil"/>
          <w:right w:val="nil"/>
          <w:between w:val="nil"/>
        </w:pBdr>
        <w:spacing w:line="240" w:lineRule="auto"/>
        <w:jc w:val="both"/>
        <w:rPr>
          <w:sz w:val="24"/>
          <w:szCs w:val="24"/>
        </w:rPr>
      </w:pPr>
      <w:bookmarkStart w:id="8" w:name="_5ogf3hf9nmmj" w:colFirst="0" w:colLast="0"/>
      <w:bookmarkEnd w:id="8"/>
      <w:r>
        <w:rPr>
          <w:sz w:val="24"/>
          <w:szCs w:val="24"/>
        </w:rPr>
        <w:t xml:space="preserve">SANTOS, Silvano Messias dos; FREIRE, Rebeca Sobral. Acesso e permanência na educação superior como direito: sobre os impactos das políticas de assistência estudantil e ações afirmativas na UFOB. </w:t>
      </w:r>
      <w:r>
        <w:rPr>
          <w:b/>
          <w:sz w:val="24"/>
          <w:szCs w:val="24"/>
        </w:rPr>
        <w:t>Avaliação, Campinas</w:t>
      </w:r>
      <w:r>
        <w:rPr>
          <w:sz w:val="24"/>
          <w:szCs w:val="24"/>
        </w:rPr>
        <w:t>; Sorocaba, SP, v. 27, n. 02, p. 260-280, jul. 2022. DOI:</w:t>
      </w:r>
      <w:hyperlink r:id="rId9">
        <w:r>
          <w:rPr>
            <w:sz w:val="24"/>
            <w:szCs w:val="24"/>
          </w:rPr>
          <w:t xml:space="preserve"> </w:t>
        </w:r>
      </w:hyperlink>
      <w:hyperlink r:id="rId10">
        <w:r>
          <w:rPr>
            <w:color w:val="1155CC"/>
            <w:sz w:val="24"/>
            <w:szCs w:val="24"/>
            <w:u w:val="single"/>
          </w:rPr>
          <w:t>10.1590/S1414-40772022000200004</w:t>
        </w:r>
      </w:hyperlink>
      <w:r>
        <w:rPr>
          <w:sz w:val="24"/>
          <w:szCs w:val="24"/>
        </w:rPr>
        <w:t>.</w:t>
      </w:r>
    </w:p>
    <w:p w:rsidR="00727D50" w:rsidRDefault="00727D50">
      <w:pPr>
        <w:widowControl w:val="0"/>
        <w:pBdr>
          <w:top w:val="nil"/>
          <w:left w:val="nil"/>
          <w:bottom w:val="nil"/>
          <w:right w:val="nil"/>
          <w:between w:val="nil"/>
        </w:pBdr>
        <w:spacing w:line="240" w:lineRule="auto"/>
        <w:jc w:val="both"/>
        <w:rPr>
          <w:sz w:val="24"/>
          <w:szCs w:val="24"/>
        </w:rPr>
      </w:pPr>
      <w:bookmarkStart w:id="9" w:name="_ql41faq0awiw" w:colFirst="0" w:colLast="0"/>
      <w:bookmarkEnd w:id="9"/>
    </w:p>
    <w:p w:rsidR="00727D50" w:rsidRDefault="009222BC">
      <w:pPr>
        <w:widowControl w:val="0"/>
        <w:pBdr>
          <w:top w:val="nil"/>
          <w:left w:val="nil"/>
          <w:bottom w:val="nil"/>
          <w:right w:val="nil"/>
          <w:between w:val="nil"/>
        </w:pBdr>
        <w:spacing w:line="240" w:lineRule="auto"/>
        <w:jc w:val="both"/>
        <w:rPr>
          <w:sz w:val="24"/>
          <w:szCs w:val="24"/>
        </w:rPr>
      </w:pPr>
      <w:bookmarkStart w:id="10" w:name="_qot1v9ptosfs" w:colFirst="0" w:colLast="0"/>
      <w:bookmarkEnd w:id="10"/>
      <w:r>
        <w:rPr>
          <w:sz w:val="24"/>
          <w:szCs w:val="24"/>
          <w:highlight w:val="white"/>
        </w:rPr>
        <w:t xml:space="preserve">SANTOS, </w:t>
      </w:r>
      <w:proofErr w:type="spellStart"/>
      <w:r>
        <w:rPr>
          <w:sz w:val="24"/>
          <w:szCs w:val="24"/>
          <w:highlight w:val="white"/>
        </w:rPr>
        <w:t>Dyane</w:t>
      </w:r>
      <w:proofErr w:type="spellEnd"/>
      <w:r>
        <w:rPr>
          <w:sz w:val="24"/>
          <w:szCs w:val="24"/>
          <w:highlight w:val="white"/>
        </w:rPr>
        <w:t xml:space="preserve"> Brito Reis. Para além das cotas: a permanência de estudantes negros no ensino superior como política de ação afirmativa. 2009.</w:t>
      </w:r>
    </w:p>
    <w:p w:rsidR="00727D50" w:rsidRDefault="009222BC">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 </w:t>
      </w:r>
    </w:p>
    <w:p w:rsidR="00727D50" w:rsidRDefault="009222BC">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SOUZA, </w:t>
      </w:r>
      <w:proofErr w:type="spellStart"/>
      <w:r>
        <w:rPr>
          <w:color w:val="000000"/>
          <w:sz w:val="24"/>
          <w:szCs w:val="24"/>
        </w:rPr>
        <w:t>Greyssy</w:t>
      </w:r>
      <w:proofErr w:type="spellEnd"/>
      <w:r>
        <w:rPr>
          <w:color w:val="000000"/>
          <w:sz w:val="24"/>
          <w:szCs w:val="24"/>
        </w:rPr>
        <w:t xml:space="preserve"> Kelly. A. </w:t>
      </w:r>
      <w:r>
        <w:rPr>
          <w:b/>
          <w:color w:val="000000"/>
          <w:sz w:val="24"/>
          <w:szCs w:val="24"/>
        </w:rPr>
        <w:t>Caminhos para o Ensino Superior: Expectativas de estudantes do Ensino Médio em escolas públicas na Bahia e Rio de Janeiro</w:t>
      </w:r>
      <w:r>
        <w:rPr>
          <w:color w:val="000000"/>
          <w:sz w:val="24"/>
          <w:szCs w:val="24"/>
        </w:rPr>
        <w:t xml:space="preserve">. Tese de Doutorado em Educação. 250 p. Universidade Federal do Rio de Janeiro, Rio de Janeiro – RJ. 2020. </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9222BC">
      <w:pPr>
        <w:widowControl w:val="0"/>
        <w:pBdr>
          <w:top w:val="nil"/>
          <w:left w:val="nil"/>
          <w:bottom w:val="nil"/>
          <w:right w:val="nil"/>
          <w:between w:val="nil"/>
        </w:pBdr>
        <w:spacing w:line="240" w:lineRule="auto"/>
        <w:jc w:val="both"/>
        <w:rPr>
          <w:sz w:val="24"/>
          <w:szCs w:val="24"/>
        </w:rPr>
      </w:pPr>
      <w:r>
        <w:rPr>
          <w:sz w:val="24"/>
          <w:szCs w:val="24"/>
        </w:rPr>
        <w:t xml:space="preserve">UNILAB. </w:t>
      </w:r>
      <w:r>
        <w:rPr>
          <w:i/>
          <w:sz w:val="24"/>
          <w:szCs w:val="24"/>
        </w:rPr>
        <w:t>Estatuto da Universidade da Integração Internacional da Lusofonia Afro-Brasileira</w:t>
      </w:r>
      <w:r>
        <w:rPr>
          <w:sz w:val="24"/>
          <w:szCs w:val="24"/>
        </w:rPr>
        <w:t>. Redenção: UNILAB, 2020. Disponível em:</w:t>
      </w:r>
      <w:hyperlink r:id="rId11">
        <w:r>
          <w:rPr>
            <w:sz w:val="24"/>
            <w:szCs w:val="24"/>
          </w:rPr>
          <w:t xml:space="preserve"> </w:t>
        </w:r>
      </w:hyperlink>
      <w:hyperlink r:id="rId12">
        <w:r>
          <w:rPr>
            <w:color w:val="1155CC"/>
            <w:sz w:val="24"/>
            <w:szCs w:val="24"/>
            <w:u w:val="single"/>
          </w:rPr>
          <w:t>https://UNILAB.edu.br/wp-content/uploads/2020/12/Estatuto-UNILAB-Dez.2020.pdf</w:t>
        </w:r>
      </w:hyperlink>
      <w:r>
        <w:rPr>
          <w:sz w:val="24"/>
          <w:szCs w:val="24"/>
        </w:rPr>
        <w:t>. Acesso em: 10 jun. 2025.</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9222BC">
      <w:pPr>
        <w:widowControl w:val="0"/>
        <w:pBdr>
          <w:top w:val="nil"/>
          <w:left w:val="nil"/>
          <w:bottom w:val="nil"/>
          <w:right w:val="nil"/>
          <w:between w:val="nil"/>
        </w:pBdr>
        <w:spacing w:line="240" w:lineRule="auto"/>
        <w:jc w:val="both"/>
        <w:rPr>
          <w:sz w:val="24"/>
          <w:szCs w:val="24"/>
        </w:rPr>
      </w:pPr>
      <w:r>
        <w:rPr>
          <w:sz w:val="24"/>
          <w:szCs w:val="24"/>
        </w:rPr>
        <w:t>_______</w:t>
      </w:r>
      <w:r>
        <w:rPr>
          <w:b/>
          <w:sz w:val="24"/>
          <w:szCs w:val="24"/>
        </w:rPr>
        <w:t>.</w:t>
      </w:r>
      <w:r>
        <w:rPr>
          <w:sz w:val="24"/>
          <w:szCs w:val="24"/>
        </w:rPr>
        <w:t xml:space="preserve"> Quem somos. </w:t>
      </w:r>
      <w:r>
        <w:rPr>
          <w:i/>
          <w:sz w:val="24"/>
          <w:szCs w:val="24"/>
        </w:rPr>
        <w:t>UNILAB</w:t>
      </w:r>
      <w:r>
        <w:rPr>
          <w:sz w:val="24"/>
          <w:szCs w:val="24"/>
        </w:rPr>
        <w:t>. Disponível em:</w:t>
      </w:r>
      <w:hyperlink r:id="rId13">
        <w:r>
          <w:rPr>
            <w:sz w:val="24"/>
            <w:szCs w:val="24"/>
          </w:rPr>
          <w:t xml:space="preserve"> </w:t>
        </w:r>
      </w:hyperlink>
      <w:hyperlink r:id="rId14">
        <w:r>
          <w:rPr>
            <w:color w:val="1155CC"/>
            <w:sz w:val="24"/>
            <w:szCs w:val="24"/>
            <w:u w:val="single"/>
          </w:rPr>
          <w:t>https://UNILAB.edu.br/</w:t>
        </w:r>
      </w:hyperlink>
      <w:r>
        <w:rPr>
          <w:sz w:val="24"/>
          <w:szCs w:val="24"/>
        </w:rPr>
        <w:t>. Acesso em: 15 jun. 2025.</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9222BC">
      <w:pPr>
        <w:widowControl w:val="0"/>
        <w:pBdr>
          <w:top w:val="nil"/>
          <w:left w:val="nil"/>
          <w:bottom w:val="nil"/>
          <w:right w:val="nil"/>
          <w:between w:val="nil"/>
        </w:pBdr>
        <w:spacing w:line="240" w:lineRule="auto"/>
        <w:jc w:val="both"/>
        <w:rPr>
          <w:sz w:val="24"/>
          <w:szCs w:val="24"/>
        </w:rPr>
      </w:pPr>
      <w:r>
        <w:rPr>
          <w:sz w:val="24"/>
          <w:szCs w:val="24"/>
        </w:rPr>
        <w:t>_______. Resolução CONSUNI/UNILAB nº 40, de 20 de agosto de 2021: aprova a instituição e regulamentação do Programa de Ações Afirmativas da Universidade da Integração Internacional da Lusofonia Afro-Brasileira. Ceará: UNILAB, 2021. Disponível em:</w:t>
      </w:r>
      <w:hyperlink r:id="rId15">
        <w:r>
          <w:rPr>
            <w:sz w:val="24"/>
            <w:szCs w:val="24"/>
          </w:rPr>
          <w:t xml:space="preserve"> </w:t>
        </w:r>
      </w:hyperlink>
      <w:hyperlink r:id="rId16">
        <w:r>
          <w:rPr>
            <w:color w:val="1155CC"/>
            <w:sz w:val="24"/>
            <w:szCs w:val="24"/>
            <w:u w:val="single"/>
          </w:rPr>
          <w:t>https://UNILAB.edu.br/wp-content/uploads/2021/08/Acoes-afirmativas1.pdf</w:t>
        </w:r>
      </w:hyperlink>
      <w:r>
        <w:rPr>
          <w:sz w:val="24"/>
          <w:szCs w:val="24"/>
        </w:rPr>
        <w:t>. Acesso em: 15 jun. 2025.</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727D50">
      <w:pPr>
        <w:widowControl w:val="0"/>
        <w:pBdr>
          <w:top w:val="nil"/>
          <w:left w:val="nil"/>
          <w:bottom w:val="nil"/>
          <w:right w:val="nil"/>
          <w:between w:val="nil"/>
        </w:pBdr>
        <w:spacing w:line="240" w:lineRule="auto"/>
        <w:jc w:val="both"/>
        <w:rPr>
          <w:color w:val="FF0000"/>
          <w:sz w:val="24"/>
          <w:szCs w:val="24"/>
        </w:rPr>
      </w:pPr>
    </w:p>
    <w:p w:rsidR="00727D50" w:rsidRDefault="009222BC">
      <w:pPr>
        <w:widowControl w:val="0"/>
        <w:spacing w:line="240" w:lineRule="auto"/>
        <w:jc w:val="both"/>
        <w:rPr>
          <w:sz w:val="24"/>
          <w:szCs w:val="24"/>
        </w:rPr>
      </w:pPr>
      <w:r>
        <w:rPr>
          <w:sz w:val="24"/>
          <w:szCs w:val="24"/>
        </w:rPr>
        <w:t>_______. Resolução SEI nº 42, de 2019. Aprova, ad referendum, a regulamentação de seleção de estudantes estrangeiros para os cursos de graduação na modalidade presencial. Redenção/CE: Universidade da Integração Internacional da Lusofonia Afro‑Brasileira – UNILAB, 2019. Disponível em:</w:t>
      </w:r>
      <w:hyperlink r:id="rId17">
        <w:r>
          <w:rPr>
            <w:sz w:val="24"/>
            <w:szCs w:val="24"/>
          </w:rPr>
          <w:t xml:space="preserve"> </w:t>
        </w:r>
      </w:hyperlink>
      <w:hyperlink r:id="rId18">
        <w:r>
          <w:rPr>
            <w:sz w:val="24"/>
            <w:szCs w:val="24"/>
            <w:u w:val="single"/>
          </w:rPr>
          <w:t>https://unilab.edu.br/wp-content/uploads/2020/04/Resolu%C3%A7%C3%A3o-SEI-n%C2%BA-42-2019-Aprova-ad-referendum-a-regulamenta%C3%A7%C3%A3o-de-sele%C3%A7%C3%A3o-de-estudantes-estrangeiros-para-os-cursos-de-gradua%C3%A7%C3%A3o-na-modalidade-presencial.pdf</w:t>
        </w:r>
      </w:hyperlink>
      <w:r>
        <w:rPr>
          <w:sz w:val="24"/>
          <w:szCs w:val="24"/>
        </w:rPr>
        <w:t>. Acesso em: 15 jun. 2025.</w:t>
      </w:r>
    </w:p>
    <w:p w:rsidR="00727D50" w:rsidRDefault="00727D50">
      <w:pPr>
        <w:widowControl w:val="0"/>
        <w:pBdr>
          <w:top w:val="nil"/>
          <w:left w:val="nil"/>
          <w:bottom w:val="nil"/>
          <w:right w:val="nil"/>
          <w:between w:val="nil"/>
        </w:pBdr>
        <w:spacing w:line="240" w:lineRule="auto"/>
        <w:jc w:val="both"/>
        <w:rPr>
          <w:sz w:val="24"/>
          <w:szCs w:val="24"/>
        </w:rPr>
      </w:pPr>
    </w:p>
    <w:p w:rsidR="00727D50" w:rsidRDefault="00727D50">
      <w:pPr>
        <w:widowControl w:val="0"/>
        <w:pBdr>
          <w:top w:val="nil"/>
          <w:left w:val="nil"/>
          <w:bottom w:val="nil"/>
          <w:right w:val="nil"/>
          <w:between w:val="nil"/>
        </w:pBdr>
        <w:spacing w:line="240" w:lineRule="auto"/>
        <w:jc w:val="both"/>
        <w:rPr>
          <w:sz w:val="24"/>
          <w:szCs w:val="24"/>
        </w:rPr>
      </w:pPr>
    </w:p>
    <w:sectPr w:rsidR="00727D50">
      <w:headerReference w:type="default" r:id="rId19"/>
      <w:footerReference w:type="default" r:id="rId20"/>
      <w:pgSz w:w="11909" w:h="16834"/>
      <w:pgMar w:top="1701" w:right="1134" w:bottom="15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018" w:rsidRDefault="00647018">
      <w:pPr>
        <w:spacing w:line="240" w:lineRule="auto"/>
      </w:pPr>
      <w:r>
        <w:separator/>
      </w:r>
    </w:p>
  </w:endnote>
  <w:endnote w:type="continuationSeparator" w:id="0">
    <w:p w:rsidR="00647018" w:rsidRDefault="00647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D50" w:rsidRDefault="00727D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018" w:rsidRDefault="00647018">
      <w:pPr>
        <w:spacing w:line="240" w:lineRule="auto"/>
      </w:pPr>
      <w:r>
        <w:separator/>
      </w:r>
    </w:p>
  </w:footnote>
  <w:footnote w:type="continuationSeparator" w:id="0">
    <w:p w:rsidR="00647018" w:rsidRDefault="00647018">
      <w:pPr>
        <w:spacing w:line="240" w:lineRule="auto"/>
      </w:pPr>
      <w:r>
        <w:continuationSeparator/>
      </w:r>
    </w:p>
  </w:footnote>
  <w:footnote w:id="1">
    <w:p w:rsidR="00727D50" w:rsidRDefault="009222BC">
      <w:pPr>
        <w:spacing w:line="240" w:lineRule="auto"/>
        <w:jc w:val="both"/>
        <w:rPr>
          <w:sz w:val="20"/>
          <w:szCs w:val="20"/>
        </w:rPr>
      </w:pPr>
      <w:r>
        <w:rPr>
          <w:vertAlign w:val="superscript"/>
        </w:rPr>
        <w:footnoteRef/>
      </w:r>
      <w:r>
        <w:rPr>
          <w:sz w:val="20"/>
          <w:szCs w:val="20"/>
        </w:rPr>
        <w:t xml:space="preserve"> Graduanda em serviço Social e Bolsista PIBIC 2024-2025/ UNILAB. E-mail: </w:t>
      </w:r>
      <w:hyperlink r:id="rId1">
        <w:r>
          <w:rPr>
            <w:color w:val="1155CC"/>
            <w:sz w:val="20"/>
            <w:szCs w:val="20"/>
            <w:u w:val="single"/>
          </w:rPr>
          <w:t>mirla_menezes@hotmail.com</w:t>
        </w:r>
      </w:hyperlink>
      <w:r>
        <w:rPr>
          <w:sz w:val="20"/>
          <w:szCs w:val="20"/>
        </w:rPr>
        <w:t xml:space="preserve"> </w:t>
      </w:r>
    </w:p>
  </w:footnote>
  <w:footnote w:id="2">
    <w:p w:rsidR="00727D50" w:rsidRDefault="009222BC">
      <w:pPr>
        <w:spacing w:line="240" w:lineRule="auto"/>
        <w:jc w:val="both"/>
        <w:rPr>
          <w:sz w:val="20"/>
          <w:szCs w:val="20"/>
        </w:rPr>
      </w:pPr>
      <w:r>
        <w:rPr>
          <w:vertAlign w:val="superscript"/>
        </w:rPr>
        <w:footnoteRef/>
      </w:r>
      <w:r>
        <w:rPr>
          <w:sz w:val="20"/>
          <w:szCs w:val="20"/>
        </w:rPr>
        <w:t xml:space="preserve"> Graduanda em serviço Social- UNILAB. E-mail: </w:t>
      </w:r>
      <w:hyperlink r:id="rId2">
        <w:r>
          <w:rPr>
            <w:color w:val="1155CC"/>
            <w:sz w:val="20"/>
            <w:szCs w:val="20"/>
            <w:u w:val="single"/>
          </w:rPr>
          <w:t>lennemarques_@hotmail.com</w:t>
        </w:r>
      </w:hyperlink>
      <w:r>
        <w:rPr>
          <w:sz w:val="20"/>
          <w:szCs w:val="20"/>
        </w:rPr>
        <w:t xml:space="preserve"> </w:t>
      </w:r>
    </w:p>
  </w:footnote>
  <w:footnote w:id="3">
    <w:p w:rsidR="00727D50" w:rsidRDefault="009222BC">
      <w:pPr>
        <w:spacing w:line="240" w:lineRule="auto"/>
        <w:jc w:val="both"/>
        <w:rPr>
          <w:sz w:val="20"/>
          <w:szCs w:val="20"/>
        </w:rPr>
      </w:pPr>
      <w:r>
        <w:rPr>
          <w:vertAlign w:val="superscript"/>
        </w:rPr>
        <w:footnoteRef/>
      </w:r>
      <w:r>
        <w:rPr>
          <w:sz w:val="20"/>
          <w:szCs w:val="20"/>
        </w:rPr>
        <w:t xml:space="preserve"> Docente Adjunta do Curso de Serviço Social da UNILAB. E-mail: </w:t>
      </w:r>
      <w:hyperlink r:id="rId3">
        <w:r>
          <w:rPr>
            <w:color w:val="1155CC"/>
            <w:sz w:val="20"/>
            <w:szCs w:val="20"/>
            <w:u w:val="single"/>
          </w:rPr>
          <w:t>greyssyaraujo@unilab.edu.br</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D50" w:rsidRDefault="009222BC">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44" b="-444"/>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D50"/>
    <w:rsid w:val="00004B1D"/>
    <w:rsid w:val="001159D2"/>
    <w:rsid w:val="00647018"/>
    <w:rsid w:val="00727D50"/>
    <w:rsid w:val="009222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AE876"/>
  <w15:docId w15:val="{BF06051C-B9E7-4316-9903-37396B60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23-2026/2023/Lei/L14723.htm" TargetMode="External"/><Relationship Id="rId13" Type="http://schemas.openxmlformats.org/officeDocument/2006/relationships/hyperlink" Target="https://unilab.edu.br/" TargetMode="External"/><Relationship Id="rId18" Type="http://schemas.openxmlformats.org/officeDocument/2006/relationships/hyperlink" Target="https://unilab.edu.br/wp-content/uploads/2020/04/Resolu%C3%A7%C3%A3o-SEI-n%C2%BA-42-2019-Aprova-ad-referendum-a-regulamenta%C3%A7%C3%A3o-de-sele%C3%A7%C3%A3o-de-estudantes-estrangeiros-para-os-cursos-de-gradua%C3%A7%C3%A3o-na-modalidade-presencial.pdf"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legislacao.planalto.gov.br/legisla/legislacao.nsf/Viw_Identificacao/lei%2014.723-2023?OpenDocument" TargetMode="External"/><Relationship Id="rId12" Type="http://schemas.openxmlformats.org/officeDocument/2006/relationships/hyperlink" Target="https://unilab.edu.br/wp-content/uploads/2020/12/Estatuto-Unilab-Dez.2020.pdf" TargetMode="External"/><Relationship Id="rId17" Type="http://schemas.openxmlformats.org/officeDocument/2006/relationships/hyperlink" Target="https://unilab.edu.br/wp-content/uploads/2020/04/Resolu%C3%A7%C3%A3o-SEI-n%C2%BA-42-2019-Aprova-ad-referendum-a-regulamenta%C3%A7%C3%A3o-de-sele%C3%A7%C3%A3o-de-estudantes-estrangeiros-para-os-cursos-de-gradua%C3%A7%C3%A3o-na-modalidade-presencial.pdf" TargetMode="External"/><Relationship Id="rId2" Type="http://schemas.openxmlformats.org/officeDocument/2006/relationships/settings" Target="settings.xml"/><Relationship Id="rId16" Type="http://schemas.openxmlformats.org/officeDocument/2006/relationships/hyperlink" Target="https://unilab.edu.br/wp-content/uploads/2021/08/Acoes-afirmativas1.pdf"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planalto.gov.br/ccivil_03/_ato2011-2014/2012/lei/l12711.htm" TargetMode="External"/><Relationship Id="rId11" Type="http://schemas.openxmlformats.org/officeDocument/2006/relationships/hyperlink" Target="https://unilab.edu.br/wp-content/uploads/2020/12/Estatuto-Unilab-Dez.2020.pdf" TargetMode="External"/><Relationship Id="rId5" Type="http://schemas.openxmlformats.org/officeDocument/2006/relationships/endnotes" Target="endnotes.xml"/><Relationship Id="rId15" Type="http://schemas.openxmlformats.org/officeDocument/2006/relationships/hyperlink" Target="https://unilab.edu.br/wp-content/uploads/2021/08/Acoes-afirmativas1.pdf" TargetMode="External"/><Relationship Id="rId10" Type="http://schemas.openxmlformats.org/officeDocument/2006/relationships/hyperlink" Target="https://doi.org/10.1590/S1414-40772022000200004"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590/S1414-40772022000200004" TargetMode="External"/><Relationship Id="rId14" Type="http://schemas.openxmlformats.org/officeDocument/2006/relationships/hyperlink" Target="https://unilab.edu.br/"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greyssyaraujo@unilab.edu.br" TargetMode="External"/><Relationship Id="rId2" Type="http://schemas.openxmlformats.org/officeDocument/2006/relationships/hyperlink" Target="mailto:lennemarques_@hotmail.com" TargetMode="External"/><Relationship Id="rId1" Type="http://schemas.openxmlformats.org/officeDocument/2006/relationships/hyperlink" Target="mailto:mirla_menezes@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3953</Words>
  <Characters>21348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Mirla</dc:creator>
  <cp:lastModifiedBy>Mirla</cp:lastModifiedBy>
  <cp:revision>2</cp:revision>
  <dcterms:created xsi:type="dcterms:W3CDTF">2025-07-01T02:03:00Z</dcterms:created>
  <dcterms:modified xsi:type="dcterms:W3CDTF">2025-07-01T02:03:00Z</dcterms:modified>
</cp:coreProperties>
</file>