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B5ACC" w14:textId="77777777" w:rsidR="00712D46" w:rsidRDefault="00000000">
      <w:pPr>
        <w:pBdr>
          <w:top w:val="nil"/>
          <w:left w:val="nil"/>
          <w:bottom w:val="nil"/>
          <w:right w:val="nil"/>
          <w:between w:val="nil"/>
        </w:pBdr>
        <w:tabs>
          <w:tab w:val="right" w:pos="9061"/>
        </w:tabs>
        <w:spacing w:line="360" w:lineRule="auto"/>
        <w:ind w:left="0" w:hanging="2"/>
        <w:jc w:val="center"/>
        <w:rPr>
          <w:sz w:val="24"/>
          <w:szCs w:val="24"/>
        </w:rPr>
      </w:pPr>
      <w:r>
        <w:rPr>
          <w:b/>
          <w:sz w:val="24"/>
          <w:szCs w:val="24"/>
        </w:rPr>
        <w:t xml:space="preserve">PROGRAMA DINHEIRO DIRETO NA ESCOLA (PDDE): </w:t>
      </w:r>
      <w:r>
        <w:rPr>
          <w:sz w:val="24"/>
          <w:szCs w:val="24"/>
        </w:rPr>
        <w:t>gestão democrática e participação nas escolas do campo do Município de Moju-PA</w:t>
      </w:r>
    </w:p>
    <w:p w14:paraId="363726A4" w14:textId="77777777" w:rsidR="00712D46" w:rsidRDefault="00000000">
      <w:pPr>
        <w:ind w:left="0" w:hanging="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Alda Lúcia Paiva Borges</w:t>
      </w:r>
      <w:r>
        <w:rPr>
          <w:rFonts w:ascii="Times New Roman" w:eastAsia="Times New Roman" w:hAnsi="Times New Roman" w:cs="Times New Roman"/>
          <w:sz w:val="20"/>
          <w:szCs w:val="20"/>
          <w:vertAlign w:val="superscript"/>
        </w:rPr>
        <w:footnoteReference w:id="1"/>
      </w:r>
    </w:p>
    <w:p w14:paraId="7CD23605" w14:textId="77777777" w:rsidR="00712D46" w:rsidRDefault="00000000">
      <w:pPr>
        <w:ind w:left="0" w:hanging="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Afonso Welliton de Sousa Nascimento</w:t>
      </w:r>
      <w:r>
        <w:rPr>
          <w:rFonts w:ascii="Times New Roman" w:eastAsia="Times New Roman" w:hAnsi="Times New Roman" w:cs="Times New Roman"/>
          <w:sz w:val="20"/>
          <w:szCs w:val="20"/>
          <w:vertAlign w:val="superscript"/>
        </w:rPr>
        <w:footnoteReference w:id="2"/>
      </w:r>
    </w:p>
    <w:p w14:paraId="276F52DB" w14:textId="77777777" w:rsidR="00712D46" w:rsidRDefault="00000000">
      <w:pPr>
        <w:ind w:left="0" w:hanging="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Irlanda do Socorro de Oliveira Mileo</w:t>
      </w:r>
      <w:r>
        <w:rPr>
          <w:rFonts w:ascii="Times New Roman" w:eastAsia="Times New Roman" w:hAnsi="Times New Roman" w:cs="Times New Roman"/>
          <w:sz w:val="20"/>
          <w:szCs w:val="20"/>
          <w:vertAlign w:val="superscript"/>
        </w:rPr>
        <w:footnoteReference w:id="3"/>
      </w:r>
    </w:p>
    <w:p w14:paraId="1D803BA1" w14:textId="5D0125B6" w:rsidR="006E48F8" w:rsidRDefault="006E48F8">
      <w:pPr>
        <w:ind w:left="0" w:hanging="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Rayana Barros da Silva</w:t>
      </w:r>
      <w:r>
        <w:rPr>
          <w:rStyle w:val="Refdenotaderodap"/>
          <w:rFonts w:ascii="Times New Roman" w:eastAsia="Times New Roman" w:hAnsi="Times New Roman" w:cs="Times New Roman"/>
          <w:sz w:val="20"/>
          <w:szCs w:val="20"/>
        </w:rPr>
        <w:footnoteReference w:id="4"/>
      </w:r>
    </w:p>
    <w:p w14:paraId="14742DD6" w14:textId="77777777" w:rsidR="00712D46" w:rsidRDefault="00000000" w:rsidP="001978BB">
      <w:pPr>
        <w:spacing w:line="240" w:lineRule="auto"/>
        <w:ind w:leftChars="1287" w:left="2833" w:hanging="2"/>
        <w:jc w:val="both"/>
        <w:rPr>
          <w:sz w:val="24"/>
          <w:szCs w:val="24"/>
        </w:rPr>
      </w:pPr>
      <w:r>
        <w:rPr>
          <w:b/>
          <w:sz w:val="24"/>
          <w:szCs w:val="24"/>
        </w:rPr>
        <w:t>Resumo</w:t>
      </w:r>
    </w:p>
    <w:p w14:paraId="480F1F6B" w14:textId="77777777" w:rsidR="00712D46" w:rsidRDefault="00712D46">
      <w:pPr>
        <w:spacing w:line="240" w:lineRule="auto"/>
        <w:ind w:left="0" w:hanging="2"/>
        <w:jc w:val="both"/>
        <w:rPr>
          <w:sz w:val="24"/>
          <w:szCs w:val="24"/>
        </w:rPr>
      </w:pPr>
      <w:bookmarkStart w:id="1" w:name="_heading=h.q700ujk1x16n" w:colFirst="0" w:colLast="0"/>
      <w:bookmarkEnd w:id="1"/>
    </w:p>
    <w:p w14:paraId="073519F3" w14:textId="117CB970" w:rsidR="00712D46" w:rsidRDefault="00000000" w:rsidP="00D847CE">
      <w:pPr>
        <w:spacing w:line="240" w:lineRule="auto"/>
        <w:ind w:leftChars="1287" w:left="2831" w:firstLineChars="2" w:firstLine="4"/>
        <w:jc w:val="both"/>
        <w:rPr>
          <w:sz w:val="20"/>
          <w:szCs w:val="20"/>
        </w:rPr>
      </w:pPr>
      <w:r>
        <w:rPr>
          <w:color w:val="000000"/>
          <w:sz w:val="20"/>
          <w:szCs w:val="20"/>
        </w:rPr>
        <w:t>O trabalho tem como objetivo analisar a política pública de financiamento do P</w:t>
      </w:r>
      <w:r w:rsidR="004E3A08">
        <w:rPr>
          <w:color w:val="000000"/>
          <w:sz w:val="20"/>
          <w:szCs w:val="20"/>
        </w:rPr>
        <w:t xml:space="preserve">rograma </w:t>
      </w:r>
      <w:r>
        <w:rPr>
          <w:color w:val="000000"/>
          <w:sz w:val="20"/>
          <w:szCs w:val="20"/>
        </w:rPr>
        <w:t>D</w:t>
      </w:r>
      <w:r w:rsidR="004E3A08">
        <w:rPr>
          <w:color w:val="000000"/>
          <w:sz w:val="20"/>
          <w:szCs w:val="20"/>
        </w:rPr>
        <w:t xml:space="preserve">inheiro </w:t>
      </w:r>
      <w:r>
        <w:rPr>
          <w:color w:val="000000"/>
          <w:sz w:val="20"/>
          <w:szCs w:val="20"/>
        </w:rPr>
        <w:t>D</w:t>
      </w:r>
      <w:r w:rsidR="004E3A08">
        <w:rPr>
          <w:color w:val="000000"/>
          <w:sz w:val="20"/>
          <w:szCs w:val="20"/>
        </w:rPr>
        <w:t xml:space="preserve">ireto na </w:t>
      </w:r>
      <w:r>
        <w:rPr>
          <w:color w:val="000000"/>
          <w:sz w:val="20"/>
          <w:szCs w:val="20"/>
        </w:rPr>
        <w:t>E</w:t>
      </w:r>
      <w:r w:rsidR="004E3A08">
        <w:rPr>
          <w:color w:val="000000"/>
          <w:sz w:val="20"/>
          <w:szCs w:val="20"/>
        </w:rPr>
        <w:t>scola</w:t>
      </w:r>
      <w:r w:rsidR="004913DA">
        <w:rPr>
          <w:color w:val="000000"/>
          <w:sz w:val="20"/>
          <w:szCs w:val="20"/>
        </w:rPr>
        <w:t xml:space="preserve"> </w:t>
      </w:r>
      <w:r w:rsidR="004913DA" w:rsidRPr="004913DA">
        <w:rPr>
          <w:rFonts w:eastAsia="Times New Roman"/>
          <w:sz w:val="20"/>
          <w:szCs w:val="20"/>
        </w:rPr>
        <w:t>(PDDE</w:t>
      </w:r>
      <w:r w:rsidR="000936F9" w:rsidRPr="004913DA">
        <w:rPr>
          <w:rFonts w:eastAsia="Times New Roman"/>
          <w:sz w:val="20"/>
          <w:szCs w:val="20"/>
        </w:rPr>
        <w:t xml:space="preserve">) </w:t>
      </w:r>
      <w:r w:rsidR="004D3496">
        <w:rPr>
          <w:rFonts w:eastAsia="Times New Roman"/>
          <w:sz w:val="20"/>
          <w:szCs w:val="20"/>
        </w:rPr>
        <w:t>B</w:t>
      </w:r>
      <w:r w:rsidR="000936F9" w:rsidRPr="004913DA">
        <w:rPr>
          <w:rFonts w:eastAsia="Times New Roman"/>
          <w:sz w:val="20"/>
          <w:szCs w:val="20"/>
        </w:rPr>
        <w:t>ásico</w:t>
      </w:r>
      <w:r>
        <w:rPr>
          <w:color w:val="000000"/>
          <w:sz w:val="20"/>
          <w:szCs w:val="20"/>
        </w:rPr>
        <w:t xml:space="preserve"> com foco na gestão</w:t>
      </w:r>
      <w:r w:rsidR="00BC47C9">
        <w:rPr>
          <w:color w:val="000000"/>
          <w:sz w:val="20"/>
          <w:szCs w:val="20"/>
        </w:rPr>
        <w:t xml:space="preserve"> e organização escolar</w:t>
      </w:r>
      <w:r w:rsidR="004913DA">
        <w:rPr>
          <w:color w:val="000000"/>
          <w:sz w:val="20"/>
          <w:szCs w:val="20"/>
        </w:rPr>
        <w:t xml:space="preserve"> das escolas</w:t>
      </w:r>
      <w:r>
        <w:rPr>
          <w:color w:val="000000"/>
          <w:sz w:val="20"/>
          <w:szCs w:val="20"/>
        </w:rPr>
        <w:t xml:space="preserve"> do Campo no Município de Moju-PA. O método de pesquisa utilizado foi a qualitativa por meio da abordagem exploratória descritiva com instrumento de entrevistas e análises de documentos. Os resultados constatam que o PDDE Básico é importante para as escolas de educação básica</w:t>
      </w:r>
      <w:r w:rsidR="000936F9">
        <w:rPr>
          <w:color w:val="000000"/>
          <w:sz w:val="20"/>
          <w:szCs w:val="20"/>
        </w:rPr>
        <w:t>. A</w:t>
      </w:r>
      <w:r>
        <w:rPr>
          <w:color w:val="000000"/>
          <w:sz w:val="20"/>
          <w:szCs w:val="20"/>
        </w:rPr>
        <w:t>o disponibilizar recursos financeiros federais, permite a aquisição de bens e serviços que contribu</w:t>
      </w:r>
      <w:r w:rsidR="000936F9">
        <w:rPr>
          <w:color w:val="000000"/>
          <w:sz w:val="20"/>
          <w:szCs w:val="20"/>
        </w:rPr>
        <w:t>em</w:t>
      </w:r>
      <w:r>
        <w:rPr>
          <w:color w:val="000000"/>
          <w:sz w:val="20"/>
          <w:szCs w:val="20"/>
        </w:rPr>
        <w:t xml:space="preserve"> no desenvolvimento das ações pedagógicas e administrativas. Porém,</w:t>
      </w:r>
      <w:r>
        <w:rPr>
          <w:sz w:val="20"/>
          <w:szCs w:val="20"/>
        </w:rPr>
        <w:t xml:space="preserve"> revela que a efetividade do PDDE Básico, no que se refere à gestão democrática dos recursos financeiros, depende diretamente da compreensão e implementação dos princípios de participação e corresponsabilidade pelas escolas.</w:t>
      </w:r>
    </w:p>
    <w:p w14:paraId="1B313D19" w14:textId="77777777" w:rsidR="00712D46" w:rsidRDefault="00712D46" w:rsidP="00D847CE">
      <w:pPr>
        <w:spacing w:line="240" w:lineRule="auto"/>
        <w:ind w:leftChars="1287" w:left="2831" w:firstLineChars="2" w:firstLine="5"/>
        <w:jc w:val="both"/>
        <w:rPr>
          <w:sz w:val="24"/>
          <w:szCs w:val="24"/>
        </w:rPr>
      </w:pPr>
    </w:p>
    <w:p w14:paraId="4B0195F0" w14:textId="77777777" w:rsidR="00712D46" w:rsidRDefault="00000000" w:rsidP="00D847CE">
      <w:pPr>
        <w:spacing w:line="240" w:lineRule="auto"/>
        <w:ind w:leftChars="1287" w:left="2831" w:firstLineChars="2" w:firstLine="4"/>
        <w:jc w:val="both"/>
        <w:rPr>
          <w:sz w:val="20"/>
          <w:szCs w:val="20"/>
        </w:rPr>
      </w:pPr>
      <w:r>
        <w:rPr>
          <w:b/>
          <w:sz w:val="20"/>
          <w:szCs w:val="20"/>
        </w:rPr>
        <w:t>Palavras-chave</w:t>
      </w:r>
      <w:r>
        <w:rPr>
          <w:sz w:val="20"/>
          <w:szCs w:val="20"/>
        </w:rPr>
        <w:t>: PDDE Básico; democracia; gestão escolar.</w:t>
      </w:r>
    </w:p>
    <w:p w14:paraId="1C614BBA" w14:textId="77777777" w:rsidR="004913DA" w:rsidRDefault="004913DA" w:rsidP="00D847CE">
      <w:pPr>
        <w:spacing w:line="240" w:lineRule="auto"/>
        <w:ind w:leftChars="1287" w:left="2831" w:firstLineChars="2" w:firstLine="5"/>
        <w:jc w:val="both"/>
        <w:rPr>
          <w:b/>
          <w:sz w:val="24"/>
          <w:szCs w:val="24"/>
        </w:rPr>
      </w:pPr>
    </w:p>
    <w:p w14:paraId="76003D59" w14:textId="75997D1A" w:rsidR="00712D46" w:rsidRPr="004C7E8C" w:rsidRDefault="00000000" w:rsidP="00D847CE">
      <w:pPr>
        <w:spacing w:line="240" w:lineRule="auto"/>
        <w:ind w:leftChars="1287" w:left="2831" w:firstLineChars="2" w:firstLine="5"/>
        <w:jc w:val="both"/>
        <w:rPr>
          <w:b/>
          <w:sz w:val="24"/>
          <w:szCs w:val="24"/>
          <w:lang w:val="en-US"/>
        </w:rPr>
      </w:pPr>
      <w:r w:rsidRPr="004C7E8C">
        <w:rPr>
          <w:b/>
          <w:sz w:val="24"/>
          <w:szCs w:val="24"/>
          <w:lang w:val="en-US"/>
        </w:rPr>
        <w:t>Abstract</w:t>
      </w:r>
    </w:p>
    <w:p w14:paraId="59C0BE35" w14:textId="77777777" w:rsidR="004E3A08" w:rsidRPr="004C7E8C" w:rsidRDefault="004E3A08" w:rsidP="00D847CE">
      <w:pPr>
        <w:spacing w:line="240" w:lineRule="auto"/>
        <w:ind w:leftChars="1287" w:left="2831" w:firstLineChars="2" w:firstLine="5"/>
        <w:jc w:val="both"/>
        <w:rPr>
          <w:sz w:val="24"/>
          <w:szCs w:val="24"/>
          <w:lang w:val="en-US"/>
        </w:rPr>
      </w:pPr>
    </w:p>
    <w:p w14:paraId="5CADD540" w14:textId="77777777" w:rsidR="00E252E4" w:rsidRPr="00E252E4" w:rsidRDefault="00E252E4" w:rsidP="00D847CE">
      <w:pPr>
        <w:spacing w:line="240" w:lineRule="auto"/>
        <w:ind w:leftChars="1287" w:left="2831" w:firstLineChars="2" w:firstLine="4"/>
        <w:jc w:val="both"/>
        <w:rPr>
          <w:sz w:val="20"/>
          <w:szCs w:val="20"/>
          <w:lang w:val="en-US"/>
        </w:rPr>
      </w:pPr>
      <w:r w:rsidRPr="00E252E4">
        <w:rPr>
          <w:sz w:val="20"/>
          <w:szCs w:val="20"/>
          <w:lang w:val="en-US"/>
        </w:rPr>
        <w:t xml:space="preserve">The work aims to analyze the public policy of financing the Basic Direct Money at School Program (PDDE) with a focus on the management and school organization of rural schools in the Municipality of Moju-PA. The research method used was qualitative through the descriptive exploratory approach with an instrument of interviews and document analysis. The results show that the Basic PDDE is important for basic education schools. By making federal financial resources available, it allows the acquisition of goods and services that contribute to the </w:t>
      </w:r>
      <w:r w:rsidRPr="00E252E4">
        <w:rPr>
          <w:sz w:val="20"/>
          <w:szCs w:val="20"/>
          <w:lang w:val="en-US"/>
        </w:rPr>
        <w:lastRenderedPageBreak/>
        <w:t xml:space="preserve">development of pedagogical and administrative actions. However, it reveals that the effectiveness of the Basic PDDE, with regard to the democratic management of financial resources, depends directly on the understanding and implementation of the principles of participation and co-responsibility by schools. </w:t>
      </w:r>
    </w:p>
    <w:p w14:paraId="72515FF0" w14:textId="77777777" w:rsidR="00E252E4" w:rsidRPr="00E252E4" w:rsidRDefault="00E252E4" w:rsidP="00E252E4">
      <w:pPr>
        <w:spacing w:line="240" w:lineRule="auto"/>
        <w:ind w:leftChars="1287" w:left="2833" w:hanging="2"/>
        <w:jc w:val="both"/>
        <w:rPr>
          <w:sz w:val="20"/>
          <w:szCs w:val="20"/>
          <w:lang w:val="en-US"/>
        </w:rPr>
      </w:pPr>
    </w:p>
    <w:p w14:paraId="6662D101" w14:textId="64F6A249" w:rsidR="00E252E4" w:rsidRPr="00E252E4" w:rsidRDefault="00E252E4" w:rsidP="00E252E4">
      <w:pPr>
        <w:spacing w:line="240" w:lineRule="auto"/>
        <w:ind w:leftChars="1287" w:left="2833" w:hanging="2"/>
        <w:jc w:val="both"/>
        <w:rPr>
          <w:sz w:val="20"/>
          <w:szCs w:val="20"/>
          <w:lang w:val="en-US"/>
        </w:rPr>
      </w:pPr>
      <w:r w:rsidRPr="00E252E4">
        <w:rPr>
          <w:b/>
          <w:bCs/>
          <w:sz w:val="20"/>
          <w:szCs w:val="20"/>
          <w:lang w:val="en-US"/>
        </w:rPr>
        <w:t>Keywords</w:t>
      </w:r>
      <w:r w:rsidRPr="00E252E4">
        <w:rPr>
          <w:sz w:val="20"/>
          <w:szCs w:val="20"/>
          <w:lang w:val="en-US"/>
        </w:rPr>
        <w:t>: Basic PDDE; democracy; school management.</w:t>
      </w:r>
    </w:p>
    <w:p w14:paraId="2614FA05" w14:textId="77777777" w:rsidR="00E252E4" w:rsidRPr="00E252E4" w:rsidRDefault="00E252E4" w:rsidP="001978BB">
      <w:pPr>
        <w:spacing w:line="240" w:lineRule="auto"/>
        <w:ind w:leftChars="1287" w:left="2833" w:hanging="2"/>
        <w:jc w:val="both"/>
        <w:rPr>
          <w:sz w:val="24"/>
          <w:szCs w:val="24"/>
          <w:lang w:val="en-US"/>
        </w:rPr>
      </w:pPr>
    </w:p>
    <w:p w14:paraId="2CD3C362" w14:textId="77777777" w:rsidR="004E3A08" w:rsidRPr="00E252E4" w:rsidRDefault="004E3A08" w:rsidP="004E3A08">
      <w:pPr>
        <w:spacing w:line="240" w:lineRule="auto"/>
        <w:ind w:leftChars="1287" w:left="2833" w:hanging="2"/>
        <w:jc w:val="both"/>
        <w:rPr>
          <w:sz w:val="20"/>
          <w:szCs w:val="20"/>
          <w:lang w:val="en-US"/>
        </w:rPr>
      </w:pPr>
    </w:p>
    <w:p w14:paraId="71DC9E84" w14:textId="3620835E" w:rsidR="00712D46" w:rsidRDefault="00000000" w:rsidP="004E3A08">
      <w:pPr>
        <w:spacing w:line="360" w:lineRule="auto"/>
        <w:ind w:leftChars="0" w:left="0" w:firstLineChars="0" w:firstLine="0"/>
        <w:rPr>
          <w:sz w:val="24"/>
          <w:szCs w:val="24"/>
        </w:rPr>
      </w:pPr>
      <w:r>
        <w:rPr>
          <w:b/>
          <w:sz w:val="24"/>
          <w:szCs w:val="24"/>
        </w:rPr>
        <w:t>1INTRODUÇÃO</w:t>
      </w:r>
    </w:p>
    <w:p w14:paraId="37BA3067" w14:textId="65619A51" w:rsidR="00712D46" w:rsidRDefault="00000000" w:rsidP="00E80389">
      <w:pPr>
        <w:spacing w:line="360" w:lineRule="auto"/>
        <w:ind w:leftChars="0" w:left="0" w:firstLineChars="0" w:firstLine="720"/>
        <w:jc w:val="both"/>
        <w:rPr>
          <w:color w:val="000000"/>
          <w:sz w:val="24"/>
          <w:szCs w:val="24"/>
        </w:rPr>
      </w:pPr>
      <w:r>
        <w:rPr>
          <w:color w:val="000000"/>
          <w:sz w:val="24"/>
          <w:szCs w:val="24"/>
        </w:rPr>
        <w:t xml:space="preserve">O texto tem como objetivo analisar a política pública de financiamento do PDDE Básico com foco na gestão e organização escolar das escolas do Campo no Município de Moju-PA. Esse </w:t>
      </w:r>
      <w:r>
        <w:rPr>
          <w:sz w:val="24"/>
          <w:szCs w:val="24"/>
        </w:rPr>
        <w:t>estudo</w:t>
      </w:r>
      <w:r>
        <w:rPr>
          <w:color w:val="000000"/>
          <w:sz w:val="24"/>
          <w:szCs w:val="24"/>
        </w:rPr>
        <w:t xml:space="preserve"> é um recorte da pesquisa desenvolv</w:t>
      </w:r>
      <w:r w:rsidR="00BF3BDC">
        <w:rPr>
          <w:color w:val="000000"/>
          <w:sz w:val="24"/>
          <w:szCs w:val="24"/>
        </w:rPr>
        <w:t>ida</w:t>
      </w:r>
      <w:r>
        <w:rPr>
          <w:color w:val="000000"/>
          <w:sz w:val="24"/>
          <w:szCs w:val="24"/>
        </w:rPr>
        <w:t xml:space="preserve"> no </w:t>
      </w:r>
      <w:r w:rsidR="00BF3BDC">
        <w:rPr>
          <w:color w:val="000000"/>
          <w:sz w:val="24"/>
          <w:szCs w:val="24"/>
        </w:rPr>
        <w:t>Grupo de Pesquisa</w:t>
      </w:r>
      <w:r>
        <w:rPr>
          <w:color w:val="000000"/>
          <w:sz w:val="24"/>
          <w:szCs w:val="24"/>
        </w:rPr>
        <w:t>,</w:t>
      </w:r>
      <w:r w:rsidR="00BF3BDC">
        <w:rPr>
          <w:color w:val="000000"/>
          <w:sz w:val="24"/>
          <w:szCs w:val="24"/>
        </w:rPr>
        <w:t xml:space="preserve"> em Sociedade Estado e Educação: ênfase nos </w:t>
      </w:r>
      <w:r w:rsidR="00E80389">
        <w:rPr>
          <w:color w:val="000000"/>
          <w:sz w:val="24"/>
          <w:szCs w:val="24"/>
        </w:rPr>
        <w:t>municípios na</w:t>
      </w:r>
      <w:r w:rsidR="00BF3BDC">
        <w:rPr>
          <w:color w:val="000000"/>
          <w:sz w:val="24"/>
          <w:szCs w:val="24"/>
        </w:rPr>
        <w:t xml:space="preserve"> educação do campo</w:t>
      </w:r>
      <w:r>
        <w:rPr>
          <w:color w:val="000000"/>
          <w:sz w:val="24"/>
          <w:szCs w:val="24"/>
        </w:rPr>
        <w:t xml:space="preserve"> (</w:t>
      </w:r>
      <w:r w:rsidR="00BF3BDC">
        <w:rPr>
          <w:color w:val="000000"/>
          <w:sz w:val="24"/>
          <w:szCs w:val="24"/>
        </w:rPr>
        <w:t>GEPESEED</w:t>
      </w:r>
      <w:r>
        <w:rPr>
          <w:color w:val="000000"/>
          <w:sz w:val="24"/>
          <w:szCs w:val="24"/>
        </w:rPr>
        <w:t xml:space="preserve">) da Universidade Federal do Pará (UFPA) </w:t>
      </w:r>
      <w:r w:rsidR="003039CC">
        <w:rPr>
          <w:color w:val="000000"/>
          <w:sz w:val="24"/>
          <w:szCs w:val="24"/>
        </w:rPr>
        <w:t>C</w:t>
      </w:r>
      <w:r>
        <w:rPr>
          <w:color w:val="000000"/>
          <w:sz w:val="24"/>
          <w:szCs w:val="24"/>
        </w:rPr>
        <w:t>amp</w:t>
      </w:r>
      <w:r w:rsidR="003039CC">
        <w:rPr>
          <w:color w:val="000000"/>
          <w:sz w:val="24"/>
          <w:szCs w:val="24"/>
        </w:rPr>
        <w:t>u</w:t>
      </w:r>
      <w:r>
        <w:rPr>
          <w:color w:val="000000"/>
          <w:sz w:val="24"/>
          <w:szCs w:val="24"/>
        </w:rPr>
        <w:t>s Abaetetuba</w:t>
      </w:r>
      <w:r w:rsidR="00BF3BDC">
        <w:rPr>
          <w:color w:val="000000"/>
          <w:sz w:val="24"/>
          <w:szCs w:val="24"/>
        </w:rPr>
        <w:t>, sobre os programas de financiamento educacional, em especial o</w:t>
      </w:r>
      <w:r w:rsidR="00290405">
        <w:rPr>
          <w:color w:val="000000"/>
          <w:sz w:val="24"/>
          <w:szCs w:val="24"/>
        </w:rPr>
        <w:t xml:space="preserve"> </w:t>
      </w:r>
      <w:r w:rsidR="00BF3BDC">
        <w:rPr>
          <w:color w:val="000000"/>
          <w:sz w:val="24"/>
          <w:szCs w:val="24"/>
        </w:rPr>
        <w:t>PDDE</w:t>
      </w:r>
      <w:r w:rsidR="00915221">
        <w:rPr>
          <w:color w:val="000000"/>
          <w:sz w:val="24"/>
          <w:szCs w:val="24"/>
        </w:rPr>
        <w:t xml:space="preserve"> e sua influência na construção da gestão democrática na escola.</w:t>
      </w:r>
    </w:p>
    <w:p w14:paraId="7701EE97" w14:textId="2449401C" w:rsidR="001978BB" w:rsidRDefault="00000000" w:rsidP="001978BB">
      <w:pPr>
        <w:spacing w:line="360" w:lineRule="auto"/>
        <w:ind w:leftChars="0" w:left="0" w:firstLineChars="0" w:firstLine="720"/>
        <w:jc w:val="both"/>
        <w:rPr>
          <w:sz w:val="24"/>
          <w:szCs w:val="24"/>
        </w:rPr>
      </w:pPr>
      <w:r>
        <w:rPr>
          <w:sz w:val="24"/>
          <w:szCs w:val="24"/>
        </w:rPr>
        <w:t xml:space="preserve">O PDDE, teve sua gênese em 1995, período em que o Brasil buscava fortalecer a democracia e a gestão participativa nas esferas públicas a partir das lutas da sociedade civil fundamentada pela Constituição Federal (CF) de 1988. Neste cenário, as reformas educacionais também sofreram influências substanciais, visando a transformar a educação em um espaço mais alinhado às necessidades do mercado, considerando aspectos políticos e administrativos que afetam a eficácia do sistema educacional. </w:t>
      </w:r>
      <w:r w:rsidR="00BD2C4F">
        <w:rPr>
          <w:sz w:val="24"/>
          <w:szCs w:val="24"/>
        </w:rPr>
        <w:t>Nesse contexto</w:t>
      </w:r>
      <w:r>
        <w:rPr>
          <w:sz w:val="24"/>
          <w:szCs w:val="24"/>
        </w:rPr>
        <w:t xml:space="preserve">, o PDDE foi criado com o objetivo de descentralizar recursos financeiros </w:t>
      </w:r>
      <w:r w:rsidR="00290405">
        <w:rPr>
          <w:sz w:val="24"/>
          <w:szCs w:val="24"/>
        </w:rPr>
        <w:t xml:space="preserve">suplementares </w:t>
      </w:r>
      <w:r>
        <w:rPr>
          <w:sz w:val="24"/>
          <w:szCs w:val="24"/>
        </w:rPr>
        <w:t>para as escolas públicas, promover a autonomia e a participação da comunidade escolar na administração financeira e pedagógica.</w:t>
      </w:r>
    </w:p>
    <w:p w14:paraId="4377F7D2" w14:textId="6EC6915C" w:rsidR="004A53D8" w:rsidRDefault="00000000" w:rsidP="004A53D8">
      <w:pPr>
        <w:spacing w:line="360" w:lineRule="auto"/>
        <w:ind w:leftChars="0" w:left="0" w:firstLineChars="0" w:firstLine="720"/>
        <w:jc w:val="both"/>
        <w:rPr>
          <w:sz w:val="24"/>
          <w:szCs w:val="24"/>
        </w:rPr>
      </w:pPr>
      <w:r>
        <w:rPr>
          <w:sz w:val="24"/>
          <w:szCs w:val="24"/>
        </w:rPr>
        <w:t xml:space="preserve">Conforme Oliveira (2001), as transformações ocorridas na década de 1990 na administração dos sistemas de ensino foram marcadas por uma nova flexibilidade. Nesse período, a descentralização proporcionou maior autonomia administrativa e financeira às unidades escolares. Embora a descentralização já estivesse prevista no Decreto n.º 200 de 1967, que estabelecia a divisão de responsabilidades pelo financiamento e administração da educação entre as diferentes esferas, somente na </w:t>
      </w:r>
      <w:r>
        <w:rPr>
          <w:sz w:val="24"/>
          <w:szCs w:val="24"/>
        </w:rPr>
        <w:lastRenderedPageBreak/>
        <w:t xml:space="preserve">década de 1990 foram implementadas medidas </w:t>
      </w:r>
      <w:r w:rsidR="00290405">
        <w:rPr>
          <w:sz w:val="24"/>
          <w:szCs w:val="24"/>
        </w:rPr>
        <w:t>efetivas</w:t>
      </w:r>
      <w:r>
        <w:rPr>
          <w:sz w:val="24"/>
          <w:szCs w:val="24"/>
        </w:rPr>
        <w:t xml:space="preserve"> que garantiram a adequada distribuição de competências e recursos na gestão educacional.</w:t>
      </w:r>
    </w:p>
    <w:p w14:paraId="22B95A8B" w14:textId="5C355266" w:rsidR="004A53D8" w:rsidRDefault="00000000" w:rsidP="004A53D8">
      <w:pPr>
        <w:spacing w:line="360" w:lineRule="auto"/>
        <w:ind w:leftChars="0" w:left="0" w:firstLineChars="0" w:firstLine="720"/>
        <w:jc w:val="both"/>
        <w:rPr>
          <w:sz w:val="24"/>
          <w:szCs w:val="24"/>
        </w:rPr>
      </w:pPr>
      <w:r>
        <w:rPr>
          <w:sz w:val="24"/>
          <w:szCs w:val="24"/>
        </w:rPr>
        <w:t>Contudo, o PDDE é uma iniciativa destinada a garantir subsídios financeiros, administrativos e pedagógicos, com o propósito de fortalecer a gestão escolar e assegurar que os recursos destinados à educação sejam utilizados de maneira mais efetiva e alinhada às necessidades locais. A iniciativa permite a realização de melhorias na infraestrutura, a aquisição de materiais didáticos e a promoção de atividades pedagógicas, contribuindo para a elevação dos Índices de Desenvolvimento da Educação Básica (IDEB) (</w:t>
      </w:r>
      <w:r w:rsidR="00E80389">
        <w:rPr>
          <w:sz w:val="24"/>
          <w:szCs w:val="24"/>
        </w:rPr>
        <w:t>BRASIL</w:t>
      </w:r>
      <w:r>
        <w:rPr>
          <w:sz w:val="24"/>
          <w:szCs w:val="24"/>
        </w:rPr>
        <w:t>, 2021).</w:t>
      </w:r>
    </w:p>
    <w:p w14:paraId="408F32FD" w14:textId="77777777" w:rsidR="004A53D8" w:rsidRDefault="00000000" w:rsidP="004A53D8">
      <w:pPr>
        <w:spacing w:line="360" w:lineRule="auto"/>
        <w:ind w:leftChars="0" w:left="0" w:firstLineChars="0" w:firstLine="720"/>
        <w:jc w:val="both"/>
        <w:rPr>
          <w:sz w:val="24"/>
          <w:szCs w:val="24"/>
        </w:rPr>
      </w:pPr>
      <w:r>
        <w:rPr>
          <w:sz w:val="24"/>
          <w:szCs w:val="24"/>
        </w:rPr>
        <w:t>O percurso metodológico adotado para auxiliar na resposta do objetivo proposto, optou-se pela pesquisa qualitativa, com abordagem exploratória descritiva, utilizou-se como estratégias de coleta de informações a pesquisa bibliográfica, a pesquisa documental e a pesquisa de campo. Para (Minayo, 2021), abordagem qualitativa tem como foco principal a interpretação e a compreensão aprofundada dos fenômenos investigados, os quais são entendidos como expressões da realidade social. Tal concepção parte do pressuposto de que o ser humano, ao agir, também reflete e atribui significado às suas ações a partir das experiências vivenciadas em seu contexto sociocultural.</w:t>
      </w:r>
    </w:p>
    <w:p w14:paraId="0A518441" w14:textId="77777777" w:rsidR="004A53D8" w:rsidRDefault="00000000" w:rsidP="004A53D8">
      <w:pPr>
        <w:spacing w:line="360" w:lineRule="auto"/>
        <w:ind w:leftChars="0" w:left="0" w:firstLineChars="0" w:firstLine="720"/>
        <w:jc w:val="both"/>
        <w:rPr>
          <w:sz w:val="24"/>
          <w:szCs w:val="24"/>
        </w:rPr>
      </w:pPr>
      <w:r>
        <w:rPr>
          <w:sz w:val="24"/>
          <w:szCs w:val="24"/>
        </w:rPr>
        <w:t xml:space="preserve">Recorremos à pesquisa bibliográfica por meio da consulta a artigos científicos, teses, dissertações e livros, com o propósito de aprofundar o embasamento teórico sobre a temática em estudo. Para Gil (2002, p. 44), “a pesquisa bibliográfica é desenvolvida com base em material já elaborado, constituído principalmente de livros e artigos científicos”. </w:t>
      </w:r>
    </w:p>
    <w:p w14:paraId="23623268" w14:textId="7C297968" w:rsidR="00712D46" w:rsidRDefault="00000000" w:rsidP="004A53D8">
      <w:pPr>
        <w:spacing w:line="360" w:lineRule="auto"/>
        <w:ind w:leftChars="0" w:left="0" w:firstLineChars="0" w:firstLine="720"/>
        <w:jc w:val="both"/>
        <w:rPr>
          <w:sz w:val="24"/>
          <w:szCs w:val="24"/>
        </w:rPr>
      </w:pPr>
      <w:r>
        <w:rPr>
          <w:sz w:val="24"/>
          <w:szCs w:val="24"/>
        </w:rPr>
        <w:t>Posteriormente, a pesquisa documental que permiti</w:t>
      </w:r>
      <w:r w:rsidR="00480928">
        <w:rPr>
          <w:sz w:val="24"/>
          <w:szCs w:val="24"/>
        </w:rPr>
        <w:t>u</w:t>
      </w:r>
      <w:r>
        <w:rPr>
          <w:sz w:val="24"/>
          <w:szCs w:val="24"/>
        </w:rPr>
        <w:t xml:space="preserve"> a realização de análises detalhadas de documentos como resoluções, relatórios e entre outros. Esses documentos podem fornecer informações relevantes para a investigação. Conforme Gil, 2002), a pesquisa documental apresenta semelhanças com a pesquisa bibliográfica, distinguindo-se, principalmente, pela natureza das fontes utilizadas. Enquanto a pesquisa bibliográfica se baseia nas contribuições já sistematizadas por </w:t>
      </w:r>
      <w:r>
        <w:rPr>
          <w:sz w:val="24"/>
          <w:szCs w:val="24"/>
        </w:rPr>
        <w:lastRenderedPageBreak/>
        <w:t>diversos autores sobre um tema, a pesquisa documental recorre a materiais que ainda não foram analisados de forma aprofundada.</w:t>
      </w:r>
    </w:p>
    <w:p w14:paraId="2F4D825E" w14:textId="5E23927A" w:rsidR="004A53D8" w:rsidRDefault="00177E7E" w:rsidP="00177E7E">
      <w:pPr>
        <w:spacing w:line="360" w:lineRule="auto"/>
        <w:ind w:leftChars="0" w:left="0" w:firstLineChars="0" w:firstLine="720"/>
        <w:jc w:val="both"/>
        <w:rPr>
          <w:sz w:val="24"/>
          <w:szCs w:val="24"/>
        </w:rPr>
      </w:pPr>
      <w:r>
        <w:rPr>
          <w:sz w:val="24"/>
          <w:szCs w:val="24"/>
        </w:rPr>
        <w:t xml:space="preserve">Conforme Minayo (2021), a pesquisa de campo é igualmente essencial para a obtenção de dados qualitativos, com o objetivo de aprofundar o conhecimento empírico sobre o objeto de estudo. Esse tipo de pesquisa tem como foco a comunidade, que não é compreendida apenas em termos geográficos, mas também como grupos de trabalho, estudo ou outras atividades humanas, cada qual com suas características específicas. </w:t>
      </w:r>
    </w:p>
    <w:p w14:paraId="4091CA78" w14:textId="18C51A88" w:rsidR="00712D46" w:rsidRDefault="004A53D8" w:rsidP="004A53D8">
      <w:pPr>
        <w:spacing w:line="360" w:lineRule="auto"/>
        <w:ind w:left="0" w:hanging="2"/>
        <w:jc w:val="both"/>
        <w:rPr>
          <w:sz w:val="24"/>
          <w:szCs w:val="24"/>
        </w:rPr>
      </w:pPr>
      <w:r>
        <w:rPr>
          <w:sz w:val="24"/>
          <w:szCs w:val="24"/>
        </w:rPr>
        <w:t xml:space="preserve">          Os entrevistados foram o(a) gestor(a) escola</w:t>
      </w:r>
      <w:r w:rsidR="00177E7E">
        <w:rPr>
          <w:sz w:val="24"/>
          <w:szCs w:val="24"/>
        </w:rPr>
        <w:t>r</w:t>
      </w:r>
      <w:r>
        <w:rPr>
          <w:sz w:val="24"/>
          <w:szCs w:val="24"/>
        </w:rPr>
        <w:t>, o(a) coordenador(a) pedagógico(a) e três membros do Conselho Escolar representante do(a) professor(a), dos pais e da comunidade de duas escolas do campo. O instrumento para a coleta de dados adotado na pesquisa foram roteiros semiestruturados.  A entrevista, com roteiro semiestruturado, é uma estratégia que possibilita conversa com o(a) entrevistado(a) da pesquisa, para a obtenção das informações necessárias. As análises e interpretações dos dados qualitativos coletados foram à luz dos referenciais teóricos e documentos legais que norteiam a política do PDDE, a gestão e a organização escolar, com utilização do recurso de análise descritiva.</w:t>
      </w:r>
    </w:p>
    <w:p w14:paraId="34114346" w14:textId="77777777" w:rsidR="00712D46" w:rsidRDefault="00712D46">
      <w:pPr>
        <w:spacing w:line="360" w:lineRule="auto"/>
        <w:ind w:left="0" w:hanging="2"/>
        <w:jc w:val="both"/>
        <w:rPr>
          <w:sz w:val="24"/>
          <w:szCs w:val="24"/>
        </w:rPr>
      </w:pPr>
    </w:p>
    <w:p w14:paraId="154E9A91" w14:textId="7C2C6A84" w:rsidR="00712D46" w:rsidRDefault="004A53D8" w:rsidP="004A53D8">
      <w:pPr>
        <w:spacing w:line="360" w:lineRule="auto"/>
        <w:ind w:leftChars="0" w:left="0" w:firstLineChars="0" w:firstLine="0"/>
        <w:jc w:val="both"/>
        <w:rPr>
          <w:sz w:val="24"/>
          <w:szCs w:val="24"/>
        </w:rPr>
      </w:pPr>
      <w:r>
        <w:rPr>
          <w:b/>
          <w:sz w:val="24"/>
          <w:szCs w:val="24"/>
        </w:rPr>
        <w:t>2 BREVE CONTEXTO DO CAMPO DE ESTUDO: O MUNICÍPIO DE MOJU – PA</w:t>
      </w:r>
    </w:p>
    <w:p w14:paraId="038C60C1" w14:textId="77777777" w:rsidR="00712D46" w:rsidRDefault="00712D46">
      <w:pPr>
        <w:spacing w:line="360" w:lineRule="auto"/>
        <w:ind w:left="0" w:hanging="2"/>
        <w:jc w:val="both"/>
        <w:rPr>
          <w:sz w:val="24"/>
          <w:szCs w:val="24"/>
        </w:rPr>
      </w:pPr>
    </w:p>
    <w:p w14:paraId="3B6888CE" w14:textId="03C7314B" w:rsidR="00712D46" w:rsidRDefault="004A53D8">
      <w:pPr>
        <w:tabs>
          <w:tab w:val="left" w:pos="0"/>
        </w:tabs>
        <w:spacing w:line="360" w:lineRule="auto"/>
        <w:ind w:left="0" w:hanging="2"/>
        <w:jc w:val="both"/>
        <w:rPr>
          <w:sz w:val="24"/>
          <w:szCs w:val="24"/>
        </w:rPr>
      </w:pPr>
      <w:r>
        <w:rPr>
          <w:sz w:val="24"/>
          <w:szCs w:val="24"/>
        </w:rPr>
        <w:tab/>
      </w:r>
      <w:r>
        <w:rPr>
          <w:sz w:val="24"/>
          <w:szCs w:val="24"/>
        </w:rPr>
        <w:tab/>
        <w:t>Moju é um município localizado no Estado do Pará, na região Norte do Brasil, reconhecido por sua rica biodiversidade. Está situado na mesorregião do Nordeste Paraense, na Microrregião de Tomé-Açu, e é cortado pela rodovia PA-150, a qual, juntamente com sua malha aquaviária, proporciona fácil acesso a todo o Estado. De acordo com o Anuário do Pará (2023-2024), o município possui uma população de 84.094 habitantes, distribuídos em área territorial</w:t>
      </w:r>
      <w:r w:rsidR="0019023D">
        <w:rPr>
          <w:sz w:val="24"/>
          <w:szCs w:val="24"/>
        </w:rPr>
        <w:t xml:space="preserve"> de</w:t>
      </w:r>
      <w:r>
        <w:rPr>
          <w:sz w:val="24"/>
          <w:szCs w:val="24"/>
        </w:rPr>
        <w:t xml:space="preserve"> 9.094,14 km². “Moju”, palavra de origem tupi significa "Rio das Cobras", pela junção de mboîa (cobra) e 'y (rio). </w:t>
      </w:r>
    </w:p>
    <w:p w14:paraId="3455259F" w14:textId="134DDDEB" w:rsidR="00712D46" w:rsidRDefault="00000000" w:rsidP="004A53D8">
      <w:pPr>
        <w:spacing w:line="360" w:lineRule="auto"/>
        <w:ind w:leftChars="0" w:left="0" w:firstLineChars="0" w:firstLine="720"/>
        <w:jc w:val="both"/>
        <w:rPr>
          <w:color w:val="4472C4"/>
          <w:sz w:val="24"/>
          <w:szCs w:val="24"/>
        </w:rPr>
      </w:pPr>
      <w:r>
        <w:rPr>
          <w:sz w:val="24"/>
          <w:szCs w:val="24"/>
        </w:rPr>
        <w:t>O território de Moj</w:t>
      </w:r>
      <w:r w:rsidR="0019023D">
        <w:rPr>
          <w:sz w:val="24"/>
          <w:szCs w:val="24"/>
        </w:rPr>
        <w:t>u</w:t>
      </w:r>
      <w:r>
        <w:rPr>
          <w:sz w:val="24"/>
          <w:szCs w:val="24"/>
        </w:rPr>
        <w:t xml:space="preserve"> foi inicialmente ocupado por meio de concessões de sesmarias durante o período colonial. Entre os primeiros proprietários de terras na </w:t>
      </w:r>
      <w:r>
        <w:rPr>
          <w:sz w:val="24"/>
          <w:szCs w:val="24"/>
        </w:rPr>
        <w:lastRenderedPageBreak/>
        <w:t>região estavam Antônio Dorneles de Sousa, Inácio Vaz Chaves e o Barão do Cairari. Apesar de ser uma área com baixa densidade populacional, Moju atraiu o interesse da Coroa Portuguesa devido ao seu rio navegável, terras férteis e à presença de nativos que poderiam ser utilizados como mão de obra (Costa e Corrêa, 2015).</w:t>
      </w:r>
    </w:p>
    <w:p w14:paraId="419115FC" w14:textId="2D473293" w:rsidR="00712D46" w:rsidRDefault="00000000">
      <w:pPr>
        <w:tabs>
          <w:tab w:val="left" w:pos="0"/>
        </w:tabs>
        <w:spacing w:line="360" w:lineRule="auto"/>
        <w:ind w:left="0" w:hanging="2"/>
        <w:jc w:val="both"/>
        <w:rPr>
          <w:color w:val="000000"/>
          <w:sz w:val="24"/>
          <w:szCs w:val="24"/>
        </w:rPr>
      </w:pPr>
      <w:r>
        <w:rPr>
          <w:color w:val="000000"/>
          <w:sz w:val="24"/>
          <w:szCs w:val="24"/>
        </w:rPr>
        <w:tab/>
      </w:r>
      <w:r w:rsidR="004A53D8">
        <w:rPr>
          <w:color w:val="000000"/>
          <w:sz w:val="24"/>
          <w:szCs w:val="24"/>
        </w:rPr>
        <w:tab/>
      </w:r>
      <w:r>
        <w:rPr>
          <w:sz w:val="24"/>
          <w:szCs w:val="24"/>
        </w:rPr>
        <w:t xml:space="preserve">O município teve a sua gênese </w:t>
      </w:r>
      <w:r>
        <w:rPr>
          <w:color w:val="000000"/>
          <w:sz w:val="24"/>
          <w:szCs w:val="24"/>
        </w:rPr>
        <w:t>a partir de um povoado em terras de propriedade de Antônio Dornelles de Sousa, conhecido por "</w:t>
      </w:r>
      <w:r>
        <w:rPr>
          <w:sz w:val="24"/>
          <w:szCs w:val="24"/>
        </w:rPr>
        <w:t>Sítio Antônio</w:t>
      </w:r>
      <w:r>
        <w:rPr>
          <w:color w:val="000000"/>
          <w:sz w:val="24"/>
          <w:szCs w:val="24"/>
        </w:rPr>
        <w:t xml:space="preserve"> Dornelles". Em 1754 o povoado passou a Freguesia. Elevado à categoria de Vila por leis provinciais de 1856 (279), 1864 (441) e 1870 (628); foi extinto em 1887 e recriado em 1889. Extinto, novamente, em 1930, o município, finalmente, é emancipado pela Lei Estadual nº 8, de 31 de outubro de 1935. </w:t>
      </w:r>
    </w:p>
    <w:p w14:paraId="306558AE" w14:textId="0D3D6F1D" w:rsidR="004A53D8" w:rsidRDefault="00000000" w:rsidP="004A53D8">
      <w:pPr>
        <w:spacing w:line="360" w:lineRule="auto"/>
        <w:ind w:leftChars="0" w:left="0" w:firstLineChars="0" w:firstLine="720"/>
        <w:jc w:val="both"/>
        <w:rPr>
          <w:color w:val="000000"/>
          <w:sz w:val="24"/>
          <w:szCs w:val="24"/>
        </w:rPr>
      </w:pPr>
      <w:r>
        <w:rPr>
          <w:color w:val="000000"/>
          <w:sz w:val="24"/>
          <w:szCs w:val="24"/>
        </w:rPr>
        <w:t>A economia de Moju é majoritariamente fundamentada na agricultura, com ênfase na produção de açaí, cacau e mandioca. Além disso, a região se destaca pela exploração de recursos naturais</w:t>
      </w:r>
      <w:r w:rsidR="0019023D">
        <w:rPr>
          <w:color w:val="000000"/>
          <w:sz w:val="24"/>
          <w:szCs w:val="24"/>
        </w:rPr>
        <w:t>,</w:t>
      </w:r>
      <w:r>
        <w:rPr>
          <w:color w:val="000000"/>
          <w:sz w:val="24"/>
          <w:szCs w:val="24"/>
        </w:rPr>
        <w:t xml:space="preserve"> como a extração de madeira, e pelo cultivo em grandes projetos de dendê e coco. Uma característica notável da área é a presença de pequenas propriedades rurais e a prática da agricultura familiar.</w:t>
      </w:r>
    </w:p>
    <w:p w14:paraId="30ED01C4" w14:textId="77777777" w:rsidR="004A53D8" w:rsidRDefault="00000000" w:rsidP="004A53D8">
      <w:pPr>
        <w:spacing w:line="360" w:lineRule="auto"/>
        <w:ind w:leftChars="0" w:left="0" w:firstLineChars="0" w:firstLine="720"/>
        <w:jc w:val="both"/>
        <w:rPr>
          <w:color w:val="000000"/>
          <w:sz w:val="24"/>
          <w:szCs w:val="24"/>
        </w:rPr>
      </w:pPr>
      <w:r>
        <w:rPr>
          <w:sz w:val="24"/>
          <w:szCs w:val="24"/>
        </w:rPr>
        <w:t>Quanto à educação, o Ensino Fundamental foi municipalizado em 2001, com a Secretaria Municipal de Educação (SEMED) assumindo o total gerenciamento. O processo de municipalização tinha o objetivo de aproximar a administração das escolas da comunidade, proporcionando um controle mais rigoroso e uma fiscalização mais eficiente, além de otimizar a organização técnica. Essa transformação seguiu tendência neoliberal que procurava reduzir a atuação do Estado nas questões sociais, delegando essas responsabilidades aos municípios (Costa e Corrêa, 2015).</w:t>
      </w:r>
    </w:p>
    <w:p w14:paraId="7D603CE4" w14:textId="77777777" w:rsidR="004A53D8" w:rsidRDefault="00000000" w:rsidP="004A53D8">
      <w:pPr>
        <w:spacing w:line="360" w:lineRule="auto"/>
        <w:ind w:leftChars="0" w:left="0" w:firstLineChars="0" w:firstLine="720"/>
        <w:jc w:val="both"/>
        <w:rPr>
          <w:color w:val="000000"/>
          <w:sz w:val="24"/>
          <w:szCs w:val="24"/>
        </w:rPr>
      </w:pPr>
      <w:r>
        <w:rPr>
          <w:sz w:val="24"/>
          <w:szCs w:val="24"/>
        </w:rPr>
        <w:t xml:space="preserve">Moju enfrenta desafios comuns a muitos municípios da região amazônica paraense, como a dificuldade de acesso e permanência dos estudantes nas escolas, em virtude de sua extensa área territorial e diversidade geográfica. No entanto, esforços têm sido empreendidos para aprimorar a infraestrutura educacional, tanto no aspecto físico quanto pedagógico, incluindo a promoção da inclusão. Esse esforço se reflete na presença de escolas públicas em todo o território mojuense e em iniciativas </w:t>
      </w:r>
      <w:r>
        <w:rPr>
          <w:sz w:val="24"/>
          <w:szCs w:val="24"/>
        </w:rPr>
        <w:lastRenderedPageBreak/>
        <w:t>constantes de busca ativa, recomposição da aprendizagem e alfabetização de crianças, adolescentes, jovens, adultos e idosos.</w:t>
      </w:r>
    </w:p>
    <w:p w14:paraId="61B488FF" w14:textId="77777777" w:rsidR="004A53D8" w:rsidRDefault="00000000" w:rsidP="004A53D8">
      <w:pPr>
        <w:spacing w:line="360" w:lineRule="auto"/>
        <w:ind w:leftChars="0" w:left="0" w:firstLineChars="0" w:firstLine="720"/>
        <w:jc w:val="both"/>
        <w:rPr>
          <w:color w:val="000000"/>
          <w:sz w:val="24"/>
          <w:szCs w:val="24"/>
        </w:rPr>
      </w:pPr>
      <w:r>
        <w:rPr>
          <w:sz w:val="24"/>
          <w:szCs w:val="24"/>
        </w:rPr>
        <w:t>O município também desenvolve programas e projetos educacionais que valorizam a cultura local e promovem a preservação do meio ambiente, alinhando a educação a práticas sustentáveis e equitativas. A SEMED tem como missão “Garantir a excelência nos serviços educacionais públicos prestados à comunidade mojuense, assegurando o direito de aprender de todos os povos com responsabilidade, equidade e sustentabilidade”; visa a “ser uma secretaria de qualidade e referência no Baixo Tocantins, visando à excelência no atendimento educacional de forma equânime e sustentável para a aprendizagem de todos os alunos” e, tem como valor o “Compromisso, Diversidade, Equidade, Ética, Excelência, Inclusão, Inovação, Gestão Democrática, Responsabilidade e Sustentabilidade”. (SEMED, 2022).</w:t>
      </w:r>
    </w:p>
    <w:p w14:paraId="05DF6401" w14:textId="77777777" w:rsidR="004A53D8" w:rsidRDefault="00000000" w:rsidP="004A53D8">
      <w:pPr>
        <w:spacing w:line="360" w:lineRule="auto"/>
        <w:ind w:leftChars="0" w:left="0" w:firstLineChars="0" w:firstLine="720"/>
        <w:jc w:val="both"/>
        <w:rPr>
          <w:color w:val="000000"/>
          <w:sz w:val="24"/>
          <w:szCs w:val="24"/>
        </w:rPr>
      </w:pPr>
      <w:r>
        <w:rPr>
          <w:sz w:val="24"/>
          <w:szCs w:val="24"/>
        </w:rPr>
        <w:t>As escolas do município estão distribuídas em oito regiões: Sede, PA-150, PA-252, Jambuaçu, Baixo Moju, Médio Moju, Alto Moju e Cairari. As instituições de ensino estão localizadas próximas a rios, rodovias, assentamentos e comunidades tradicionais, incluindo comunidades quilombolas e indígena da etnia Anambé.</w:t>
      </w:r>
    </w:p>
    <w:p w14:paraId="0EA51E5E" w14:textId="77777777" w:rsidR="004A53D8" w:rsidRDefault="00000000" w:rsidP="004A53D8">
      <w:pPr>
        <w:spacing w:line="360" w:lineRule="auto"/>
        <w:ind w:leftChars="0" w:left="0" w:firstLineChars="0" w:firstLine="720"/>
        <w:jc w:val="both"/>
        <w:rPr>
          <w:color w:val="C00000"/>
          <w:sz w:val="24"/>
          <w:szCs w:val="24"/>
        </w:rPr>
      </w:pPr>
      <w:r>
        <w:rPr>
          <w:sz w:val="24"/>
          <w:szCs w:val="24"/>
        </w:rPr>
        <w:t>De acordo com a Coordenação de Estatística, Inspeção e Documentação Escolar (CEIDE/2023) da SEMED, a rede educacional de Moju é composta por 157 escolas ativas. Dessas, 87,3% estão situadas na zona rural, com um total de 13.533 matrículas, enquanto a zona urbana contabiliza 6.181, somando 19.714 no total. Moju tem um número significativo de escolas no campo, em locais longínquos e de difícil acesso. Sua extensão geográfica é composta por diversidade como povos dos campos, das águas, dos rios e das florestas.</w:t>
      </w:r>
      <w:r>
        <w:rPr>
          <w:color w:val="C00000"/>
          <w:sz w:val="24"/>
          <w:szCs w:val="24"/>
        </w:rPr>
        <w:t xml:space="preserve">  </w:t>
      </w:r>
    </w:p>
    <w:p w14:paraId="309A729C" w14:textId="302BA94F" w:rsidR="007C2D94" w:rsidRDefault="007C2D94" w:rsidP="004A53D8">
      <w:pPr>
        <w:spacing w:line="360" w:lineRule="auto"/>
        <w:ind w:leftChars="0" w:left="0" w:firstLineChars="0" w:firstLine="720"/>
        <w:jc w:val="both"/>
        <w:rPr>
          <w:color w:val="000000"/>
          <w:sz w:val="24"/>
          <w:szCs w:val="24"/>
        </w:rPr>
      </w:pPr>
      <w:r>
        <w:rPr>
          <w:color w:val="C00000"/>
          <w:sz w:val="24"/>
          <w:szCs w:val="24"/>
        </w:rPr>
        <w:tab/>
      </w:r>
    </w:p>
    <w:p w14:paraId="0B54DEBF" w14:textId="365DE05A" w:rsidR="00712D46" w:rsidRPr="004A53D8" w:rsidRDefault="004A53D8" w:rsidP="004A53D8">
      <w:pPr>
        <w:spacing w:line="360" w:lineRule="auto"/>
        <w:ind w:leftChars="0" w:left="0" w:firstLineChars="0" w:firstLine="0"/>
        <w:jc w:val="both"/>
        <w:rPr>
          <w:b/>
          <w:bCs/>
          <w:color w:val="000000"/>
          <w:sz w:val="24"/>
          <w:szCs w:val="24"/>
        </w:rPr>
      </w:pPr>
      <w:r w:rsidRPr="004A53D8">
        <w:rPr>
          <w:b/>
          <w:bCs/>
          <w:color w:val="000000"/>
          <w:sz w:val="24"/>
          <w:szCs w:val="24"/>
        </w:rPr>
        <w:t xml:space="preserve">3 </w:t>
      </w:r>
      <w:r w:rsidRPr="004A53D8">
        <w:rPr>
          <w:b/>
          <w:bCs/>
          <w:sz w:val="24"/>
          <w:szCs w:val="24"/>
        </w:rPr>
        <w:t>RESULTADOS</w:t>
      </w:r>
    </w:p>
    <w:p w14:paraId="51F20A3F" w14:textId="77777777" w:rsidR="00712D46" w:rsidRDefault="00712D46">
      <w:pPr>
        <w:spacing w:line="360" w:lineRule="auto"/>
        <w:ind w:left="0" w:hanging="2"/>
        <w:jc w:val="both"/>
        <w:rPr>
          <w:sz w:val="24"/>
          <w:szCs w:val="24"/>
        </w:rPr>
      </w:pPr>
    </w:p>
    <w:p w14:paraId="4D7FE9F4" w14:textId="77777777" w:rsidR="00712D46" w:rsidRDefault="00000000" w:rsidP="007C2D94">
      <w:pPr>
        <w:spacing w:line="360" w:lineRule="auto"/>
        <w:ind w:leftChars="0" w:left="0" w:firstLineChars="0" w:firstLine="720"/>
        <w:jc w:val="both"/>
        <w:rPr>
          <w:sz w:val="24"/>
          <w:szCs w:val="24"/>
        </w:rPr>
      </w:pPr>
      <w:r>
        <w:rPr>
          <w:sz w:val="24"/>
          <w:szCs w:val="24"/>
        </w:rPr>
        <w:t xml:space="preserve">O recurso do PDDE Básico é repassado às instituições de ensino pelo FNDE, por meio das Unidades Executoras (UEX) vinculadas a cada unidade. O montante recebido é calculado com base no número de estudantes matriculados no ano anterior, </w:t>
      </w:r>
      <w:r>
        <w:rPr>
          <w:sz w:val="24"/>
          <w:szCs w:val="24"/>
        </w:rPr>
        <w:lastRenderedPageBreak/>
        <w:t>conforme os dados do censo escolar. As escolas beneficiadas devem contar com um colegiado responsável por deliberar sobre a aplicação dos recursos, estabelecendo prioridades de acordo com as demandas mais urgentes, tanto na categoria de custeio quanto na de capital. Compete à escola incentivar a participação da comunidade escolar nesse processo decisório, bem como tornar evidentes as principais necessidades da instituição (BRASIL, 2021).</w:t>
      </w:r>
    </w:p>
    <w:p w14:paraId="3F3F1207" w14:textId="77777777" w:rsidR="00712D46" w:rsidRDefault="00000000" w:rsidP="007C2D94">
      <w:pPr>
        <w:spacing w:line="360" w:lineRule="auto"/>
        <w:ind w:leftChars="0" w:left="0" w:firstLineChars="0" w:firstLine="720"/>
        <w:jc w:val="both"/>
        <w:rPr>
          <w:sz w:val="24"/>
          <w:szCs w:val="24"/>
        </w:rPr>
      </w:pPr>
      <w:r>
        <w:rPr>
          <w:sz w:val="24"/>
          <w:szCs w:val="24"/>
        </w:rPr>
        <w:t>De acordo com Dourado (2007), não basta que os marcos legais apenas definem essa orientação; é fundamental que ela se concretize na prática, por meio da participação ativa de todos os setores da comunidade escolar e local, tais como os profissionais da educação, estudantes, familiares, conselhos escolares, sindicatos, associações comunitárias, entre outros.</w:t>
      </w:r>
    </w:p>
    <w:p w14:paraId="6E9AD722" w14:textId="62516800" w:rsidR="007C2D94" w:rsidRDefault="00000000" w:rsidP="007C2D94">
      <w:pPr>
        <w:spacing w:line="360" w:lineRule="auto"/>
        <w:ind w:leftChars="0" w:left="0" w:firstLineChars="0" w:firstLine="720"/>
        <w:jc w:val="both"/>
        <w:rPr>
          <w:sz w:val="24"/>
          <w:szCs w:val="24"/>
        </w:rPr>
      </w:pPr>
      <w:r>
        <w:rPr>
          <w:sz w:val="24"/>
          <w:szCs w:val="24"/>
        </w:rPr>
        <w:t>Segundo Libâneo (2012), a participação constitui um elemento essencial para a efetivação da gestão democrática nas escolas, uma vez que permite o envolvimento de todos os membros da comunidade escolar nos processos decisórios e na organização do cotidiano institucional. Por meio da participação, os sujeitos passam a compreender com maior clareza os objetivos e as metas da escola, sua estrutura e dinâmica organizacional, bem como suas relações com a comunidade externa. Além disso, esse processo favorece a construção d</w:t>
      </w:r>
      <w:r w:rsidR="00183A06">
        <w:rPr>
          <w:sz w:val="24"/>
          <w:szCs w:val="24"/>
        </w:rPr>
        <w:t>o</w:t>
      </w:r>
      <w:r>
        <w:rPr>
          <w:sz w:val="24"/>
          <w:szCs w:val="24"/>
        </w:rPr>
        <w:t xml:space="preserve"> ambiente de trabalho mais colaborativo, promovendo o fortalecimento dos vínculos entre professores, alunos e famílias.</w:t>
      </w:r>
    </w:p>
    <w:p w14:paraId="25E493BC" w14:textId="17032675" w:rsidR="00712D46" w:rsidRDefault="00000000" w:rsidP="007C2D94">
      <w:pPr>
        <w:spacing w:line="360" w:lineRule="auto"/>
        <w:ind w:leftChars="0" w:left="0" w:firstLineChars="0" w:firstLine="720"/>
        <w:jc w:val="both"/>
        <w:rPr>
          <w:sz w:val="24"/>
          <w:szCs w:val="24"/>
        </w:rPr>
      </w:pPr>
      <w:r>
        <w:rPr>
          <w:sz w:val="24"/>
          <w:szCs w:val="24"/>
        </w:rPr>
        <w:t>As falas coletadas revelam distintos níveis de engajamento no processo de gestão participativa escolar, especialmente no que diz respeito à aplicação dos recursos financeiros do PDDE. A análise dessas perspectivas permite uma reflexão sobre as práticas de gestão adotadas nas unidades escolares pesquisadas. No primeiro conjunto de depoimentos dos sujeitos entrevistados observamos fragilidade na efetivação da gestão democrática:</w:t>
      </w:r>
    </w:p>
    <w:p w14:paraId="0FAD2CF7" w14:textId="77777777" w:rsidR="002D7363" w:rsidRDefault="002D7363" w:rsidP="007C2D94">
      <w:pPr>
        <w:spacing w:line="360" w:lineRule="auto"/>
        <w:ind w:leftChars="0" w:left="0" w:firstLineChars="0" w:firstLine="720"/>
        <w:jc w:val="both"/>
        <w:rPr>
          <w:sz w:val="24"/>
          <w:szCs w:val="24"/>
        </w:rPr>
      </w:pPr>
    </w:p>
    <w:p w14:paraId="4D0447F9" w14:textId="77777777" w:rsidR="00712D46" w:rsidRDefault="00000000" w:rsidP="007C2D94">
      <w:pPr>
        <w:spacing w:line="240" w:lineRule="auto"/>
        <w:ind w:leftChars="1030" w:left="2268" w:hanging="2"/>
        <w:jc w:val="both"/>
        <w:rPr>
          <w:sz w:val="20"/>
          <w:szCs w:val="20"/>
        </w:rPr>
      </w:pPr>
      <w:r>
        <w:rPr>
          <w:sz w:val="20"/>
          <w:szCs w:val="20"/>
        </w:rPr>
        <w:t>De acordo como a gente vai observando a necessidade da escola, a gente faz esse levantamento e conversa com alguns membros. A gente não costuma reunir muito, não. (Gestora 1).</w:t>
      </w:r>
    </w:p>
    <w:p w14:paraId="3849E988" w14:textId="77777777" w:rsidR="00712D46" w:rsidRDefault="00712D46" w:rsidP="007C2D94">
      <w:pPr>
        <w:spacing w:line="240" w:lineRule="auto"/>
        <w:ind w:leftChars="1030" w:left="2268" w:hanging="2"/>
        <w:jc w:val="both"/>
        <w:rPr>
          <w:sz w:val="20"/>
          <w:szCs w:val="20"/>
        </w:rPr>
      </w:pPr>
    </w:p>
    <w:p w14:paraId="0690EA97" w14:textId="6C5CC6F8" w:rsidR="00712D46" w:rsidRDefault="00000000" w:rsidP="007C2D94">
      <w:pPr>
        <w:spacing w:line="240" w:lineRule="auto"/>
        <w:ind w:leftChars="1030" w:left="2268" w:hanging="2"/>
        <w:jc w:val="both"/>
        <w:rPr>
          <w:sz w:val="20"/>
          <w:szCs w:val="20"/>
        </w:rPr>
      </w:pPr>
      <w:r>
        <w:rPr>
          <w:sz w:val="20"/>
          <w:szCs w:val="20"/>
        </w:rPr>
        <w:t xml:space="preserve">A gente não faz assim como deveria fazer, né? </w:t>
      </w:r>
      <w:r w:rsidR="007C2D94">
        <w:rPr>
          <w:sz w:val="20"/>
          <w:szCs w:val="20"/>
        </w:rPr>
        <w:t>[...],</w:t>
      </w:r>
      <w:r>
        <w:rPr>
          <w:sz w:val="20"/>
          <w:szCs w:val="20"/>
        </w:rPr>
        <w:t xml:space="preserve"> </w:t>
      </w:r>
      <w:r w:rsidR="007C2D94">
        <w:rPr>
          <w:sz w:val="20"/>
          <w:szCs w:val="20"/>
        </w:rPr>
        <w:t>mas</w:t>
      </w:r>
      <w:r>
        <w:rPr>
          <w:sz w:val="20"/>
          <w:szCs w:val="20"/>
        </w:rPr>
        <w:t xml:space="preserve"> a gente sempre conversa com os nossos professores, a gente pede opinião dos funcionários da escola. Mas a gente não reúne para decidir no coletivo, entendeu?  (Coordenador Pedagógico 1).</w:t>
      </w:r>
    </w:p>
    <w:p w14:paraId="008450B7" w14:textId="77777777" w:rsidR="00712D46" w:rsidRDefault="00712D46" w:rsidP="007C2D94">
      <w:pPr>
        <w:spacing w:line="240" w:lineRule="auto"/>
        <w:ind w:leftChars="1030" w:left="2268" w:hanging="2"/>
        <w:jc w:val="both"/>
        <w:rPr>
          <w:sz w:val="20"/>
          <w:szCs w:val="20"/>
        </w:rPr>
      </w:pPr>
    </w:p>
    <w:p w14:paraId="6F19363F" w14:textId="77777777" w:rsidR="00712D46" w:rsidRDefault="00712D46">
      <w:pPr>
        <w:spacing w:line="240" w:lineRule="auto"/>
        <w:ind w:left="0" w:hanging="2"/>
        <w:jc w:val="both"/>
        <w:rPr>
          <w:sz w:val="20"/>
          <w:szCs w:val="20"/>
        </w:rPr>
      </w:pPr>
    </w:p>
    <w:p w14:paraId="354310D1" w14:textId="419ED2CB" w:rsidR="00712D46" w:rsidRDefault="00000000" w:rsidP="00177E7E">
      <w:pPr>
        <w:spacing w:line="360" w:lineRule="auto"/>
        <w:ind w:leftChars="0" w:left="0" w:firstLineChars="0" w:firstLine="720"/>
        <w:jc w:val="both"/>
        <w:rPr>
          <w:sz w:val="24"/>
          <w:szCs w:val="24"/>
        </w:rPr>
      </w:pPr>
      <w:r>
        <w:rPr>
          <w:sz w:val="24"/>
          <w:szCs w:val="24"/>
        </w:rPr>
        <w:t xml:space="preserve">As falas revelam que, embora haja uma preocupação em escutar informalmente a comunidade escolar, as decisões relativas ao uso dos recursos não são tomadas de maneira coletiva e institucionalizada. </w:t>
      </w:r>
      <w:r w:rsidR="00177E7E">
        <w:rPr>
          <w:sz w:val="24"/>
          <w:szCs w:val="24"/>
        </w:rPr>
        <w:t>As expressões como “a gente não costumam</w:t>
      </w:r>
      <w:r>
        <w:rPr>
          <w:sz w:val="24"/>
          <w:szCs w:val="24"/>
        </w:rPr>
        <w:t xml:space="preserve"> reunir muito" e "a gente pergunta e indaga sobre a necessidade" indicam uma participação pontual e restrita, marcada por práticas que desconsideram a importância das reuniões formais do conselho escolar, conforme prevê a legislação vigente (BRASIL, 2021). Essa ausência de instâncias deliberativas vai de encontro com o princípio da gestão participativa, limitando o protagonismo da comunidade escolar e enfraquecendo os espaços de controle social. Em contraste, o segundo grupo de falas, demonstra uma postura mais alinhada aos pressupostos da gestão democrática:</w:t>
      </w:r>
    </w:p>
    <w:p w14:paraId="68E8DF97" w14:textId="77777777" w:rsidR="00712D46" w:rsidRDefault="00712D46">
      <w:pPr>
        <w:spacing w:line="360" w:lineRule="auto"/>
        <w:ind w:left="0" w:hanging="2"/>
        <w:jc w:val="both"/>
        <w:rPr>
          <w:sz w:val="24"/>
          <w:szCs w:val="24"/>
        </w:rPr>
      </w:pPr>
    </w:p>
    <w:p w14:paraId="48D69080" w14:textId="3C7DF549" w:rsidR="00712D46" w:rsidRDefault="00000000" w:rsidP="007C2D94">
      <w:pPr>
        <w:spacing w:line="240" w:lineRule="auto"/>
        <w:ind w:leftChars="1030" w:left="2268" w:hanging="2"/>
        <w:jc w:val="both"/>
        <w:rPr>
          <w:sz w:val="20"/>
          <w:szCs w:val="20"/>
        </w:rPr>
      </w:pPr>
      <w:r>
        <w:rPr>
          <w:sz w:val="20"/>
          <w:szCs w:val="20"/>
        </w:rPr>
        <w:t xml:space="preserve">A gente reúne e </w:t>
      </w:r>
      <w:r w:rsidR="009350FE">
        <w:rPr>
          <w:sz w:val="20"/>
          <w:szCs w:val="20"/>
        </w:rPr>
        <w:t>ver</w:t>
      </w:r>
      <w:r w:rsidR="00183A06">
        <w:rPr>
          <w:sz w:val="20"/>
          <w:szCs w:val="20"/>
        </w:rPr>
        <w:t xml:space="preserve"> </w:t>
      </w:r>
      <w:r>
        <w:rPr>
          <w:sz w:val="20"/>
          <w:szCs w:val="20"/>
        </w:rPr>
        <w:t xml:space="preserve"> quais são as prioridades. Porque o dinheiro não dá para fazer tudo que a gente quer. Então a gente prioriza. Porque tem o que é para gastar com material permanente</w:t>
      </w:r>
      <w:r w:rsidR="00C0469E">
        <w:rPr>
          <w:sz w:val="20"/>
          <w:szCs w:val="20"/>
        </w:rPr>
        <w:t>,</w:t>
      </w:r>
      <w:r>
        <w:rPr>
          <w:sz w:val="20"/>
          <w:szCs w:val="20"/>
        </w:rPr>
        <w:t xml:space="preserve"> que é o capital, e o custeio. Então assim a gente elege as prioridades. (Gestora 2).</w:t>
      </w:r>
    </w:p>
    <w:p w14:paraId="6A7266DF" w14:textId="77777777" w:rsidR="00712D46" w:rsidRDefault="00712D46" w:rsidP="007C2D94">
      <w:pPr>
        <w:spacing w:line="240" w:lineRule="auto"/>
        <w:ind w:leftChars="1030" w:left="2268" w:hanging="2"/>
        <w:jc w:val="both"/>
        <w:rPr>
          <w:sz w:val="20"/>
          <w:szCs w:val="20"/>
        </w:rPr>
      </w:pPr>
    </w:p>
    <w:p w14:paraId="41E17A30" w14:textId="77777777" w:rsidR="00712D46" w:rsidRDefault="00000000" w:rsidP="007C2D94">
      <w:pPr>
        <w:spacing w:line="240" w:lineRule="auto"/>
        <w:ind w:leftChars="1030" w:left="2268" w:hanging="2"/>
        <w:jc w:val="both"/>
        <w:rPr>
          <w:sz w:val="20"/>
          <w:szCs w:val="20"/>
        </w:rPr>
      </w:pPr>
      <w:r>
        <w:rPr>
          <w:sz w:val="20"/>
          <w:szCs w:val="20"/>
        </w:rPr>
        <w:t>É sempre por meio de reuniões, é feita convocação [...] os recursos já vêm destinados entre custeio e capital, a gente explica, porque tem aquela questão, uns querem datashow, outro notebook, então a escola está precisando de um bebedouro, mas às vezes o recurso do PDDE não é suficiente, a gente explica porque entra em conflito, o pai, do aluno quer porque quer aquilo, e às vezes o dinheiro não dá. (Coordenadora Pedagógica 2).</w:t>
      </w:r>
    </w:p>
    <w:p w14:paraId="021962FA" w14:textId="77777777" w:rsidR="00712D46" w:rsidRDefault="00712D46">
      <w:pPr>
        <w:spacing w:line="360" w:lineRule="auto"/>
        <w:ind w:left="0" w:hanging="2"/>
        <w:jc w:val="both"/>
        <w:rPr>
          <w:sz w:val="24"/>
          <w:szCs w:val="24"/>
        </w:rPr>
      </w:pPr>
    </w:p>
    <w:p w14:paraId="3A803C90" w14:textId="77777777" w:rsidR="006616D6" w:rsidRDefault="00000000" w:rsidP="006616D6">
      <w:pPr>
        <w:spacing w:line="360" w:lineRule="auto"/>
        <w:ind w:left="0" w:hanging="2"/>
        <w:jc w:val="both"/>
        <w:rPr>
          <w:sz w:val="24"/>
          <w:szCs w:val="24"/>
        </w:rPr>
      </w:pPr>
      <w:r>
        <w:rPr>
          <w:sz w:val="24"/>
          <w:szCs w:val="24"/>
        </w:rPr>
        <w:t xml:space="preserve"> </w:t>
      </w:r>
      <w:r w:rsidR="006616D6">
        <w:rPr>
          <w:sz w:val="24"/>
          <w:szCs w:val="24"/>
        </w:rPr>
        <w:tab/>
      </w:r>
      <w:r>
        <w:rPr>
          <w:sz w:val="24"/>
          <w:szCs w:val="24"/>
        </w:rPr>
        <w:t xml:space="preserve">Os sujeitos relatam a realização de reuniões para definição de prioridades, destacando a necessidade de planejamento e negociação frente à limitação orçamentária. A menção à explicação dos critérios de aplicação do recurso, à eleição de prioridades e à escuta da comunidade indica a presença de um processo deliberativo mais estruturado. Ainda que desafios persistem, como o conflito de </w:t>
      </w:r>
      <w:r>
        <w:rPr>
          <w:sz w:val="24"/>
          <w:szCs w:val="24"/>
        </w:rPr>
        <w:lastRenderedPageBreak/>
        <w:t>interesses entre os membros da comunidade escolar, há evidências de um esforço em viabilizar práticas dialógicas, coerentes com as diretrizes do PDDE e com os princípios da gestão democrática, conforme Dourado (2007) e Libâneo (2012).</w:t>
      </w:r>
    </w:p>
    <w:p w14:paraId="4F28193D" w14:textId="7966A6CC" w:rsidR="00177E7E" w:rsidRDefault="00000000" w:rsidP="006616D6">
      <w:pPr>
        <w:spacing w:line="360" w:lineRule="auto"/>
        <w:ind w:leftChars="0" w:left="0" w:firstLineChars="0" w:firstLine="720"/>
        <w:jc w:val="both"/>
        <w:rPr>
          <w:sz w:val="24"/>
          <w:szCs w:val="24"/>
        </w:rPr>
      </w:pPr>
      <w:r>
        <w:rPr>
          <w:sz w:val="24"/>
          <w:szCs w:val="24"/>
        </w:rPr>
        <w:t xml:space="preserve">Portanto, a análise do conteúdo documental e dos discursos evidencia uma distinção nítida entre as duas realidades escolares investigadas. A primeira escola apresenta uma participação superficial, sem a efetiva atuação do conselho escolar, contrariando o objetivo do </w:t>
      </w:r>
      <w:r w:rsidR="00C0469E">
        <w:rPr>
          <w:sz w:val="24"/>
          <w:szCs w:val="24"/>
        </w:rPr>
        <w:t>PDDE de</w:t>
      </w:r>
      <w:r>
        <w:rPr>
          <w:sz w:val="24"/>
          <w:szCs w:val="24"/>
        </w:rPr>
        <w:t xml:space="preserve"> promover o fortalecimento da autogestão escolar.</w:t>
      </w:r>
    </w:p>
    <w:p w14:paraId="6D7CA44F" w14:textId="10CE232C" w:rsidR="00712D46" w:rsidRDefault="00000000" w:rsidP="006616D6">
      <w:pPr>
        <w:spacing w:line="360" w:lineRule="auto"/>
        <w:ind w:leftChars="0" w:left="0" w:firstLineChars="0" w:firstLine="720"/>
        <w:jc w:val="both"/>
        <w:rPr>
          <w:sz w:val="24"/>
          <w:szCs w:val="24"/>
        </w:rPr>
      </w:pPr>
      <w:r>
        <w:rPr>
          <w:sz w:val="24"/>
          <w:szCs w:val="24"/>
        </w:rPr>
        <w:t>A segunda escola, por sua vez, apresenta sinais de avanço na consolidação de práticas mais participativas, mesmo diante das limitações financeiras e dos conflitos internos. Essa diferença revela que a gestão democrática não se consolida apenas pela existência de normativas legais, mas há indícios de uma cultura institucional voltada à valorização do diálogo, da transparência e da corresponsabilidade.</w:t>
      </w:r>
    </w:p>
    <w:p w14:paraId="61B86C66" w14:textId="47F05628" w:rsidR="00712D46" w:rsidRDefault="00000000" w:rsidP="00177E7E">
      <w:pPr>
        <w:spacing w:line="360" w:lineRule="auto"/>
        <w:ind w:leftChars="0" w:left="0" w:firstLineChars="0" w:firstLine="720"/>
        <w:jc w:val="both"/>
        <w:rPr>
          <w:sz w:val="24"/>
          <w:szCs w:val="24"/>
        </w:rPr>
      </w:pPr>
      <w:r>
        <w:rPr>
          <w:sz w:val="24"/>
          <w:szCs w:val="24"/>
        </w:rPr>
        <w:t xml:space="preserve">Indagamos também se consideram importante que o conselho escolar participe do planejamento para aplicação do recurso do PDDE Básico e </w:t>
      </w:r>
      <w:r w:rsidR="00C0469E">
        <w:rPr>
          <w:sz w:val="24"/>
          <w:szCs w:val="24"/>
        </w:rPr>
        <w:t xml:space="preserve">o </w:t>
      </w:r>
      <w:r>
        <w:rPr>
          <w:sz w:val="24"/>
          <w:szCs w:val="24"/>
        </w:rPr>
        <w:t>porquê</w:t>
      </w:r>
      <w:r w:rsidR="00C0469E">
        <w:rPr>
          <w:sz w:val="24"/>
          <w:szCs w:val="24"/>
        </w:rPr>
        <w:t>.</w:t>
      </w:r>
      <w:r>
        <w:rPr>
          <w:sz w:val="24"/>
          <w:szCs w:val="24"/>
        </w:rPr>
        <w:t xml:space="preserve"> E tivemos as seguintes respostas: </w:t>
      </w:r>
    </w:p>
    <w:p w14:paraId="7B236F13" w14:textId="77777777" w:rsidR="00712D46" w:rsidRPr="002D7363" w:rsidRDefault="00712D46">
      <w:pPr>
        <w:spacing w:line="360" w:lineRule="auto"/>
        <w:ind w:left="0" w:hanging="2"/>
        <w:jc w:val="both"/>
        <w:rPr>
          <w:sz w:val="24"/>
          <w:szCs w:val="24"/>
        </w:rPr>
      </w:pPr>
      <w:bookmarkStart w:id="2" w:name="_heading=h.ydoqh2a9uecl" w:colFirst="0" w:colLast="0"/>
      <w:bookmarkEnd w:id="2"/>
    </w:p>
    <w:p w14:paraId="19692CEE" w14:textId="77777777" w:rsidR="00712D46" w:rsidRPr="002D7363" w:rsidRDefault="00000000" w:rsidP="006616D6">
      <w:pPr>
        <w:spacing w:line="240" w:lineRule="auto"/>
        <w:ind w:leftChars="1030" w:left="2268" w:hanging="2"/>
        <w:jc w:val="both"/>
        <w:rPr>
          <w:rFonts w:eastAsia="Times New Roman"/>
          <w:sz w:val="20"/>
          <w:szCs w:val="20"/>
        </w:rPr>
      </w:pPr>
      <w:r w:rsidRPr="002D7363">
        <w:rPr>
          <w:rFonts w:eastAsia="Times New Roman"/>
          <w:sz w:val="20"/>
          <w:szCs w:val="20"/>
        </w:rPr>
        <w:t>Com certeza. Primeiro, porque é um dinheiro federal. A gente tem que saber lidar, porque você precisa prestar conta e tem que ter muita responsabilidade. Porque se você não tiver responsabilidade de gerir essa quantia que vem, a escola perde. Então, é gerir com responsabilidade (Gestora 2).</w:t>
      </w:r>
    </w:p>
    <w:p w14:paraId="72ED7834" w14:textId="77777777" w:rsidR="00712D46" w:rsidRPr="002D7363" w:rsidRDefault="00712D46" w:rsidP="006616D6">
      <w:pPr>
        <w:spacing w:line="240" w:lineRule="auto"/>
        <w:ind w:leftChars="1030" w:left="2268" w:hanging="2"/>
        <w:jc w:val="both"/>
        <w:rPr>
          <w:rFonts w:eastAsia="Times New Roman"/>
          <w:sz w:val="20"/>
          <w:szCs w:val="20"/>
        </w:rPr>
      </w:pPr>
    </w:p>
    <w:p w14:paraId="1B29699D" w14:textId="77777777" w:rsidR="00712D46" w:rsidRPr="002D7363" w:rsidRDefault="00000000" w:rsidP="006616D6">
      <w:pPr>
        <w:spacing w:line="240" w:lineRule="auto"/>
        <w:ind w:leftChars="1030" w:left="2268" w:hanging="2"/>
        <w:jc w:val="both"/>
        <w:rPr>
          <w:rFonts w:eastAsia="Times New Roman"/>
          <w:sz w:val="20"/>
          <w:szCs w:val="20"/>
        </w:rPr>
      </w:pPr>
      <w:r w:rsidRPr="002D7363">
        <w:rPr>
          <w:rFonts w:eastAsia="Times New Roman"/>
          <w:sz w:val="20"/>
          <w:szCs w:val="20"/>
        </w:rPr>
        <w:t>Sim, é importante, eu não sei por que as pessoas têm medo de fazer parte do conselho escolar. Então a gente vê uma resistência muito grande nessa participação, não é fácil [...] então acho que é importante, porque lá estão todas as representações do colegiado como representante de pais, alunos que podem ser escutados, o ponto de vista deles é diferente, aí o ponto de vista dos funcionários, daquele que é da comunidade, que não está dentro do âmbito da escola, ele tem uma visão diferente desse recurso, como pode ser aplicado (Coordenadora 2).</w:t>
      </w:r>
    </w:p>
    <w:p w14:paraId="1EC5764B" w14:textId="77777777" w:rsidR="00712D46" w:rsidRPr="002D7363" w:rsidRDefault="00712D46" w:rsidP="006616D6">
      <w:pPr>
        <w:spacing w:line="240" w:lineRule="auto"/>
        <w:ind w:leftChars="1030" w:left="2268" w:hanging="2"/>
        <w:jc w:val="both"/>
        <w:rPr>
          <w:rFonts w:eastAsia="Times New Roman"/>
          <w:sz w:val="20"/>
          <w:szCs w:val="20"/>
        </w:rPr>
      </w:pPr>
    </w:p>
    <w:p w14:paraId="1857CEF3" w14:textId="77777777" w:rsidR="00712D46" w:rsidRPr="002D7363" w:rsidRDefault="00000000" w:rsidP="006616D6">
      <w:pPr>
        <w:spacing w:line="240" w:lineRule="auto"/>
        <w:ind w:leftChars="1030" w:left="2268" w:hanging="2"/>
        <w:jc w:val="both"/>
        <w:rPr>
          <w:rFonts w:eastAsia="Times New Roman"/>
          <w:sz w:val="20"/>
          <w:szCs w:val="20"/>
        </w:rPr>
      </w:pPr>
      <w:r w:rsidRPr="002D7363">
        <w:rPr>
          <w:rFonts w:eastAsia="Times New Roman"/>
          <w:sz w:val="20"/>
          <w:szCs w:val="20"/>
        </w:rPr>
        <w:t>Sim. Para saber sobre onde o dinheiro está sendo aplicado, para melhoria da escola (Pai de aluno 1).</w:t>
      </w:r>
    </w:p>
    <w:p w14:paraId="7BAB007D" w14:textId="77777777" w:rsidR="00712D46" w:rsidRPr="002D7363" w:rsidRDefault="00712D46" w:rsidP="006616D6">
      <w:pPr>
        <w:spacing w:line="360" w:lineRule="auto"/>
        <w:ind w:leftChars="1030" w:left="2268" w:hanging="2"/>
        <w:jc w:val="both"/>
        <w:rPr>
          <w:sz w:val="24"/>
          <w:szCs w:val="24"/>
        </w:rPr>
      </w:pPr>
    </w:p>
    <w:p w14:paraId="6A3EAECC" w14:textId="77777777" w:rsidR="00712D46" w:rsidRDefault="00000000" w:rsidP="006616D6">
      <w:pPr>
        <w:spacing w:line="360" w:lineRule="auto"/>
        <w:ind w:leftChars="0" w:left="0" w:firstLineChars="0" w:firstLine="720"/>
        <w:jc w:val="both"/>
        <w:rPr>
          <w:sz w:val="24"/>
          <w:szCs w:val="24"/>
        </w:rPr>
      </w:pPr>
      <w:r>
        <w:rPr>
          <w:sz w:val="24"/>
          <w:szCs w:val="24"/>
        </w:rPr>
        <w:t xml:space="preserve">Segundo LDB 9394/96 a gestão democrática, pautada nos princípios de autonomia e participação, constitui um modelo de governo que prioriza a inclusão, a </w:t>
      </w:r>
      <w:r>
        <w:rPr>
          <w:sz w:val="24"/>
          <w:szCs w:val="24"/>
        </w:rPr>
        <w:lastRenderedPageBreak/>
        <w:t>transparência e a responsabilidade. Nesse caso, a autonomia institucional e individual é fundamental para fomentar decisões mais justas.</w:t>
      </w:r>
    </w:p>
    <w:p w14:paraId="749823B5" w14:textId="77777777" w:rsidR="00177E7E" w:rsidRDefault="00000000" w:rsidP="0086056E">
      <w:pPr>
        <w:spacing w:line="360" w:lineRule="auto"/>
        <w:ind w:leftChars="0" w:left="0" w:firstLineChars="0" w:firstLine="720"/>
        <w:jc w:val="both"/>
        <w:rPr>
          <w:sz w:val="24"/>
          <w:szCs w:val="24"/>
        </w:rPr>
      </w:pPr>
      <w:r>
        <w:rPr>
          <w:sz w:val="24"/>
          <w:szCs w:val="24"/>
        </w:rPr>
        <w:t xml:space="preserve">Gadotti, (2014), diz que a participação popular na gestão educacional vai além da criação de mecanismos, exigindo condições adequadas para ser efetiva. A sociedade civil enfrenta dificuldades, pois é necessário conhecimento técnico para acompanhar os debates. É fundamental garantir acessibilidade nos locais e horários das convocações. A organização e a estrutura também influenciam no engajamento. </w:t>
      </w:r>
    </w:p>
    <w:p w14:paraId="3D4CC422" w14:textId="60AD54B9" w:rsidR="0086056E" w:rsidRDefault="00000000" w:rsidP="0086056E">
      <w:pPr>
        <w:spacing w:line="360" w:lineRule="auto"/>
        <w:ind w:leftChars="0" w:left="0" w:firstLineChars="0" w:firstLine="720"/>
        <w:jc w:val="both"/>
        <w:rPr>
          <w:sz w:val="24"/>
          <w:szCs w:val="24"/>
        </w:rPr>
      </w:pPr>
      <w:r>
        <w:rPr>
          <w:sz w:val="24"/>
          <w:szCs w:val="24"/>
        </w:rPr>
        <w:t>A participação deve ser contínua e integrada à política educacional como prática democrática. À luz da LDB 9394/96 e dos teóricos citados, revela uma valorização da participação dos membros da comunidade escolar na gestão financeira da escola. As falas expressam consenso sobre a importância da transparência, do uso consciente dos recursos públicos e da escuta de diferentes vozes da comunidade, pais, professores e representantes locais. Essa visão dialoga diretamente com a LDB, que estabelece a gestão democrática como princípio fundamental da educação, com base na participação e autonomia.</w:t>
      </w:r>
    </w:p>
    <w:p w14:paraId="74A25CE9" w14:textId="77777777" w:rsidR="006E48F8" w:rsidRDefault="0086056E" w:rsidP="0086056E">
      <w:pPr>
        <w:spacing w:line="360" w:lineRule="auto"/>
        <w:ind w:leftChars="0" w:left="0" w:firstLineChars="0" w:firstLine="720"/>
        <w:jc w:val="both"/>
        <w:rPr>
          <w:sz w:val="24"/>
          <w:szCs w:val="24"/>
        </w:rPr>
      </w:pPr>
      <w:r>
        <w:rPr>
          <w:sz w:val="24"/>
          <w:szCs w:val="24"/>
        </w:rPr>
        <w:t xml:space="preserve">Apesar do reconhecimento da importância do Conselho Escolar, os depoimentos evidenciam desafios concretos à efetivação dessa participação, como a resistência da comunidade em se engajar, a baixa presença em reuniões e a sobrecarga de responsabilidades sobre a equipe gestora. Essa dificuldade é discutida por Gadotti (2014), a participação popular requer mais do que mecanismos formais, ela precisa de condições estruturais, formação técnica e acessibilidade para se tornar significativa. </w:t>
      </w:r>
    </w:p>
    <w:p w14:paraId="3666FAFF" w14:textId="24BA5812" w:rsidR="00712D46" w:rsidRDefault="00000000" w:rsidP="0086056E">
      <w:pPr>
        <w:spacing w:line="360" w:lineRule="auto"/>
        <w:ind w:leftChars="0" w:left="0" w:firstLineChars="0" w:firstLine="720"/>
        <w:jc w:val="both"/>
        <w:rPr>
          <w:sz w:val="24"/>
          <w:szCs w:val="24"/>
        </w:rPr>
      </w:pPr>
      <w:r>
        <w:rPr>
          <w:sz w:val="24"/>
          <w:szCs w:val="24"/>
        </w:rPr>
        <w:t xml:space="preserve">Embora o discurso sobre participação esteja alinhado com os princípios legais e teóricos, ainda há um distanciamento entre a teoria e a prática. Superar esse desafio exige investimento em formação, cultura participativa e fortalecimento de espaços democráticos com suporte técnico e institucional. </w:t>
      </w:r>
    </w:p>
    <w:p w14:paraId="27B7DFC8" w14:textId="77777777" w:rsidR="00712D46" w:rsidRDefault="00712D46">
      <w:pPr>
        <w:spacing w:line="360" w:lineRule="auto"/>
        <w:ind w:left="0" w:hanging="2"/>
        <w:jc w:val="both"/>
        <w:rPr>
          <w:sz w:val="24"/>
          <w:szCs w:val="24"/>
        </w:rPr>
      </w:pPr>
    </w:p>
    <w:p w14:paraId="5410B8A6" w14:textId="77777777" w:rsidR="00712D46" w:rsidRDefault="00000000">
      <w:pPr>
        <w:spacing w:line="360" w:lineRule="auto"/>
        <w:ind w:left="0" w:hanging="2"/>
        <w:jc w:val="both"/>
        <w:rPr>
          <w:sz w:val="24"/>
          <w:szCs w:val="24"/>
        </w:rPr>
      </w:pPr>
      <w:r>
        <w:rPr>
          <w:b/>
          <w:sz w:val="24"/>
          <w:szCs w:val="24"/>
        </w:rPr>
        <w:t>CONCLUSÃO</w:t>
      </w:r>
    </w:p>
    <w:p w14:paraId="20888C9A" w14:textId="77777777" w:rsidR="00712D46" w:rsidRDefault="00712D46">
      <w:pPr>
        <w:spacing w:line="360" w:lineRule="auto"/>
        <w:ind w:left="0" w:hanging="2"/>
        <w:jc w:val="both"/>
        <w:rPr>
          <w:sz w:val="24"/>
          <w:szCs w:val="24"/>
        </w:rPr>
      </w:pPr>
    </w:p>
    <w:p w14:paraId="3186B0AF" w14:textId="77777777" w:rsidR="00712D46" w:rsidRDefault="00000000" w:rsidP="0086056E">
      <w:pPr>
        <w:spacing w:line="360" w:lineRule="auto"/>
        <w:ind w:leftChars="0" w:left="0" w:firstLineChars="0" w:firstLine="720"/>
        <w:jc w:val="both"/>
        <w:rPr>
          <w:sz w:val="24"/>
          <w:szCs w:val="24"/>
        </w:rPr>
      </w:pPr>
      <w:r>
        <w:rPr>
          <w:sz w:val="24"/>
          <w:szCs w:val="24"/>
        </w:rPr>
        <w:lastRenderedPageBreak/>
        <w:t xml:space="preserve">A análise realizada revela que a efetividade do PDDE Básico, no que se refere à gestão democrática dos recursos financeiros, depende diretamente da compreensão e implementação dos princípios de participação e corresponsabilidade pelas escolas. Embora haja diretrizes legais que sustentam a gestão participativa, como a LDB 9394/96 e normativas do FNDE, a prática cotidiana demonstra que a existência desses dispositivos não assegura, por si só, sua efetivação. As realidades observadas apontam para uma diversidade de experiências: enquanto algumas escolas apresentam conselhos escolares fragilizados e práticas centralizadoras, outras conseguem avançar na consolidação de instâncias deliberativas, mesmo diante de desafios estruturais. </w:t>
      </w:r>
    </w:p>
    <w:p w14:paraId="17350105" w14:textId="215B6DFC" w:rsidR="00712D46" w:rsidRDefault="00000000" w:rsidP="006E48F8">
      <w:pPr>
        <w:spacing w:line="360" w:lineRule="auto"/>
        <w:ind w:leftChars="0" w:left="0" w:firstLineChars="0" w:firstLine="720"/>
        <w:jc w:val="both"/>
        <w:rPr>
          <w:sz w:val="24"/>
          <w:szCs w:val="24"/>
        </w:rPr>
      </w:pPr>
      <w:bookmarkStart w:id="3" w:name="_heading=h.ea4qaocgoe3f" w:colFirst="0" w:colLast="0"/>
      <w:bookmarkEnd w:id="3"/>
      <w:r>
        <w:rPr>
          <w:sz w:val="24"/>
          <w:szCs w:val="24"/>
        </w:rPr>
        <w:t>Portanto, o principal desafio consiste em aproximar teoria e prática, exigindo investimentos contínuos na formação dos atores escolares, no fortalecimento dos espaços de deliberação e na construção de uma cultura institucional pautada no diálogo e na transparência. Somente assim o PDDE</w:t>
      </w:r>
      <w:r w:rsidR="00370E33">
        <w:rPr>
          <w:sz w:val="24"/>
          <w:szCs w:val="24"/>
        </w:rPr>
        <w:t xml:space="preserve"> Básico</w:t>
      </w:r>
      <w:r>
        <w:rPr>
          <w:sz w:val="24"/>
          <w:szCs w:val="24"/>
        </w:rPr>
        <w:t xml:space="preserve"> poderá cumprir seu papel de fomentar uma educação pública democrática, justa e transformadora.</w:t>
      </w:r>
    </w:p>
    <w:p w14:paraId="6774CF51" w14:textId="77777777" w:rsidR="00712D46" w:rsidRDefault="00000000" w:rsidP="006E48F8">
      <w:pPr>
        <w:spacing w:line="360" w:lineRule="auto"/>
        <w:ind w:leftChars="0" w:left="0" w:firstLineChars="0" w:firstLine="720"/>
        <w:jc w:val="both"/>
        <w:rPr>
          <w:sz w:val="24"/>
          <w:szCs w:val="24"/>
        </w:rPr>
      </w:pPr>
      <w:r>
        <w:rPr>
          <w:sz w:val="24"/>
          <w:szCs w:val="24"/>
        </w:rPr>
        <w:t>Espera-se que este estudo contribua para as reflexões nos campos político e educacional sobre o PDDE Básico e suas contribuições para a gestão e organização escolar da educação básica.</w:t>
      </w:r>
    </w:p>
    <w:p w14:paraId="0742409A" w14:textId="77777777" w:rsidR="00712D46" w:rsidRDefault="00712D46">
      <w:pPr>
        <w:spacing w:line="360" w:lineRule="auto"/>
        <w:ind w:left="0" w:hanging="2"/>
        <w:jc w:val="both"/>
        <w:rPr>
          <w:sz w:val="24"/>
          <w:szCs w:val="24"/>
        </w:rPr>
      </w:pPr>
    </w:p>
    <w:p w14:paraId="13B5162F" w14:textId="77777777" w:rsidR="00712D46" w:rsidRDefault="00000000">
      <w:pPr>
        <w:spacing w:line="360" w:lineRule="auto"/>
        <w:ind w:left="0" w:hanging="2"/>
        <w:jc w:val="both"/>
        <w:rPr>
          <w:sz w:val="24"/>
          <w:szCs w:val="24"/>
        </w:rPr>
      </w:pPr>
      <w:r>
        <w:rPr>
          <w:b/>
          <w:sz w:val="24"/>
          <w:szCs w:val="24"/>
        </w:rPr>
        <w:t>REFERÊNCIAS</w:t>
      </w:r>
    </w:p>
    <w:p w14:paraId="2520D26E" w14:textId="77777777" w:rsidR="00712D46" w:rsidRDefault="00000000" w:rsidP="006E48F8">
      <w:pPr>
        <w:spacing w:line="240" w:lineRule="auto"/>
        <w:ind w:left="0" w:hanging="2"/>
        <w:jc w:val="both"/>
        <w:rPr>
          <w:sz w:val="24"/>
          <w:szCs w:val="24"/>
        </w:rPr>
      </w:pPr>
      <w:r>
        <w:rPr>
          <w:sz w:val="24"/>
          <w:szCs w:val="24"/>
        </w:rPr>
        <w:t>ANUÁRIO DO PARÁ</w:t>
      </w:r>
      <w:r>
        <w:rPr>
          <w:b/>
          <w:sz w:val="24"/>
          <w:szCs w:val="24"/>
        </w:rPr>
        <w:t xml:space="preserve"> </w:t>
      </w:r>
      <w:r>
        <w:rPr>
          <w:sz w:val="24"/>
          <w:szCs w:val="24"/>
        </w:rPr>
        <w:t>2023-2024.</w:t>
      </w:r>
      <w:r>
        <w:rPr>
          <w:b/>
          <w:sz w:val="24"/>
          <w:szCs w:val="24"/>
        </w:rPr>
        <w:t xml:space="preserve"> Jornal Diário do Pará. v. 12, n. 12, 2023. </w:t>
      </w:r>
      <w:r>
        <w:rPr>
          <w:sz w:val="24"/>
          <w:szCs w:val="24"/>
        </w:rPr>
        <w:t>Belém: Jornal Diário do Pará, 2023.</w:t>
      </w:r>
    </w:p>
    <w:p w14:paraId="77359921" w14:textId="77777777" w:rsidR="00712D46" w:rsidRDefault="00712D46" w:rsidP="006E48F8">
      <w:pPr>
        <w:spacing w:line="240" w:lineRule="auto"/>
        <w:ind w:left="0" w:hanging="2"/>
        <w:jc w:val="both"/>
        <w:rPr>
          <w:sz w:val="24"/>
          <w:szCs w:val="24"/>
        </w:rPr>
      </w:pPr>
    </w:p>
    <w:p w14:paraId="5E4078A7" w14:textId="77777777" w:rsidR="00712D46" w:rsidRDefault="00000000" w:rsidP="006E48F8">
      <w:pPr>
        <w:spacing w:line="240" w:lineRule="auto"/>
        <w:ind w:left="0" w:hanging="2"/>
        <w:jc w:val="both"/>
        <w:rPr>
          <w:sz w:val="24"/>
          <w:szCs w:val="24"/>
        </w:rPr>
      </w:pPr>
      <w:r>
        <w:rPr>
          <w:sz w:val="24"/>
          <w:szCs w:val="24"/>
        </w:rPr>
        <w:t xml:space="preserve">BRASIL. </w:t>
      </w:r>
      <w:r>
        <w:rPr>
          <w:b/>
          <w:sz w:val="24"/>
          <w:szCs w:val="24"/>
        </w:rPr>
        <w:t>Constituição da República Federativa do Brasi</w:t>
      </w:r>
      <w:r>
        <w:rPr>
          <w:sz w:val="24"/>
          <w:szCs w:val="24"/>
        </w:rPr>
        <w:t>l: texto constitucional promulgado em 5 de outubro de 1988, com as alterações determinadas pelas Emendas Constitucionais de Revisão nos 1 a 6/94, pelas Emendas Constitucionais nos 1/92 a 91/2016 e pelo Decreto Legislativo no 186/2008. – Brasília: Senado Federal, Coordenação de Edições Técnicas, 2016.</w:t>
      </w:r>
    </w:p>
    <w:p w14:paraId="6A618DA2" w14:textId="77777777" w:rsidR="00712D46" w:rsidRDefault="00712D46" w:rsidP="006E48F8">
      <w:pPr>
        <w:spacing w:line="240" w:lineRule="auto"/>
        <w:ind w:left="0" w:hanging="2"/>
        <w:jc w:val="both"/>
        <w:rPr>
          <w:sz w:val="24"/>
          <w:szCs w:val="24"/>
        </w:rPr>
      </w:pPr>
    </w:p>
    <w:p w14:paraId="3B83806E" w14:textId="77777777" w:rsidR="00712D46" w:rsidRDefault="00000000" w:rsidP="006E48F8">
      <w:pPr>
        <w:ind w:left="0" w:hanging="2"/>
        <w:jc w:val="both"/>
        <w:rPr>
          <w:sz w:val="24"/>
          <w:szCs w:val="24"/>
        </w:rPr>
      </w:pPr>
      <w:r>
        <w:rPr>
          <w:sz w:val="24"/>
          <w:szCs w:val="24"/>
        </w:rPr>
        <w:t xml:space="preserve">BRASIL. </w:t>
      </w:r>
      <w:r>
        <w:rPr>
          <w:b/>
          <w:sz w:val="24"/>
          <w:szCs w:val="24"/>
        </w:rPr>
        <w:t>Lei de Diretrizes e Bases da Educação Nacional</w:t>
      </w:r>
      <w:r>
        <w:rPr>
          <w:sz w:val="24"/>
          <w:szCs w:val="24"/>
        </w:rPr>
        <w:t>. 5. ed. Brasília, DF: Senado Federal, Coordenação de Edições Técnicas, 2021.</w:t>
      </w:r>
    </w:p>
    <w:p w14:paraId="3EE2CA1D" w14:textId="77777777" w:rsidR="00712D46" w:rsidRDefault="00000000" w:rsidP="006E48F8">
      <w:pPr>
        <w:ind w:left="0" w:hanging="2"/>
        <w:jc w:val="both"/>
        <w:rPr>
          <w:sz w:val="24"/>
          <w:szCs w:val="24"/>
        </w:rPr>
      </w:pPr>
      <w:r>
        <w:rPr>
          <w:sz w:val="24"/>
          <w:szCs w:val="24"/>
        </w:rPr>
        <w:t xml:space="preserve"> </w:t>
      </w:r>
    </w:p>
    <w:p w14:paraId="1D707F52" w14:textId="77777777" w:rsidR="00712D46" w:rsidRDefault="00000000" w:rsidP="006E48F8">
      <w:pPr>
        <w:ind w:left="0" w:hanging="2"/>
        <w:jc w:val="both"/>
        <w:rPr>
          <w:sz w:val="24"/>
          <w:szCs w:val="24"/>
        </w:rPr>
      </w:pPr>
      <w:r>
        <w:rPr>
          <w:sz w:val="24"/>
          <w:szCs w:val="24"/>
        </w:rPr>
        <w:lastRenderedPageBreak/>
        <w:t xml:space="preserve">BRASIL, Resolução FNDE nº 15, de 16 de setembro de 2021. </w:t>
      </w:r>
      <w:r>
        <w:rPr>
          <w:b/>
          <w:sz w:val="24"/>
          <w:szCs w:val="24"/>
        </w:rPr>
        <w:t xml:space="preserve">Dispõe sobre as orientações para o apoio técnico e financeiro, fiscalização e monitoramento na execução do Programa Dinheiro Direto na Escola – PDDE, em cumprimento ao disposto na Lei nº 11.947, de 16 de junho de 2009. </w:t>
      </w:r>
      <w:hyperlink r:id="rId9">
        <w:r w:rsidR="00712D46">
          <w:rPr>
            <w:color w:val="0563C1"/>
            <w:sz w:val="24"/>
            <w:szCs w:val="24"/>
            <w:u w:val="single"/>
          </w:rPr>
          <w:t>https://www.gov.br/fnde/pt-br/acesso-a-informacao/legislacao/resolucoes/2021/resolucao-no-15-de-16-de-setembro-de-2021</w:t>
        </w:r>
      </w:hyperlink>
      <w:r>
        <w:rPr>
          <w:sz w:val="24"/>
          <w:szCs w:val="24"/>
        </w:rPr>
        <w:t>. Acesso em, 09 de agosto de 2024.</w:t>
      </w:r>
    </w:p>
    <w:p w14:paraId="7FD13CE2" w14:textId="77777777" w:rsidR="00712D46" w:rsidRDefault="00712D46" w:rsidP="006E48F8">
      <w:pPr>
        <w:spacing w:line="240" w:lineRule="auto"/>
        <w:ind w:left="0" w:hanging="2"/>
        <w:jc w:val="both"/>
        <w:rPr>
          <w:sz w:val="24"/>
          <w:szCs w:val="24"/>
        </w:rPr>
      </w:pPr>
    </w:p>
    <w:p w14:paraId="1919B0FA" w14:textId="77777777" w:rsidR="00712D46" w:rsidRDefault="00712D46" w:rsidP="006E48F8">
      <w:pPr>
        <w:spacing w:line="240" w:lineRule="auto"/>
        <w:ind w:left="0" w:hanging="2"/>
        <w:jc w:val="both"/>
        <w:rPr>
          <w:sz w:val="24"/>
          <w:szCs w:val="24"/>
        </w:rPr>
      </w:pPr>
    </w:p>
    <w:p w14:paraId="09A71880" w14:textId="77777777" w:rsidR="00712D46" w:rsidRDefault="00000000" w:rsidP="006E48F8">
      <w:pPr>
        <w:spacing w:line="240" w:lineRule="auto"/>
        <w:ind w:left="0" w:hanging="2"/>
        <w:jc w:val="both"/>
        <w:rPr>
          <w:sz w:val="24"/>
          <w:szCs w:val="24"/>
        </w:rPr>
      </w:pPr>
      <w:r>
        <w:rPr>
          <w:sz w:val="24"/>
          <w:szCs w:val="24"/>
        </w:rPr>
        <w:t xml:space="preserve">COSTA, R. P. da; CORRÊA, P. S. de Almeida. </w:t>
      </w:r>
      <w:r>
        <w:rPr>
          <w:b/>
          <w:sz w:val="24"/>
          <w:szCs w:val="24"/>
        </w:rPr>
        <w:t>A política educacional consolidada por meio do Grupo Escolar Lauro Sodré no município de Moju-PA</w:t>
      </w:r>
      <w:r>
        <w:rPr>
          <w:sz w:val="24"/>
          <w:szCs w:val="24"/>
        </w:rPr>
        <w:t xml:space="preserve">. </w:t>
      </w:r>
      <w:r>
        <w:rPr>
          <w:i/>
          <w:sz w:val="24"/>
          <w:szCs w:val="24"/>
        </w:rPr>
        <w:t>Revista HISTEDBR On-line</w:t>
      </w:r>
      <w:r>
        <w:rPr>
          <w:sz w:val="24"/>
          <w:szCs w:val="24"/>
        </w:rPr>
        <w:t>, Campinas, n. 62, p. 121-143, maio 2015. ISSN 1676-2584.</w:t>
      </w:r>
    </w:p>
    <w:p w14:paraId="6A63AA62" w14:textId="77777777" w:rsidR="00712D46" w:rsidRDefault="00712D46" w:rsidP="006E48F8">
      <w:pPr>
        <w:spacing w:line="240" w:lineRule="auto"/>
        <w:ind w:left="0" w:hanging="2"/>
        <w:jc w:val="both"/>
        <w:rPr>
          <w:sz w:val="24"/>
          <w:szCs w:val="24"/>
        </w:rPr>
      </w:pPr>
    </w:p>
    <w:p w14:paraId="0C8C612C" w14:textId="77777777" w:rsidR="00712D46" w:rsidRDefault="00000000" w:rsidP="006E48F8">
      <w:pPr>
        <w:spacing w:line="240" w:lineRule="auto"/>
        <w:ind w:left="0" w:hanging="2"/>
        <w:jc w:val="both"/>
        <w:rPr>
          <w:sz w:val="24"/>
          <w:szCs w:val="24"/>
        </w:rPr>
      </w:pPr>
      <w:r>
        <w:rPr>
          <w:sz w:val="24"/>
          <w:szCs w:val="24"/>
        </w:rPr>
        <w:t>DOURADO, L. F. OLIVEIRA, J. F.de; SANTOS. C. A.</w:t>
      </w:r>
      <w:r>
        <w:rPr>
          <w:b/>
          <w:sz w:val="24"/>
          <w:szCs w:val="24"/>
        </w:rPr>
        <w:t xml:space="preserve"> A qualidade da educação: conceitos e definições</w:t>
      </w:r>
      <w:r>
        <w:rPr>
          <w:sz w:val="24"/>
          <w:szCs w:val="24"/>
        </w:rPr>
        <w:t>. – Brasília: Instituto Nacional de Estudos e Pesquisas Educacionais Anísio Teixeira, 2007.</w:t>
      </w:r>
    </w:p>
    <w:p w14:paraId="00789A39" w14:textId="77777777" w:rsidR="00712D46" w:rsidRDefault="00712D46" w:rsidP="006E48F8">
      <w:pPr>
        <w:spacing w:line="240" w:lineRule="auto"/>
        <w:ind w:left="0" w:hanging="2"/>
        <w:jc w:val="both"/>
        <w:rPr>
          <w:sz w:val="24"/>
          <w:szCs w:val="24"/>
        </w:rPr>
      </w:pPr>
    </w:p>
    <w:p w14:paraId="2DC129E4" w14:textId="77777777" w:rsidR="00712D46" w:rsidRDefault="00712D46" w:rsidP="006E48F8">
      <w:pPr>
        <w:spacing w:line="240" w:lineRule="auto"/>
        <w:ind w:left="0" w:hanging="2"/>
        <w:jc w:val="both"/>
        <w:rPr>
          <w:sz w:val="24"/>
          <w:szCs w:val="24"/>
        </w:rPr>
      </w:pPr>
    </w:p>
    <w:p w14:paraId="6670D79C" w14:textId="77777777" w:rsidR="00712D46" w:rsidRDefault="00000000" w:rsidP="006E48F8">
      <w:pPr>
        <w:spacing w:line="240" w:lineRule="auto"/>
        <w:ind w:left="0" w:hanging="2"/>
        <w:jc w:val="both"/>
        <w:rPr>
          <w:sz w:val="24"/>
          <w:szCs w:val="24"/>
        </w:rPr>
      </w:pPr>
      <w:r>
        <w:rPr>
          <w:sz w:val="24"/>
          <w:szCs w:val="24"/>
        </w:rPr>
        <w:t>GADOTTI, M. </w:t>
      </w:r>
      <w:r>
        <w:rPr>
          <w:b/>
          <w:sz w:val="24"/>
          <w:szCs w:val="24"/>
        </w:rPr>
        <w:t>Gestão Democrática da Educação com Participação Popular no Planejamento e na Organização da Educação Nacional</w:t>
      </w:r>
      <w:r>
        <w:rPr>
          <w:sz w:val="24"/>
          <w:szCs w:val="24"/>
        </w:rPr>
        <w:t xml:space="preserve">. Conferência Nacional de Educação,2014. </w:t>
      </w:r>
      <w:hyperlink r:id="rId10">
        <w:r w:rsidR="00712D46">
          <w:rPr>
            <w:color w:val="0563C1"/>
            <w:sz w:val="24"/>
            <w:szCs w:val="24"/>
            <w:u w:val="single"/>
          </w:rPr>
          <w:t>https://www.jaciara.mt.gov.br/arquivos/anexos/05062013105125.pdf</w:t>
        </w:r>
      </w:hyperlink>
      <w:r>
        <w:rPr>
          <w:sz w:val="24"/>
          <w:szCs w:val="24"/>
        </w:rPr>
        <w:t>. Acessado em 26 de fev, de 2025.</w:t>
      </w:r>
    </w:p>
    <w:p w14:paraId="120C6177" w14:textId="77777777" w:rsidR="00712D46" w:rsidRDefault="00712D46" w:rsidP="006E48F8">
      <w:pPr>
        <w:spacing w:line="240" w:lineRule="auto"/>
        <w:ind w:left="0" w:hanging="2"/>
        <w:jc w:val="both"/>
        <w:rPr>
          <w:sz w:val="24"/>
          <w:szCs w:val="24"/>
        </w:rPr>
      </w:pPr>
    </w:p>
    <w:p w14:paraId="0003CFAD" w14:textId="77777777" w:rsidR="00712D46" w:rsidRDefault="00000000" w:rsidP="006E48F8">
      <w:pPr>
        <w:spacing w:line="240" w:lineRule="auto"/>
        <w:ind w:left="0" w:hanging="2"/>
        <w:jc w:val="both"/>
        <w:rPr>
          <w:sz w:val="24"/>
          <w:szCs w:val="24"/>
        </w:rPr>
      </w:pPr>
      <w:r>
        <w:rPr>
          <w:sz w:val="24"/>
          <w:szCs w:val="24"/>
        </w:rPr>
        <w:t xml:space="preserve">GIL, Antônio Carlos. </w:t>
      </w:r>
      <w:r>
        <w:rPr>
          <w:b/>
          <w:sz w:val="24"/>
          <w:szCs w:val="24"/>
        </w:rPr>
        <w:t>Como elaborar projetos de pesquisa</w:t>
      </w:r>
      <w:r>
        <w:rPr>
          <w:sz w:val="24"/>
          <w:szCs w:val="24"/>
        </w:rPr>
        <w:t>. 4.ed. São Paulo: Atlas, 2002.</w:t>
      </w:r>
    </w:p>
    <w:p w14:paraId="2D42D13A" w14:textId="77777777" w:rsidR="00712D46" w:rsidRDefault="00712D46" w:rsidP="006E48F8">
      <w:pPr>
        <w:spacing w:line="240" w:lineRule="auto"/>
        <w:ind w:left="0" w:hanging="2"/>
        <w:jc w:val="both"/>
        <w:rPr>
          <w:sz w:val="24"/>
          <w:szCs w:val="24"/>
        </w:rPr>
      </w:pPr>
    </w:p>
    <w:p w14:paraId="77616C72" w14:textId="77777777" w:rsidR="00712D46" w:rsidRDefault="00000000" w:rsidP="006E48F8">
      <w:pPr>
        <w:spacing w:line="240" w:lineRule="auto"/>
        <w:ind w:left="0" w:hanging="2"/>
        <w:jc w:val="both"/>
        <w:rPr>
          <w:sz w:val="24"/>
          <w:szCs w:val="24"/>
        </w:rPr>
      </w:pPr>
      <w:r>
        <w:rPr>
          <w:sz w:val="24"/>
          <w:szCs w:val="24"/>
        </w:rPr>
        <w:t xml:space="preserve">LIBÂNEO, J. C. OLIVEIRA, J. F. de; TOSCHI, M. S. </w:t>
      </w:r>
      <w:r>
        <w:rPr>
          <w:b/>
          <w:sz w:val="24"/>
          <w:szCs w:val="24"/>
        </w:rPr>
        <w:t>Educação escolar: políticas, estrutura e organização.</w:t>
      </w:r>
      <w:r>
        <w:rPr>
          <w:sz w:val="24"/>
          <w:szCs w:val="24"/>
        </w:rPr>
        <w:t xml:space="preserve"> 10. ed. rev. e ampl. São Paulo: Cortez, 2012.</w:t>
      </w:r>
    </w:p>
    <w:p w14:paraId="6F8A38ED" w14:textId="77777777" w:rsidR="00712D46" w:rsidRDefault="00712D46" w:rsidP="006E48F8">
      <w:pPr>
        <w:spacing w:line="240" w:lineRule="auto"/>
        <w:ind w:left="0" w:hanging="2"/>
        <w:jc w:val="both"/>
        <w:rPr>
          <w:sz w:val="24"/>
          <w:szCs w:val="24"/>
        </w:rPr>
      </w:pPr>
    </w:p>
    <w:p w14:paraId="24B6C6B9" w14:textId="77777777" w:rsidR="00712D46" w:rsidRDefault="00000000" w:rsidP="006E48F8">
      <w:pPr>
        <w:spacing w:line="240" w:lineRule="auto"/>
        <w:ind w:left="0" w:hanging="2"/>
        <w:jc w:val="both"/>
        <w:rPr>
          <w:sz w:val="24"/>
          <w:szCs w:val="24"/>
        </w:rPr>
      </w:pPr>
      <w:r>
        <w:rPr>
          <w:sz w:val="24"/>
          <w:szCs w:val="24"/>
        </w:rPr>
        <w:t xml:space="preserve">LIMA, L. C. </w:t>
      </w:r>
      <w:r>
        <w:rPr>
          <w:b/>
          <w:sz w:val="24"/>
          <w:szCs w:val="24"/>
        </w:rPr>
        <w:t>A escola como organização educativa</w:t>
      </w:r>
      <w:r>
        <w:rPr>
          <w:sz w:val="24"/>
          <w:szCs w:val="24"/>
        </w:rPr>
        <w:t>: uma abordagem sociológica/ Licínio C. Lima. – São Paulo: Cortez, 2001.</w:t>
      </w:r>
    </w:p>
    <w:p w14:paraId="12F26CF8" w14:textId="77777777" w:rsidR="00712D46" w:rsidRDefault="00712D46" w:rsidP="006E48F8">
      <w:pPr>
        <w:spacing w:line="360" w:lineRule="auto"/>
        <w:ind w:left="0" w:hanging="2"/>
        <w:jc w:val="both"/>
        <w:rPr>
          <w:sz w:val="24"/>
          <w:szCs w:val="24"/>
        </w:rPr>
      </w:pPr>
    </w:p>
    <w:p w14:paraId="794B1DB0" w14:textId="77777777" w:rsidR="00712D46" w:rsidRDefault="00000000" w:rsidP="006E48F8">
      <w:pPr>
        <w:spacing w:line="240" w:lineRule="auto"/>
        <w:ind w:left="0" w:hanging="2"/>
        <w:jc w:val="both"/>
        <w:rPr>
          <w:sz w:val="24"/>
          <w:szCs w:val="24"/>
        </w:rPr>
      </w:pPr>
      <w:r>
        <w:rPr>
          <w:sz w:val="24"/>
          <w:szCs w:val="24"/>
        </w:rPr>
        <w:t xml:space="preserve">MINAYO, M. C. (Org.). </w:t>
      </w:r>
      <w:r>
        <w:rPr>
          <w:b/>
          <w:sz w:val="24"/>
          <w:szCs w:val="24"/>
        </w:rPr>
        <w:t>Pesquisa Social: teoria, método e criatividade</w:t>
      </w:r>
      <w:r>
        <w:rPr>
          <w:sz w:val="24"/>
          <w:szCs w:val="24"/>
        </w:rPr>
        <w:t xml:space="preserve"> – Petrópolis, Rio de Janeiro: Vozes, 2021.</w:t>
      </w:r>
    </w:p>
    <w:p w14:paraId="51BEE099" w14:textId="77777777" w:rsidR="00712D46" w:rsidRDefault="00712D46" w:rsidP="006E48F8">
      <w:pPr>
        <w:spacing w:line="240" w:lineRule="auto"/>
        <w:ind w:left="0" w:hanging="2"/>
        <w:jc w:val="both"/>
        <w:rPr>
          <w:sz w:val="24"/>
          <w:szCs w:val="24"/>
        </w:rPr>
      </w:pPr>
    </w:p>
    <w:p w14:paraId="22BB2A92" w14:textId="77777777" w:rsidR="00712D46" w:rsidRDefault="00000000" w:rsidP="006E48F8">
      <w:pPr>
        <w:spacing w:line="240" w:lineRule="auto"/>
        <w:ind w:left="0" w:hanging="2"/>
        <w:jc w:val="both"/>
        <w:rPr>
          <w:sz w:val="24"/>
          <w:szCs w:val="24"/>
        </w:rPr>
      </w:pPr>
      <w:r>
        <w:rPr>
          <w:sz w:val="24"/>
          <w:szCs w:val="24"/>
        </w:rPr>
        <w:t xml:space="preserve">OLIVEIRA, D. A. Política Educacional nos anos 1990: Educação Básica e Empregabilidade. </w:t>
      </w:r>
      <w:r>
        <w:rPr>
          <w:i/>
          <w:sz w:val="24"/>
          <w:szCs w:val="24"/>
        </w:rPr>
        <w:t xml:space="preserve">In </w:t>
      </w:r>
      <w:r>
        <w:rPr>
          <w:sz w:val="24"/>
          <w:szCs w:val="24"/>
        </w:rPr>
        <w:t xml:space="preserve">DOURADO, L. F; PARO, V. H. (Org). </w:t>
      </w:r>
      <w:r>
        <w:rPr>
          <w:b/>
          <w:sz w:val="24"/>
          <w:szCs w:val="24"/>
        </w:rPr>
        <w:t>Políticas Públicas e Educação Básica</w:t>
      </w:r>
      <w:r>
        <w:rPr>
          <w:sz w:val="24"/>
          <w:szCs w:val="24"/>
        </w:rPr>
        <w:t>. São Paulo: xamã, 2001.</w:t>
      </w:r>
    </w:p>
    <w:sectPr w:rsidR="00712D46">
      <w:headerReference w:type="default" r:id="rId11"/>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45277" w14:textId="77777777" w:rsidR="00C00DEA" w:rsidRDefault="00C00DEA">
      <w:pPr>
        <w:spacing w:line="240" w:lineRule="auto"/>
        <w:ind w:left="0" w:hanging="2"/>
      </w:pPr>
      <w:r>
        <w:separator/>
      </w:r>
    </w:p>
  </w:endnote>
  <w:endnote w:type="continuationSeparator" w:id="0">
    <w:p w14:paraId="2D4AC4DA" w14:textId="77777777" w:rsidR="00C00DEA" w:rsidRDefault="00C00DE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DDA15" w14:textId="77777777" w:rsidR="00C00DEA" w:rsidRDefault="00C00DEA">
      <w:pPr>
        <w:spacing w:line="240" w:lineRule="auto"/>
        <w:ind w:left="0" w:hanging="2"/>
      </w:pPr>
      <w:r>
        <w:separator/>
      </w:r>
    </w:p>
  </w:footnote>
  <w:footnote w:type="continuationSeparator" w:id="0">
    <w:p w14:paraId="50888364" w14:textId="77777777" w:rsidR="00C00DEA" w:rsidRDefault="00C00DEA">
      <w:pPr>
        <w:spacing w:line="240" w:lineRule="auto"/>
        <w:ind w:left="0" w:hanging="2"/>
      </w:pPr>
      <w:r>
        <w:continuationSeparator/>
      </w:r>
    </w:p>
  </w:footnote>
  <w:footnote w:id="1">
    <w:p w14:paraId="56DA814E" w14:textId="226AA3D0" w:rsidR="00712D46" w:rsidRDefault="00000000">
      <w:pPr>
        <w:pBdr>
          <w:top w:val="nil"/>
          <w:left w:val="nil"/>
          <w:bottom w:val="nil"/>
          <w:right w:val="nil"/>
          <w:between w:val="nil"/>
        </w:pBdr>
        <w:spacing w:line="240" w:lineRule="auto"/>
        <w:ind w:left="0" w:hanging="2"/>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color w:val="000000"/>
          <w:sz w:val="20"/>
          <w:szCs w:val="20"/>
        </w:rPr>
        <w:t>Mestranda no programa de Mestrado em Cidades, Territórios</w:t>
      </w:r>
      <w:r w:rsidR="004C7E8C">
        <w:rPr>
          <w:color w:val="000000"/>
          <w:sz w:val="20"/>
          <w:szCs w:val="20"/>
        </w:rPr>
        <w:t>,</w:t>
      </w:r>
      <w:r>
        <w:rPr>
          <w:color w:val="000000"/>
          <w:sz w:val="20"/>
          <w:szCs w:val="20"/>
        </w:rPr>
        <w:t xml:space="preserve"> Identidades e Educação da Universidade Federal do Pará (UFPA). E</w:t>
      </w:r>
      <w:r w:rsidR="008B6D53">
        <w:rPr>
          <w:color w:val="000000"/>
          <w:sz w:val="20"/>
          <w:szCs w:val="20"/>
        </w:rPr>
        <w:t>-</w:t>
      </w:r>
      <w:r>
        <w:rPr>
          <w:color w:val="000000"/>
          <w:sz w:val="20"/>
          <w:szCs w:val="20"/>
        </w:rPr>
        <w:t xml:space="preserve">mail: </w:t>
      </w:r>
      <w:hyperlink r:id="rId1">
        <w:r w:rsidR="00712D46">
          <w:rPr>
            <w:color w:val="0563C1"/>
            <w:sz w:val="20"/>
            <w:szCs w:val="20"/>
            <w:u w:val="single"/>
          </w:rPr>
          <w:t>alda.borges@semed.moju.pa.gov.br</w:t>
        </w:r>
      </w:hyperlink>
      <w:r>
        <w:rPr>
          <w:color w:val="000000"/>
          <w:sz w:val="20"/>
          <w:szCs w:val="20"/>
        </w:rPr>
        <w:t xml:space="preserve"> </w:t>
      </w:r>
    </w:p>
    <w:p w14:paraId="179F77A9" w14:textId="77777777" w:rsidR="00712D46" w:rsidRDefault="00712D46">
      <w:pPr>
        <w:pBdr>
          <w:top w:val="nil"/>
          <w:left w:val="nil"/>
          <w:bottom w:val="nil"/>
          <w:right w:val="nil"/>
          <w:between w:val="nil"/>
        </w:pBdr>
        <w:spacing w:line="240" w:lineRule="auto"/>
        <w:ind w:left="0" w:hanging="2"/>
        <w:jc w:val="both"/>
        <w:rPr>
          <w:color w:val="000000"/>
          <w:sz w:val="20"/>
          <w:szCs w:val="20"/>
        </w:rPr>
      </w:pPr>
    </w:p>
  </w:footnote>
  <w:footnote w:id="2">
    <w:p w14:paraId="5BBE5E91" w14:textId="6630A855" w:rsidR="00712D46" w:rsidRDefault="00000000">
      <w:pPr>
        <w:pBdr>
          <w:top w:val="nil"/>
          <w:left w:val="nil"/>
          <w:bottom w:val="nil"/>
          <w:right w:val="nil"/>
          <w:between w:val="nil"/>
        </w:pBdr>
        <w:spacing w:line="240" w:lineRule="auto"/>
        <w:ind w:left="0" w:hanging="2"/>
        <w:jc w:val="both"/>
        <w:rPr>
          <w:color w:val="000000"/>
          <w:sz w:val="20"/>
          <w:szCs w:val="20"/>
        </w:rPr>
      </w:pPr>
      <w:r>
        <w:rPr>
          <w:vertAlign w:val="superscript"/>
        </w:rPr>
        <w:footnoteRef/>
      </w:r>
      <w:r>
        <w:rPr>
          <w:color w:val="000000"/>
          <w:sz w:val="20"/>
          <w:szCs w:val="20"/>
        </w:rPr>
        <w:t xml:space="preserve"> Doutor em educação e Professor da Faculdade de Educação do Campo, do Campus Universitário de Abaetetuba, da Universidade Federal do Pará (UFPA). </w:t>
      </w:r>
      <w:r w:rsidR="008B6D53">
        <w:rPr>
          <w:color w:val="000000"/>
          <w:sz w:val="20"/>
          <w:szCs w:val="20"/>
        </w:rPr>
        <w:t>E-</w:t>
      </w:r>
      <w:r>
        <w:rPr>
          <w:color w:val="000000"/>
          <w:sz w:val="20"/>
          <w:szCs w:val="20"/>
        </w:rPr>
        <w:t xml:space="preserve">mail: </w:t>
      </w:r>
      <w:hyperlink r:id="rId2">
        <w:r w:rsidR="00712D46">
          <w:rPr>
            <w:color w:val="0563C1"/>
            <w:sz w:val="20"/>
            <w:szCs w:val="20"/>
            <w:u w:val="single"/>
          </w:rPr>
          <w:t>afonsosn@ufpa.br</w:t>
        </w:r>
      </w:hyperlink>
      <w:r>
        <w:rPr>
          <w:color w:val="000000"/>
          <w:sz w:val="20"/>
          <w:szCs w:val="20"/>
        </w:rPr>
        <w:t xml:space="preserve"> </w:t>
      </w:r>
    </w:p>
    <w:p w14:paraId="313EC827" w14:textId="77777777" w:rsidR="00712D46" w:rsidRDefault="00712D46">
      <w:pPr>
        <w:pBdr>
          <w:top w:val="nil"/>
          <w:left w:val="nil"/>
          <w:bottom w:val="nil"/>
          <w:right w:val="nil"/>
          <w:between w:val="nil"/>
        </w:pBdr>
        <w:spacing w:line="240" w:lineRule="auto"/>
        <w:ind w:left="0" w:hanging="2"/>
        <w:jc w:val="both"/>
        <w:rPr>
          <w:color w:val="000000"/>
          <w:sz w:val="20"/>
          <w:szCs w:val="20"/>
        </w:rPr>
      </w:pPr>
    </w:p>
  </w:footnote>
  <w:footnote w:id="3">
    <w:p w14:paraId="50915416" w14:textId="2C8F89AE" w:rsidR="00712D46" w:rsidRPr="00177E7E" w:rsidRDefault="00000000">
      <w:pPr>
        <w:pBdr>
          <w:top w:val="nil"/>
          <w:left w:val="nil"/>
          <w:bottom w:val="nil"/>
          <w:right w:val="nil"/>
          <w:between w:val="nil"/>
        </w:pBdr>
        <w:spacing w:line="240" w:lineRule="auto"/>
        <w:ind w:left="0" w:hanging="2"/>
        <w:jc w:val="both"/>
        <w:rPr>
          <w:sz w:val="20"/>
          <w:szCs w:val="20"/>
        </w:rPr>
      </w:pPr>
      <w:bookmarkStart w:id="0" w:name="_Hlk201910669"/>
      <w:r>
        <w:rPr>
          <w:vertAlign w:val="superscript"/>
        </w:rPr>
        <w:footnoteRef/>
      </w:r>
      <w:r>
        <w:rPr>
          <w:color w:val="000000"/>
          <w:sz w:val="20"/>
          <w:szCs w:val="20"/>
        </w:rPr>
        <w:t xml:space="preserve"> </w:t>
      </w:r>
      <w:r w:rsidRPr="00D105D4">
        <w:rPr>
          <w:sz w:val="20"/>
          <w:szCs w:val="20"/>
        </w:rPr>
        <w:t>Doutora em</w:t>
      </w:r>
      <w:r w:rsidR="00D105D4" w:rsidRPr="00D105D4">
        <w:rPr>
          <w:sz w:val="20"/>
          <w:szCs w:val="20"/>
        </w:rPr>
        <w:t xml:space="preserve"> educação e</w:t>
      </w:r>
      <w:r w:rsidRPr="00D105D4">
        <w:rPr>
          <w:sz w:val="20"/>
          <w:szCs w:val="20"/>
        </w:rPr>
        <w:t xml:space="preserve"> </w:t>
      </w:r>
      <w:r w:rsidR="00D105D4" w:rsidRPr="00D105D4">
        <w:rPr>
          <w:sz w:val="20"/>
          <w:szCs w:val="20"/>
        </w:rPr>
        <w:t>professora adjunta da Faculdade de Etnodiversidade da Universidade Federal do Pará/Campus Universitário de Altamira</w:t>
      </w:r>
      <w:r w:rsidR="00D105D4" w:rsidRPr="00D105D4">
        <w:rPr>
          <w:color w:val="EE0000"/>
          <w:sz w:val="20"/>
          <w:szCs w:val="20"/>
        </w:rPr>
        <w:t xml:space="preserve">. </w:t>
      </w:r>
      <w:r w:rsidRPr="00177E7E">
        <w:rPr>
          <w:sz w:val="20"/>
          <w:szCs w:val="20"/>
        </w:rPr>
        <w:t>E</w:t>
      </w:r>
      <w:r w:rsidR="008B6D53">
        <w:rPr>
          <w:sz w:val="20"/>
          <w:szCs w:val="20"/>
        </w:rPr>
        <w:t>-</w:t>
      </w:r>
      <w:r w:rsidRPr="00177E7E">
        <w:rPr>
          <w:sz w:val="20"/>
          <w:szCs w:val="20"/>
        </w:rPr>
        <w:t>mail:</w:t>
      </w:r>
      <w:r w:rsidR="00177E7E" w:rsidRPr="00177E7E">
        <w:rPr>
          <w:sz w:val="20"/>
          <w:szCs w:val="20"/>
        </w:rPr>
        <w:t xml:space="preserve"> </w:t>
      </w:r>
      <w:hyperlink r:id="rId3" w:history="1">
        <w:r w:rsidR="00F86EA1" w:rsidRPr="00FC4792">
          <w:rPr>
            <w:rStyle w:val="Hyperlink"/>
            <w:sz w:val="20"/>
            <w:szCs w:val="20"/>
          </w:rPr>
          <w:t>irlanda@ufpa.br</w:t>
        </w:r>
      </w:hyperlink>
      <w:r w:rsidR="00F86EA1">
        <w:rPr>
          <w:sz w:val="20"/>
          <w:szCs w:val="20"/>
        </w:rPr>
        <w:t xml:space="preserve"> </w:t>
      </w:r>
    </w:p>
    <w:bookmarkEnd w:id="0"/>
    <w:p w14:paraId="57719243" w14:textId="77777777" w:rsidR="00983779" w:rsidRDefault="00983779">
      <w:pPr>
        <w:pBdr>
          <w:top w:val="nil"/>
          <w:left w:val="nil"/>
          <w:bottom w:val="nil"/>
          <w:right w:val="nil"/>
          <w:between w:val="nil"/>
        </w:pBdr>
        <w:spacing w:line="240" w:lineRule="auto"/>
        <w:ind w:left="0" w:hanging="2"/>
        <w:jc w:val="both"/>
        <w:rPr>
          <w:color w:val="FF0000"/>
          <w:sz w:val="20"/>
          <w:szCs w:val="20"/>
        </w:rPr>
      </w:pPr>
    </w:p>
  </w:footnote>
  <w:footnote w:id="4">
    <w:p w14:paraId="58BEE486" w14:textId="73B6A310" w:rsidR="00983779" w:rsidRDefault="006E48F8" w:rsidP="00983779">
      <w:pPr>
        <w:pBdr>
          <w:top w:val="nil"/>
          <w:left w:val="nil"/>
          <w:bottom w:val="nil"/>
          <w:right w:val="nil"/>
          <w:between w:val="nil"/>
        </w:pBdr>
        <w:spacing w:line="240" w:lineRule="auto"/>
        <w:ind w:left="0" w:hanging="2"/>
        <w:jc w:val="both"/>
        <w:rPr>
          <w:color w:val="000000"/>
          <w:sz w:val="20"/>
          <w:szCs w:val="20"/>
        </w:rPr>
      </w:pPr>
      <w:r>
        <w:rPr>
          <w:rStyle w:val="Refdenotaderodap"/>
        </w:rPr>
        <w:footnoteRef/>
      </w:r>
      <w:r>
        <w:t xml:space="preserve"> </w:t>
      </w:r>
      <w:r w:rsidR="00983779">
        <w:rPr>
          <w:color w:val="000000"/>
          <w:sz w:val="20"/>
          <w:szCs w:val="20"/>
        </w:rPr>
        <w:t>Mestranda no programa de Mestrado em Cidades, Territórios</w:t>
      </w:r>
      <w:r w:rsidR="004C7E8C">
        <w:rPr>
          <w:color w:val="000000"/>
          <w:sz w:val="20"/>
          <w:szCs w:val="20"/>
        </w:rPr>
        <w:t>,</w:t>
      </w:r>
      <w:r w:rsidR="00983779">
        <w:rPr>
          <w:color w:val="000000"/>
          <w:sz w:val="20"/>
          <w:szCs w:val="20"/>
        </w:rPr>
        <w:t xml:space="preserve"> Identidades e Educação da Universidade Federal do Pará (UFPA). E</w:t>
      </w:r>
      <w:r w:rsidR="008B6D53">
        <w:rPr>
          <w:color w:val="000000"/>
          <w:sz w:val="20"/>
          <w:szCs w:val="20"/>
        </w:rPr>
        <w:t>-</w:t>
      </w:r>
      <w:r w:rsidR="00983779">
        <w:rPr>
          <w:color w:val="000000"/>
          <w:sz w:val="20"/>
          <w:szCs w:val="20"/>
        </w:rPr>
        <w:t xml:space="preserve">mail: </w:t>
      </w:r>
      <w:hyperlink r:id="rId4" w:history="1">
        <w:r w:rsidR="00F86EA1" w:rsidRPr="00FC4792">
          <w:rPr>
            <w:rStyle w:val="Hyperlink"/>
            <w:sz w:val="20"/>
            <w:szCs w:val="20"/>
          </w:rPr>
          <w:t>rayanabarros18@gmail.com</w:t>
        </w:r>
      </w:hyperlink>
      <w:r w:rsidR="00F86EA1">
        <w:rPr>
          <w:color w:val="000000"/>
          <w:sz w:val="20"/>
          <w:szCs w:val="20"/>
        </w:rPr>
        <w:t xml:space="preserve"> </w:t>
      </w:r>
    </w:p>
    <w:p w14:paraId="10109B73" w14:textId="2E51CF1C" w:rsidR="006E48F8" w:rsidRDefault="006E48F8">
      <w:pPr>
        <w:pStyle w:val="Textodenotaderodap"/>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56C19" w14:textId="77777777" w:rsidR="00712D46" w:rsidRDefault="00000000">
    <w:pPr>
      <w:ind w:left="0" w:hanging="2"/>
    </w:pPr>
    <w:r>
      <w:rPr>
        <w:noProof/>
      </w:rPr>
      <w:drawing>
        <wp:anchor distT="0" distB="0" distL="0" distR="0" simplePos="0" relativeHeight="251658240" behindDoc="1" locked="0" layoutInCell="1" hidden="0" allowOverlap="1" wp14:anchorId="08262831" wp14:editId="3AE0A303">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025ED"/>
    <w:multiLevelType w:val="hybridMultilevel"/>
    <w:tmpl w:val="39A0001A"/>
    <w:lvl w:ilvl="0" w:tplc="9970019C">
      <w:start w:val="3"/>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5103B98"/>
    <w:multiLevelType w:val="multilevel"/>
    <w:tmpl w:val="DC5C4BBC"/>
    <w:lvl w:ilvl="0">
      <w:start w:val="2"/>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abstractNum w:abstractNumId="2" w15:restartNumberingAfterBreak="0">
    <w:nsid w:val="6A796CE4"/>
    <w:multiLevelType w:val="hybridMultilevel"/>
    <w:tmpl w:val="A8461776"/>
    <w:lvl w:ilvl="0" w:tplc="0AF0EC60">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63443296">
    <w:abstractNumId w:val="1"/>
  </w:num>
  <w:num w:numId="2" w16cid:durableId="957373924">
    <w:abstractNumId w:val="0"/>
  </w:num>
  <w:num w:numId="3" w16cid:durableId="416678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D46"/>
    <w:rsid w:val="00003186"/>
    <w:rsid w:val="00017015"/>
    <w:rsid w:val="000936F9"/>
    <w:rsid w:val="00121E26"/>
    <w:rsid w:val="001455B1"/>
    <w:rsid w:val="00177E7E"/>
    <w:rsid w:val="00183A06"/>
    <w:rsid w:val="0019023D"/>
    <w:rsid w:val="001978BB"/>
    <w:rsid w:val="00211265"/>
    <w:rsid w:val="00235BA8"/>
    <w:rsid w:val="00290405"/>
    <w:rsid w:val="002D7363"/>
    <w:rsid w:val="003039CC"/>
    <w:rsid w:val="00335E6B"/>
    <w:rsid w:val="00370E33"/>
    <w:rsid w:val="003C3593"/>
    <w:rsid w:val="00480928"/>
    <w:rsid w:val="004913DA"/>
    <w:rsid w:val="004A53D8"/>
    <w:rsid w:val="004C7E8C"/>
    <w:rsid w:val="004D3496"/>
    <w:rsid w:val="004E3A08"/>
    <w:rsid w:val="00531E3E"/>
    <w:rsid w:val="006616D6"/>
    <w:rsid w:val="0066198E"/>
    <w:rsid w:val="00695695"/>
    <w:rsid w:val="006D4EEF"/>
    <w:rsid w:val="006E48F8"/>
    <w:rsid w:val="00712D46"/>
    <w:rsid w:val="007C2D94"/>
    <w:rsid w:val="0086056E"/>
    <w:rsid w:val="008B6D53"/>
    <w:rsid w:val="008F1881"/>
    <w:rsid w:val="0090557B"/>
    <w:rsid w:val="00915221"/>
    <w:rsid w:val="009176D7"/>
    <w:rsid w:val="009350FE"/>
    <w:rsid w:val="00983779"/>
    <w:rsid w:val="00A161D3"/>
    <w:rsid w:val="00A32A6E"/>
    <w:rsid w:val="00A5263E"/>
    <w:rsid w:val="00A931CF"/>
    <w:rsid w:val="00B83370"/>
    <w:rsid w:val="00BB52C4"/>
    <w:rsid w:val="00BC47C9"/>
    <w:rsid w:val="00BD2C4F"/>
    <w:rsid w:val="00BF3BDC"/>
    <w:rsid w:val="00C00DEA"/>
    <w:rsid w:val="00C0341C"/>
    <w:rsid w:val="00C0469E"/>
    <w:rsid w:val="00C33845"/>
    <w:rsid w:val="00C45058"/>
    <w:rsid w:val="00D105D4"/>
    <w:rsid w:val="00D7211E"/>
    <w:rsid w:val="00D847CE"/>
    <w:rsid w:val="00E252E4"/>
    <w:rsid w:val="00E57336"/>
    <w:rsid w:val="00E80389"/>
    <w:rsid w:val="00E804ED"/>
    <w:rsid w:val="00EF5BCB"/>
    <w:rsid w:val="00F86EA1"/>
    <w:rsid w:val="00FC0125"/>
    <w:rsid w:val="00FC18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ECDC5"/>
  <w15:docId w15:val="{0C3E791F-C3E1-462E-8FD5-B8C1D6158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Textodecomentrio">
    <w:name w:val="annotation text"/>
    <w:basedOn w:val="Normal"/>
    <w:qFormat/>
    <w:pPr>
      <w:spacing w:after="160" w:line="240" w:lineRule="auto"/>
    </w:pPr>
    <w:rPr>
      <w:rFonts w:ascii="Calibri" w:eastAsia="Calibri" w:hAnsi="Calibri" w:cs="Calibri"/>
      <w:sz w:val="20"/>
      <w:szCs w:val="20"/>
    </w:rPr>
  </w:style>
  <w:style w:type="character" w:customStyle="1" w:styleId="TextodecomentrioChar">
    <w:name w:val="Texto de comentário Char"/>
    <w:rPr>
      <w:rFonts w:ascii="Calibri" w:eastAsia="Calibri" w:hAnsi="Calibri" w:cs="Calibri"/>
      <w:w w:val="100"/>
      <w:position w:val="-1"/>
      <w:effect w:val="none"/>
      <w:vertAlign w:val="baseline"/>
      <w:cs w:val="0"/>
      <w:em w:val="none"/>
    </w:rPr>
  </w:style>
  <w:style w:type="table" w:styleId="TabeladeLista1Clara-nfase6">
    <w:name w:val="List Table 1 Light Accent 6"/>
    <w:basedOn w:val="Tabelanormal"/>
    <w:pPr>
      <w:suppressAutoHyphens/>
      <w:spacing w:line="1" w:lineRule="atLeast"/>
      <w:ind w:leftChars="-1" w:left="-1" w:hangingChars="1" w:hanging="1"/>
      <w:textDirection w:val="btLr"/>
      <w:textAlignment w:val="top"/>
      <w:outlineLvl w:val="0"/>
    </w:pPr>
    <w:rPr>
      <w:rFonts w:ascii="Calibri" w:eastAsia="Calibri" w:hAnsi="Calibri" w:cs="Calibri"/>
      <w:position w:val="-1"/>
    </w:rPr>
    <w:tblPr>
      <w:tblStyleRowBandSize w:val="1"/>
      <w:tblStyleColBandSize w:val="1"/>
    </w:tblPr>
  </w:style>
  <w:style w:type="paragraph" w:styleId="Textodenotaderodap">
    <w:name w:val="footnote text"/>
    <w:basedOn w:val="Normal"/>
    <w:qFormat/>
    <w:pPr>
      <w:spacing w:line="240" w:lineRule="auto"/>
    </w:pPr>
    <w:rPr>
      <w:rFonts w:ascii="Calibri" w:eastAsia="Calibri" w:hAnsi="Calibri" w:cs="Times New Roman"/>
      <w:sz w:val="20"/>
      <w:szCs w:val="20"/>
      <w:lang w:eastAsia="en-US"/>
    </w:rPr>
  </w:style>
  <w:style w:type="character" w:customStyle="1" w:styleId="TextodenotaderodapChar">
    <w:name w:val="Texto de nota de rodapé Char"/>
    <w:rPr>
      <w:rFonts w:ascii="Calibri" w:eastAsia="Calibri" w:hAnsi="Calibri" w:cs="Times New Roman"/>
      <w:w w:val="100"/>
      <w:position w:val="-1"/>
      <w:effect w:val="none"/>
      <w:vertAlign w:val="baseline"/>
      <w:cs w:val="0"/>
      <w:em w:val="none"/>
      <w:lang w:eastAsia="en-US"/>
    </w:rPr>
  </w:style>
  <w:style w:type="character" w:styleId="Refdenotaderodap">
    <w:name w:val="footnote reference"/>
    <w:qFormat/>
    <w:rPr>
      <w:w w:val="100"/>
      <w:position w:val="-1"/>
      <w:effect w:val="none"/>
      <w:vertAlign w:val="superscript"/>
      <w:cs w:val="0"/>
      <w:em w:val="none"/>
    </w:rPr>
  </w:style>
  <w:style w:type="character" w:styleId="Hyperlink">
    <w:name w:val="Hyperlink"/>
    <w:qFormat/>
    <w:rPr>
      <w:color w:val="0563C1"/>
      <w:w w:val="100"/>
      <w:position w:val="-1"/>
      <w:u w:val="single"/>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PargrafodaLista">
    <w:name w:val="List Paragraph"/>
    <w:basedOn w:val="Normal"/>
    <w:uiPriority w:val="34"/>
    <w:qFormat/>
    <w:rsid w:val="004A53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jaciara.mt.gov.br/arquivos/anexos/05062013105125.pdf" TargetMode="External"/><Relationship Id="rId4" Type="http://schemas.openxmlformats.org/officeDocument/2006/relationships/styles" Target="styles.xml"/><Relationship Id="rId9" Type="http://schemas.openxmlformats.org/officeDocument/2006/relationships/hyperlink" Target="https://www.gov.br/fnde/pt-br/acesso-a-informacao/legislacao/resolucoes/2021/resolucao-no-15-de-16-de-setembro-de-202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irlanda@ufpa.br" TargetMode="External"/><Relationship Id="rId2" Type="http://schemas.openxmlformats.org/officeDocument/2006/relationships/hyperlink" Target="mailto:afonsosn@ufpa.br" TargetMode="External"/><Relationship Id="rId1" Type="http://schemas.openxmlformats.org/officeDocument/2006/relationships/hyperlink" Target="mailto:alda.borges@semed.moju.pa.gov.br" TargetMode="External"/><Relationship Id="rId4" Type="http://schemas.openxmlformats.org/officeDocument/2006/relationships/hyperlink" Target="mailto:rayanabarros18@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8B+lAe6PQGrzUwdPdRHYcu3Mfg==">CgMxLjAyDmgucTcwMHVqazF4MTZuMg5oLnlkb3FoMmE5dWVjbDIOaC5lYTRxYW9jZ29lM2Y4AHIhMUsxQk1LaXFmT056ZnVoRjVROWdRanB5T2d3QWJmRGpD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EA4EB2-2F4E-4B09-A284-B2C6E503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12</Pages>
  <Words>3819</Words>
  <Characters>20623</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Alda Borges</cp:lastModifiedBy>
  <cp:revision>24</cp:revision>
  <dcterms:created xsi:type="dcterms:W3CDTF">2025-02-17T16:43:00Z</dcterms:created>
  <dcterms:modified xsi:type="dcterms:W3CDTF">2025-07-01T20:39:00Z</dcterms:modified>
</cp:coreProperties>
</file>