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3048" w:rsidRDefault="00000000">
      <w:pPr>
        <w:spacing w:line="360" w:lineRule="auto"/>
        <w:jc w:val="center"/>
        <w:rPr>
          <w:sz w:val="24"/>
          <w:szCs w:val="24"/>
        </w:rPr>
      </w:pPr>
      <w:r>
        <w:rPr>
          <w:b/>
          <w:sz w:val="24"/>
          <w:szCs w:val="24"/>
        </w:rPr>
        <w:t xml:space="preserve">Análise da Taxonomia ASG em Projetos de Saneamento Básico nos Municípios Brasileiros: </w:t>
      </w:r>
      <w:r>
        <w:rPr>
          <w:sz w:val="24"/>
          <w:szCs w:val="24"/>
        </w:rPr>
        <w:t>uma aplicação do modelo MIDR</w:t>
      </w:r>
    </w:p>
    <w:p w14:paraId="00000002" w14:textId="77777777" w:rsidR="001C3048" w:rsidRDefault="001C3048">
      <w:pPr>
        <w:spacing w:line="240" w:lineRule="auto"/>
        <w:ind w:left="2835"/>
        <w:jc w:val="both"/>
        <w:rPr>
          <w:b/>
          <w:sz w:val="20"/>
          <w:szCs w:val="20"/>
        </w:rPr>
      </w:pPr>
    </w:p>
    <w:p w14:paraId="00000003" w14:textId="77777777" w:rsidR="001C3048" w:rsidRDefault="00000000">
      <w:pPr>
        <w:spacing w:line="240" w:lineRule="auto"/>
        <w:ind w:left="2835"/>
        <w:jc w:val="right"/>
        <w:rPr>
          <w:sz w:val="20"/>
          <w:szCs w:val="20"/>
          <w:vertAlign w:val="superscript"/>
        </w:rPr>
      </w:pPr>
      <w:r>
        <w:rPr>
          <w:sz w:val="20"/>
          <w:szCs w:val="20"/>
        </w:rPr>
        <w:t>Lídia Duarte Louzada dos Santos</w:t>
      </w:r>
      <w:r>
        <w:rPr>
          <w:sz w:val="20"/>
          <w:szCs w:val="20"/>
          <w:vertAlign w:val="superscript"/>
        </w:rPr>
        <w:t xml:space="preserve"> </w:t>
      </w:r>
      <w:r>
        <w:rPr>
          <w:sz w:val="20"/>
          <w:szCs w:val="20"/>
          <w:vertAlign w:val="superscript"/>
        </w:rPr>
        <w:footnoteReference w:id="1"/>
      </w:r>
    </w:p>
    <w:p w14:paraId="00000004" w14:textId="77777777" w:rsidR="001C3048" w:rsidRDefault="00000000">
      <w:pPr>
        <w:spacing w:line="240" w:lineRule="auto"/>
        <w:ind w:left="2835"/>
        <w:jc w:val="right"/>
        <w:rPr>
          <w:sz w:val="20"/>
          <w:szCs w:val="20"/>
        </w:rPr>
      </w:pPr>
      <w:r>
        <w:rPr>
          <w:sz w:val="20"/>
          <w:szCs w:val="20"/>
        </w:rPr>
        <w:t xml:space="preserve">Ana Keuly Luz Bezerra </w:t>
      </w:r>
      <w:r>
        <w:rPr>
          <w:sz w:val="20"/>
          <w:szCs w:val="20"/>
          <w:vertAlign w:val="superscript"/>
        </w:rPr>
        <w:footnoteReference w:id="2"/>
      </w:r>
      <w:r>
        <w:rPr>
          <w:sz w:val="20"/>
          <w:szCs w:val="20"/>
        </w:rPr>
        <w:t xml:space="preserve"> </w:t>
      </w:r>
    </w:p>
    <w:p w14:paraId="00000005" w14:textId="77777777" w:rsidR="001C3048" w:rsidRDefault="001C3048">
      <w:pPr>
        <w:spacing w:line="240" w:lineRule="auto"/>
        <w:ind w:left="2835"/>
        <w:jc w:val="both"/>
        <w:rPr>
          <w:sz w:val="20"/>
          <w:szCs w:val="20"/>
        </w:rPr>
      </w:pPr>
    </w:p>
    <w:p w14:paraId="00000006" w14:textId="77777777" w:rsidR="001C3048" w:rsidRDefault="00000000">
      <w:pPr>
        <w:spacing w:line="240" w:lineRule="auto"/>
        <w:ind w:left="2835"/>
        <w:jc w:val="both"/>
        <w:rPr>
          <w:b/>
          <w:sz w:val="20"/>
          <w:szCs w:val="20"/>
        </w:rPr>
      </w:pPr>
      <w:r>
        <w:rPr>
          <w:b/>
          <w:sz w:val="20"/>
          <w:szCs w:val="20"/>
        </w:rPr>
        <w:t>Resumo</w:t>
      </w:r>
    </w:p>
    <w:p w14:paraId="00000007" w14:textId="52AD7C34" w:rsidR="001C3048" w:rsidRDefault="00000000">
      <w:pPr>
        <w:spacing w:line="240" w:lineRule="auto"/>
        <w:ind w:left="2835"/>
        <w:jc w:val="both"/>
        <w:rPr>
          <w:b/>
          <w:sz w:val="20"/>
          <w:szCs w:val="20"/>
        </w:rPr>
      </w:pPr>
      <w:r>
        <w:rPr>
          <w:sz w:val="20"/>
          <w:szCs w:val="20"/>
        </w:rPr>
        <w:t xml:space="preserve">Este estudo tem como objetivo analisar a aplicabilidade da Taxonomia ASG do Modelo MIDR para projetos de saneamento básico em municípios brasileiros, identificando desafios e oportunidades de adaptação à realidade local, utilizando Teresina como um contexto ilustrativo. Assim, para o cumprimento e desenvolvimento, utilizou-se uma abordagem qualitativa, baseada em pesquisa documental e análise de conteúdo, para investigar a aplicabilidade e as nuances da Taxonomia ASG do Modelo MIDR para projetos de saneamento básico em municípios brasileiros, com especial atenção ao contexto municipal. Os resultados evidenciaram que a aplicabilidade da taxonomia ASG no modelo MIDR necessita de ajustes e simplificações para a realidade municipal, baseados na análise conceitual da taxonomia. O estudo identificou </w:t>
      </w:r>
      <w:sdt>
        <w:sdtPr>
          <w:tag w:val="goog_rdk_0"/>
          <w:id w:val="1493277988"/>
        </w:sdtPr>
        <w:sdtContent/>
      </w:sdt>
      <w:r>
        <w:rPr>
          <w:sz w:val="20"/>
          <w:szCs w:val="20"/>
        </w:rPr>
        <w:t>desafios</w:t>
      </w:r>
      <w:r w:rsidR="001B6063">
        <w:rPr>
          <w:sz w:val="20"/>
          <w:szCs w:val="20"/>
        </w:rPr>
        <w:t xml:space="preserve"> </w:t>
      </w:r>
      <w:r w:rsidR="00E66E22">
        <w:rPr>
          <w:sz w:val="20"/>
          <w:szCs w:val="20"/>
        </w:rPr>
        <w:t xml:space="preserve">como </w:t>
      </w:r>
      <w:r w:rsidR="00ED40F8">
        <w:rPr>
          <w:sz w:val="20"/>
          <w:szCs w:val="20"/>
        </w:rPr>
        <w:t xml:space="preserve">capacidade técnica e estrutural dos órgãos </w:t>
      </w:r>
      <w:r w:rsidR="00E66E22">
        <w:rPr>
          <w:sz w:val="20"/>
          <w:szCs w:val="20"/>
        </w:rPr>
        <w:t xml:space="preserve">públicos na </w:t>
      </w:r>
      <w:r w:rsidR="001E310C">
        <w:rPr>
          <w:sz w:val="20"/>
          <w:szCs w:val="20"/>
        </w:rPr>
        <w:t xml:space="preserve">usabilidade </w:t>
      </w:r>
      <w:r w:rsidR="00DD4090">
        <w:rPr>
          <w:sz w:val="20"/>
          <w:szCs w:val="20"/>
        </w:rPr>
        <w:t xml:space="preserve">e reporte dos resultados </w:t>
      </w:r>
      <w:r w:rsidR="001E310C">
        <w:rPr>
          <w:sz w:val="20"/>
          <w:szCs w:val="20"/>
        </w:rPr>
        <w:t xml:space="preserve">da taxonomia </w:t>
      </w:r>
      <w:r>
        <w:rPr>
          <w:sz w:val="20"/>
          <w:szCs w:val="20"/>
        </w:rPr>
        <w:t xml:space="preserve">e oportunidades </w:t>
      </w:r>
      <w:r w:rsidR="001E310C">
        <w:rPr>
          <w:sz w:val="20"/>
          <w:szCs w:val="20"/>
        </w:rPr>
        <w:t>como</w:t>
      </w:r>
      <w:r w:rsidR="004027C9">
        <w:rPr>
          <w:sz w:val="20"/>
          <w:szCs w:val="20"/>
        </w:rPr>
        <w:t xml:space="preserve"> </w:t>
      </w:r>
      <w:r w:rsidR="007A7C0E">
        <w:rPr>
          <w:sz w:val="20"/>
          <w:szCs w:val="20"/>
        </w:rPr>
        <w:t>integração dos ODSs com das políticas públicas n</w:t>
      </w:r>
      <w:r>
        <w:rPr>
          <w:sz w:val="20"/>
          <w:szCs w:val="20"/>
        </w:rPr>
        <w:t>a implementação da taxonomia ASG em municípios.</w:t>
      </w:r>
    </w:p>
    <w:p w14:paraId="00000008" w14:textId="77777777" w:rsidR="001C3048" w:rsidRDefault="00000000">
      <w:pPr>
        <w:spacing w:line="240" w:lineRule="auto"/>
        <w:ind w:left="2835"/>
        <w:jc w:val="both"/>
        <w:rPr>
          <w:sz w:val="20"/>
          <w:szCs w:val="20"/>
        </w:rPr>
      </w:pPr>
      <w:r>
        <w:rPr>
          <w:b/>
          <w:sz w:val="20"/>
          <w:szCs w:val="20"/>
        </w:rPr>
        <w:t>Palavras-chave</w:t>
      </w:r>
      <w:r>
        <w:rPr>
          <w:sz w:val="20"/>
          <w:szCs w:val="20"/>
        </w:rPr>
        <w:t>: finanças sustentáveis; taxonomia MIDR; ASG.</w:t>
      </w:r>
    </w:p>
    <w:p w14:paraId="00000009" w14:textId="77777777" w:rsidR="001C3048" w:rsidRDefault="001C3048">
      <w:pPr>
        <w:spacing w:line="240" w:lineRule="auto"/>
        <w:ind w:left="2835"/>
        <w:jc w:val="both"/>
        <w:rPr>
          <w:sz w:val="20"/>
          <w:szCs w:val="20"/>
        </w:rPr>
      </w:pPr>
    </w:p>
    <w:p w14:paraId="0000000A" w14:textId="77777777" w:rsidR="001C3048" w:rsidRDefault="00000000">
      <w:pPr>
        <w:spacing w:line="240" w:lineRule="auto"/>
        <w:ind w:left="2835"/>
        <w:jc w:val="both"/>
        <w:rPr>
          <w:b/>
          <w:sz w:val="20"/>
          <w:szCs w:val="20"/>
        </w:rPr>
      </w:pPr>
      <w:r>
        <w:rPr>
          <w:b/>
          <w:sz w:val="20"/>
          <w:szCs w:val="20"/>
        </w:rPr>
        <w:t>Abstract</w:t>
      </w:r>
    </w:p>
    <w:p w14:paraId="0000000B" w14:textId="0F581322" w:rsidR="001C3048" w:rsidRPr="0080608F" w:rsidRDefault="0080608F">
      <w:pPr>
        <w:spacing w:line="240" w:lineRule="auto"/>
        <w:ind w:left="2835"/>
        <w:jc w:val="both"/>
        <w:rPr>
          <w:sz w:val="20"/>
          <w:szCs w:val="20"/>
        </w:rPr>
      </w:pPr>
      <w:r w:rsidRPr="0080608F">
        <w:rPr>
          <w:sz w:val="20"/>
          <w:szCs w:val="20"/>
        </w:rPr>
        <w:t xml:space="preserve">This study aims to analyze the applicability of the MIDR Model's ASG </w:t>
      </w:r>
      <w:r w:rsidR="00746F15" w:rsidRPr="0080608F">
        <w:rPr>
          <w:sz w:val="20"/>
          <w:szCs w:val="20"/>
        </w:rPr>
        <w:t>Taxonomy</w:t>
      </w:r>
      <w:r w:rsidRPr="0080608F">
        <w:rPr>
          <w:sz w:val="20"/>
          <w:szCs w:val="20"/>
        </w:rPr>
        <w:t xml:space="preserve"> for basic sanitation projects in Brazilian municipalities, identifying challenges and opportunities for adaptation to the local reality, using Teresina as an illustrative context. A qualitative approach based on documentary research and content analysis was used to investigate the applicability and nuances of the MIDR Model's ASG Taxonomy for basic sanitation projects in Brazilian municipalities, with special attention to the municipal context. The results showed that the applicability of the ASG taxonomy in the MIDR model requires adjustments and simplifications for the municipal reality, based on the conceptual analysis of the taxonomy. The study identified challenges such as the technical and structural capacity of public bodies in the usability and reporting of taxonomy results, and opportunities such as the integration of the ODSs with public policies in the implementation of the ASG taxonomy in municipalities.</w:t>
      </w:r>
    </w:p>
    <w:p w14:paraId="348EF3A1" w14:textId="77777777" w:rsidR="00023CAD" w:rsidRPr="00023CAD" w:rsidRDefault="00023CAD" w:rsidP="00023CAD">
      <w:pPr>
        <w:spacing w:line="240" w:lineRule="auto"/>
        <w:ind w:left="2835"/>
        <w:jc w:val="both"/>
        <w:rPr>
          <w:b/>
          <w:sz w:val="20"/>
          <w:szCs w:val="20"/>
        </w:rPr>
      </w:pPr>
      <w:r w:rsidRPr="00023CAD">
        <w:rPr>
          <w:b/>
          <w:sz w:val="20"/>
          <w:szCs w:val="20"/>
        </w:rPr>
        <w:t xml:space="preserve">Keywords: </w:t>
      </w:r>
      <w:r w:rsidRPr="00023CAD">
        <w:rPr>
          <w:bCs/>
          <w:sz w:val="20"/>
          <w:szCs w:val="20"/>
        </w:rPr>
        <w:t>sustainable finance; MIDR taxonomy; ESG.</w:t>
      </w:r>
    </w:p>
    <w:p w14:paraId="0000000D" w14:textId="77777777" w:rsidR="001C3048" w:rsidRDefault="001C3048">
      <w:pPr>
        <w:spacing w:line="240" w:lineRule="auto"/>
        <w:ind w:left="2835"/>
        <w:jc w:val="both"/>
        <w:rPr>
          <w:sz w:val="20"/>
          <w:szCs w:val="20"/>
        </w:rPr>
      </w:pPr>
    </w:p>
    <w:p w14:paraId="0000000E" w14:textId="77777777" w:rsidR="001C3048" w:rsidRDefault="00000000">
      <w:pPr>
        <w:spacing w:line="360" w:lineRule="auto"/>
        <w:rPr>
          <w:b/>
          <w:sz w:val="24"/>
          <w:szCs w:val="24"/>
        </w:rPr>
      </w:pPr>
      <w:r>
        <w:rPr>
          <w:b/>
          <w:sz w:val="24"/>
          <w:szCs w:val="24"/>
        </w:rPr>
        <w:t>1</w:t>
      </w:r>
      <w:r>
        <w:rPr>
          <w:b/>
          <w:sz w:val="24"/>
          <w:szCs w:val="24"/>
        </w:rPr>
        <w:tab/>
        <w:t>INTRODUÇÃO</w:t>
      </w:r>
    </w:p>
    <w:p w14:paraId="0000000F" w14:textId="77777777" w:rsidR="001C3048" w:rsidRDefault="001C3048">
      <w:pPr>
        <w:spacing w:line="360" w:lineRule="auto"/>
        <w:jc w:val="both"/>
        <w:rPr>
          <w:sz w:val="24"/>
          <w:szCs w:val="24"/>
        </w:rPr>
      </w:pPr>
    </w:p>
    <w:p w14:paraId="00000010" w14:textId="77777777" w:rsidR="001C3048" w:rsidRDefault="00000000">
      <w:pPr>
        <w:spacing w:line="360" w:lineRule="auto"/>
        <w:ind w:firstLine="709"/>
        <w:jc w:val="both"/>
        <w:rPr>
          <w:sz w:val="24"/>
          <w:szCs w:val="24"/>
        </w:rPr>
      </w:pPr>
      <w:r>
        <w:rPr>
          <w:sz w:val="24"/>
          <w:szCs w:val="24"/>
        </w:rPr>
        <w:t xml:space="preserve">As questões climáticas, e sobretudo ambientais, vem sendo palco de grandes discussões em vários espaços. Assim, como desenvolvimento sustentável vem sendo um conceito central hoje em dia (Roös, 2021). Muito devido as consequências dos efeitos negativos da má administração dos recursos naturais no Brasil e no mundo, e uso desses recursos cada vez mais intensificado e desenfreado, já se começou sentir os efeitos e preocupar a qualidade de vida da população, tais como aumento da temperatura global, mais precisamente no clima, causando calor extremo em períodos longos ou chuvas intensas. </w:t>
      </w:r>
    </w:p>
    <w:p w14:paraId="00000011" w14:textId="77777777" w:rsidR="001C3048" w:rsidRDefault="00000000">
      <w:pPr>
        <w:spacing w:line="360" w:lineRule="auto"/>
        <w:ind w:firstLine="709"/>
        <w:jc w:val="both"/>
        <w:rPr>
          <w:sz w:val="24"/>
          <w:szCs w:val="24"/>
        </w:rPr>
      </w:pPr>
      <w:r>
        <w:rPr>
          <w:sz w:val="24"/>
          <w:szCs w:val="24"/>
        </w:rPr>
        <w:t xml:space="preserve">O Estado tem um papel importante no enfrentamento e na preservação do meio ambiente e clima relacionado à questão socioeconômica. Em um cenário em que o Estado perpassa por mudanças políticas e econômicas internacionais, Osório (2014) polemiza e critica a globalização e a mundialização para os países latino-americano no capital dependente. </w:t>
      </w:r>
    </w:p>
    <w:p w14:paraId="00000012" w14:textId="77777777" w:rsidR="001C3048" w:rsidRDefault="00000000">
      <w:pPr>
        <w:spacing w:line="360" w:lineRule="auto"/>
        <w:ind w:firstLine="709"/>
        <w:jc w:val="both"/>
        <w:rPr>
          <w:sz w:val="24"/>
          <w:szCs w:val="24"/>
        </w:rPr>
      </w:pPr>
      <w:r>
        <w:rPr>
          <w:sz w:val="24"/>
          <w:szCs w:val="24"/>
        </w:rPr>
        <w:t xml:space="preserve">Mas que não se pode negar que para implementar políticas públicas nesta área é, de certo modo, inevitável desembolsar aporte financeiro ou mesmo incentivar investimentos considerados “verdes” em atividades, projetos e produtos no setor econômico produtivo. </w:t>
      </w:r>
    </w:p>
    <w:p w14:paraId="00000013" w14:textId="77777777" w:rsidR="001C3048" w:rsidRDefault="00000000">
      <w:pPr>
        <w:spacing w:line="360" w:lineRule="auto"/>
        <w:ind w:firstLine="709"/>
        <w:jc w:val="both"/>
        <w:rPr>
          <w:color w:val="196B24"/>
          <w:sz w:val="24"/>
          <w:szCs w:val="24"/>
        </w:rPr>
      </w:pPr>
      <w:r>
        <w:rPr>
          <w:sz w:val="24"/>
          <w:szCs w:val="24"/>
        </w:rPr>
        <w:t>Uma forma de trazer o setor privado para uma transição de uma economia verde a exemplo do que o Banco Nacional de Desenvolvimento Econômico e Social (BNDES) vem monitorando com a utilização de informações como da plataforma MapBiomas de evitar conceder empréstimos a produtores rurais que desmataram ilegalmente, evidenciando a preocupação com critérios de sustentabilidade, é de minimizar de certo modo o que Chesnais (2005) chama de ‘capital portador de juros’ onde para além da questão de reprodução de acúmulo de capital financeiro e seus efeitos, a abordagem tende a deslocar a atenção para o meio ambiente.</w:t>
      </w:r>
    </w:p>
    <w:p w14:paraId="00000014" w14:textId="77777777" w:rsidR="001C3048" w:rsidRDefault="00000000">
      <w:pPr>
        <w:spacing w:line="360" w:lineRule="auto"/>
        <w:ind w:firstLine="709"/>
        <w:jc w:val="both"/>
        <w:rPr>
          <w:color w:val="196B24"/>
          <w:sz w:val="24"/>
          <w:szCs w:val="24"/>
        </w:rPr>
      </w:pPr>
      <w:r>
        <w:rPr>
          <w:sz w:val="24"/>
          <w:szCs w:val="24"/>
        </w:rPr>
        <w:lastRenderedPageBreak/>
        <w:t>E nesta linha, surge a Taxonomia Sustentável Brasileira (TSB) que é uma ferramenta que orienta investimentos em atividades alinhadas aos objetivos de sustentabilidade climática, ambiental e social. Esta ferramenta faz parte do “Novo Brasil – Plano de Transformação Ecológica”, sob a coordenação do Ministério da Fazenda. É uma agenda ambiental do país, com objetivos de emprego, produtividade, sustentabilidade ambiental e justiça social, englobando seis eixos, incluindo finanças sustentáveis.</w:t>
      </w:r>
      <w:r>
        <w:rPr>
          <w:color w:val="196B24"/>
          <w:sz w:val="24"/>
          <w:szCs w:val="24"/>
        </w:rPr>
        <w:t xml:space="preserve"> </w:t>
      </w:r>
    </w:p>
    <w:p w14:paraId="00000015" w14:textId="77777777" w:rsidR="001C3048" w:rsidRDefault="00000000">
      <w:pPr>
        <w:spacing w:line="360" w:lineRule="auto"/>
        <w:ind w:firstLine="709"/>
        <w:jc w:val="both"/>
        <w:rPr>
          <w:sz w:val="24"/>
          <w:szCs w:val="24"/>
        </w:rPr>
      </w:pPr>
      <w:r>
        <w:rPr>
          <w:sz w:val="24"/>
          <w:szCs w:val="24"/>
        </w:rPr>
        <w:t>Além da TSB, outras iniciativas vêm sendo elaboradas, como é o caso do relatório “Taxonomias e Frameworks ASG para o saneamento e a Infraestrutura Hídrica” elaborado pelo Ministério da Integração e do Desenvolvimento Regional (MIDR) em 2021, que apresenta taxonomias e frameworks para os setores de saneamento e infraestrutura hídrica alinhados com critérios ambientais, sociais e de governança (ASG).</w:t>
      </w:r>
    </w:p>
    <w:p w14:paraId="00000016" w14:textId="77777777" w:rsidR="001C3048" w:rsidRDefault="00000000">
      <w:pPr>
        <w:spacing w:line="360" w:lineRule="auto"/>
        <w:ind w:firstLine="709"/>
        <w:jc w:val="both"/>
        <w:rPr>
          <w:sz w:val="24"/>
          <w:szCs w:val="24"/>
        </w:rPr>
      </w:pPr>
      <w:bookmarkStart w:id="0" w:name="_heading=h.f2d81xitl6yj" w:colFirst="0" w:colLast="0"/>
      <w:bookmarkEnd w:id="0"/>
      <w:r>
        <w:rPr>
          <w:sz w:val="24"/>
          <w:szCs w:val="24"/>
        </w:rPr>
        <w:t>Deste modo, este trabalho tentou responder ao seguinte problema da pesquisa: como a Taxonomia ASG do Modelo MIDR pode ser aplicada e adaptada para projetos de saneamento básico em municípios brasileiros, considerando as especificidades locais?</w:t>
      </w:r>
    </w:p>
    <w:p w14:paraId="00000017" w14:textId="77777777" w:rsidR="001C3048" w:rsidRDefault="00000000">
      <w:pPr>
        <w:spacing w:line="360" w:lineRule="auto"/>
        <w:ind w:firstLine="709"/>
        <w:jc w:val="both"/>
        <w:rPr>
          <w:sz w:val="24"/>
          <w:szCs w:val="24"/>
        </w:rPr>
      </w:pPr>
      <w:r>
        <w:rPr>
          <w:sz w:val="24"/>
          <w:szCs w:val="24"/>
        </w:rPr>
        <w:t xml:space="preserve">Buscando contribuir para a melhor análise da Taxonomia Sustentável do Brasil, este trabalho pretende analisar a aplicabilidade da Taxonomia ASG do Modelo MIDR para projetos de saneamento básico em municípios brasileiros, identificando desafios e oportunidades de adaptação à realidade local, utilizando Teresina como um contexto ilustrativo. </w:t>
      </w:r>
    </w:p>
    <w:p w14:paraId="00000018" w14:textId="77777777" w:rsidR="001C3048" w:rsidRDefault="00000000">
      <w:pPr>
        <w:spacing w:line="360" w:lineRule="auto"/>
        <w:ind w:firstLine="709"/>
        <w:jc w:val="both"/>
        <w:rPr>
          <w:sz w:val="24"/>
          <w:szCs w:val="24"/>
        </w:rPr>
      </w:pPr>
      <w:r>
        <w:rPr>
          <w:sz w:val="24"/>
          <w:szCs w:val="24"/>
        </w:rPr>
        <w:t>Para construção do presente estudo utilizou-se de uma abordagem qualitativa da taxonomia ASG, de caráter exploratório e descritivo, baseada em pesquisa documental e análise de conteúdo. A pesquisa buscou compreender a complexidade e a adaptabilidade da Taxonomia ASG, conforme o modelo MIDR, ao contexto municipal brasileiro.</w:t>
      </w:r>
    </w:p>
    <w:p w14:paraId="00000019" w14:textId="77777777" w:rsidR="001C3048" w:rsidRDefault="001C3048">
      <w:pPr>
        <w:spacing w:line="360" w:lineRule="auto"/>
        <w:ind w:firstLine="709"/>
        <w:jc w:val="both"/>
        <w:rPr>
          <w:sz w:val="24"/>
          <w:szCs w:val="24"/>
        </w:rPr>
      </w:pPr>
    </w:p>
    <w:p w14:paraId="0000001A" w14:textId="77777777" w:rsidR="001C3048" w:rsidRDefault="00000000">
      <w:pPr>
        <w:spacing w:line="360" w:lineRule="auto"/>
        <w:jc w:val="both"/>
        <w:rPr>
          <w:b/>
          <w:sz w:val="24"/>
          <w:szCs w:val="24"/>
        </w:rPr>
      </w:pPr>
      <w:r>
        <w:rPr>
          <w:b/>
          <w:sz w:val="24"/>
          <w:szCs w:val="24"/>
        </w:rPr>
        <w:lastRenderedPageBreak/>
        <w:t>2 REFERENCIAL TEÓRICO</w:t>
      </w:r>
    </w:p>
    <w:p w14:paraId="0000001B" w14:textId="77777777" w:rsidR="001C3048" w:rsidRDefault="001C3048">
      <w:pPr>
        <w:spacing w:line="360" w:lineRule="auto"/>
        <w:jc w:val="both"/>
        <w:rPr>
          <w:b/>
          <w:sz w:val="24"/>
          <w:szCs w:val="24"/>
        </w:rPr>
      </w:pPr>
    </w:p>
    <w:p w14:paraId="0000001C" w14:textId="77777777" w:rsidR="001C3048" w:rsidRDefault="00000000">
      <w:pPr>
        <w:spacing w:line="360" w:lineRule="auto"/>
        <w:jc w:val="both"/>
        <w:rPr>
          <w:b/>
          <w:sz w:val="24"/>
          <w:szCs w:val="24"/>
        </w:rPr>
      </w:pPr>
      <w:r>
        <w:rPr>
          <w:b/>
          <w:sz w:val="24"/>
          <w:szCs w:val="24"/>
        </w:rPr>
        <w:t>2.1 Finanças sustentáveis e Taxonomias Sustentável Brasileira (TSB)</w:t>
      </w:r>
    </w:p>
    <w:p w14:paraId="0000001D" w14:textId="77777777" w:rsidR="001C3048" w:rsidRDefault="001C3048">
      <w:pPr>
        <w:spacing w:line="360" w:lineRule="auto"/>
        <w:jc w:val="both"/>
        <w:rPr>
          <w:b/>
          <w:sz w:val="24"/>
          <w:szCs w:val="24"/>
        </w:rPr>
      </w:pPr>
    </w:p>
    <w:p w14:paraId="0000001E" w14:textId="77777777" w:rsidR="001C3048" w:rsidRDefault="00000000">
      <w:pPr>
        <w:spacing w:line="360" w:lineRule="auto"/>
        <w:ind w:firstLine="720"/>
        <w:jc w:val="both"/>
        <w:rPr>
          <w:sz w:val="24"/>
          <w:szCs w:val="24"/>
        </w:rPr>
      </w:pPr>
      <w:r>
        <w:rPr>
          <w:sz w:val="24"/>
          <w:szCs w:val="24"/>
        </w:rPr>
        <w:t>Finanças Sustentáveis, que é um dos seis eixos temáticos do Plano de Transformação Ecológica liderada pelo Ministério da Fazenda, compreende um “[...] conjunto de transformações financeiras que contribuem para investimentos em atividades econômicas sustentáveis e inclusivas, reduzindo riscos ambientais e climáticos [...]” (MF, 2023, p. 9).</w:t>
      </w:r>
      <w:r>
        <w:rPr>
          <w:color w:val="7030A0"/>
          <w:sz w:val="24"/>
          <w:szCs w:val="24"/>
        </w:rPr>
        <w:t xml:space="preserve"> </w:t>
      </w:r>
      <w:r>
        <w:rPr>
          <w:sz w:val="24"/>
          <w:szCs w:val="24"/>
        </w:rPr>
        <w:t>Ou seja, objetiva direcionar recursos para atividades e políticas públicas sustentáveis, como: títulos soberanos sustentáveis, captação de recursos para o Fundo Clima, Mercado de Carbono, Taxonomia Sustentáveis Brasileira, Fundo Florestas Tropicais, Eco Invest Brasil, Letras de Crédito do Desenvolvimento, Debêntures Incentivas e de Infraestrutura e a Reforma Tributária, com incentivos à sustentabilidade.</w:t>
      </w:r>
    </w:p>
    <w:p w14:paraId="0000001F" w14:textId="77777777" w:rsidR="001C3048" w:rsidRDefault="00000000">
      <w:pPr>
        <w:spacing w:line="360" w:lineRule="auto"/>
        <w:ind w:firstLine="720"/>
        <w:jc w:val="both"/>
        <w:rPr>
          <w:sz w:val="24"/>
          <w:szCs w:val="24"/>
        </w:rPr>
      </w:pPr>
      <w:r>
        <w:rPr>
          <w:sz w:val="24"/>
          <w:szCs w:val="24"/>
        </w:rPr>
        <w:t xml:space="preserve">Medidas como a Taxonomia Sustentável Brasileira (TSB) já estão em andamento. Em 2023, o Ministério da Fazenda lançou nas COPs de Dubai e Baku o Plano de Ação da Taxonomia e dos cadernos técnicos preliminares, passando também por consulta pública dialogada em diversos setores do governo, do setor privado, sociedade civil e de movimentos sociais. Entre os países da América Latina, o Brasil está entre os países com taxonomia em desenvolvimento, a Colômbia o México tem suas taxonomias ativas/implementadas. </w:t>
      </w:r>
    </w:p>
    <w:p w14:paraId="00000020" w14:textId="77777777" w:rsidR="001C3048" w:rsidRDefault="00000000">
      <w:pPr>
        <w:spacing w:line="360" w:lineRule="auto"/>
        <w:ind w:firstLine="720"/>
        <w:jc w:val="both"/>
        <w:rPr>
          <w:sz w:val="24"/>
          <w:szCs w:val="24"/>
        </w:rPr>
      </w:pPr>
      <w:r>
        <w:rPr>
          <w:sz w:val="24"/>
          <w:szCs w:val="24"/>
        </w:rPr>
        <w:t>O Decreto nº 11.961/2024 traz o conceito de Taxonomia Sustentável Brasileira em que “consiste em sistema de classificação de atividades, ativos ou categorias de projetos que contribuam para a consecução de objetivos climáticos, ambientais e sociais, por meio de critérios específicos”.</w:t>
      </w:r>
    </w:p>
    <w:p w14:paraId="00000021" w14:textId="77777777" w:rsidR="001C3048" w:rsidRDefault="00000000">
      <w:pPr>
        <w:spacing w:line="360" w:lineRule="auto"/>
        <w:ind w:firstLine="720"/>
        <w:jc w:val="both"/>
        <w:rPr>
          <w:sz w:val="24"/>
          <w:szCs w:val="24"/>
        </w:rPr>
      </w:pPr>
      <w:r>
        <w:rPr>
          <w:sz w:val="24"/>
          <w:szCs w:val="24"/>
        </w:rPr>
        <w:t xml:space="preserve">Para Baccas (2023) as taxonomias permitem fornecer definições claras de compreensão comum a empresas, financiadores, investidores, governos e reguladores, baseada na ciência, no direcionamento de fluxo de capital e </w:t>
      </w:r>
      <w:r>
        <w:rPr>
          <w:sz w:val="24"/>
          <w:szCs w:val="24"/>
        </w:rPr>
        <w:lastRenderedPageBreak/>
        <w:t xml:space="preserve">investimentos. As classificações possibilitam ao governo orientar políticas públicas alinhadas à sustentabilidade. A autora complementa que a taxonomia serve de base para “[...] padronização de produtos financeiros e reporte, em que protege investidores contra </w:t>
      </w:r>
      <w:r>
        <w:rPr>
          <w:i/>
          <w:sz w:val="24"/>
          <w:szCs w:val="24"/>
        </w:rPr>
        <w:t>greenwashing</w:t>
      </w:r>
      <w:r>
        <w:rPr>
          <w:sz w:val="24"/>
          <w:szCs w:val="24"/>
        </w:rPr>
        <w:t xml:space="preserve"> garantindo que os dados sejam confiáveis e possam ser comparados, aumentando a legitimidade de políticas públicas e ações sobre finanças sustentáveis.” Com isso, a taxonomia possibilita avaliar qual medida ou em que grau uma atividade/projeto/ativo dá suporte a objetivos de sustentabilidade.  </w:t>
      </w:r>
    </w:p>
    <w:p w14:paraId="00000022" w14:textId="77777777" w:rsidR="001C3048" w:rsidRDefault="00000000">
      <w:pPr>
        <w:spacing w:line="360" w:lineRule="auto"/>
        <w:ind w:firstLine="720"/>
        <w:jc w:val="both"/>
        <w:rPr>
          <w:sz w:val="24"/>
          <w:szCs w:val="24"/>
        </w:rPr>
      </w:pPr>
      <w:r>
        <w:rPr>
          <w:sz w:val="24"/>
          <w:szCs w:val="24"/>
        </w:rPr>
        <w:t xml:space="preserve">O Brasil adotou a interoperabilidade entre TSB e taxonomia internacional e nacional para delimitar o que as atividades/projetos precisam para ser incluída em sua taxonomia, prioritariamente aquelas que atinge os objetivos ambientais, climáticos e social, como: </w:t>
      </w:r>
    </w:p>
    <w:p w14:paraId="00000024" w14:textId="39494B77" w:rsidR="001C3048" w:rsidRDefault="00000000" w:rsidP="005566A6">
      <w:pPr>
        <w:spacing w:after="240" w:line="240" w:lineRule="auto"/>
        <w:ind w:left="2268"/>
        <w:jc w:val="both"/>
        <w:rPr>
          <w:sz w:val="24"/>
          <w:szCs w:val="24"/>
        </w:rPr>
      </w:pPr>
      <w:r>
        <w:rPr>
          <w:sz w:val="20"/>
          <w:szCs w:val="20"/>
        </w:rPr>
        <w:t>mitigação da mudança do clima; adaptação às mudanças climáticas; uso sustentável do solo e conservação, manejo e uso sustentável das florestas; reduzir desigualdade socioeconômica, considerando aspectos raciais e de gênero; e reduzir desigualdades regionais e territoriais do país (BRASIL, 2023, p. 21-22).</w:t>
      </w:r>
    </w:p>
    <w:p w14:paraId="00000025" w14:textId="77777777" w:rsidR="001C3048" w:rsidRDefault="00000000">
      <w:pPr>
        <w:spacing w:line="360" w:lineRule="auto"/>
        <w:ind w:firstLine="720"/>
        <w:jc w:val="both"/>
        <w:rPr>
          <w:sz w:val="24"/>
          <w:szCs w:val="24"/>
        </w:rPr>
      </w:pPr>
      <w:r>
        <w:rPr>
          <w:sz w:val="24"/>
          <w:szCs w:val="24"/>
        </w:rPr>
        <w:t xml:space="preserve">Por fim, a seleção de atividades econômicas foi construída por grupos setoriais da TSB pelo CNAE (Cadastro Nacional de Atividades Econômicas) produzido pelo IBGE. </w:t>
      </w:r>
    </w:p>
    <w:p w14:paraId="00000026" w14:textId="77777777" w:rsidR="001C3048" w:rsidRDefault="001C3048">
      <w:pPr>
        <w:spacing w:line="360" w:lineRule="auto"/>
        <w:jc w:val="both"/>
        <w:rPr>
          <w:b/>
          <w:sz w:val="24"/>
          <w:szCs w:val="24"/>
        </w:rPr>
      </w:pPr>
    </w:p>
    <w:p w14:paraId="00000027" w14:textId="77777777" w:rsidR="001C3048" w:rsidRDefault="00000000">
      <w:pPr>
        <w:spacing w:line="360" w:lineRule="auto"/>
        <w:jc w:val="both"/>
        <w:rPr>
          <w:b/>
          <w:sz w:val="24"/>
          <w:szCs w:val="24"/>
        </w:rPr>
      </w:pPr>
      <w:r>
        <w:rPr>
          <w:b/>
          <w:sz w:val="24"/>
          <w:szCs w:val="24"/>
        </w:rPr>
        <w:t>2.2 Critérios e práticas sustentáveis</w:t>
      </w:r>
    </w:p>
    <w:p w14:paraId="00000028" w14:textId="77777777" w:rsidR="001C3048" w:rsidRDefault="001C3048">
      <w:pPr>
        <w:spacing w:line="360" w:lineRule="auto"/>
        <w:ind w:firstLine="720"/>
        <w:jc w:val="both"/>
        <w:rPr>
          <w:sz w:val="24"/>
          <w:szCs w:val="24"/>
        </w:rPr>
      </w:pPr>
    </w:p>
    <w:p w14:paraId="00000029" w14:textId="77777777" w:rsidR="001C3048" w:rsidRDefault="00000000">
      <w:pPr>
        <w:spacing w:line="360" w:lineRule="auto"/>
        <w:ind w:firstLine="720"/>
        <w:jc w:val="both"/>
        <w:rPr>
          <w:sz w:val="24"/>
          <w:szCs w:val="24"/>
        </w:rPr>
      </w:pPr>
      <w:r>
        <w:rPr>
          <w:sz w:val="24"/>
          <w:szCs w:val="24"/>
        </w:rPr>
        <w:t xml:space="preserve">Anteriormente ao TSB alguns normativos brasileiros dentre eles o Decreto nº 7.746/2012, que regulamenta critérios e práticas para a promoção do desenvolvimento nacional sustentável nas contratações, no art. 4º já apontava, dentre outras, critérios e práticas sustentáveis como: baixo impacto sobre recursos naturais (flora, fauna, ar, solo e água); preferência para materiais, tecnologias e matérias-primas de origem local; maior eficiência na utilização de recursos naturais (água e energia); maior geração de empregos, preferencialmente com mão de obra local; maior vida útil e </w:t>
      </w:r>
      <w:r>
        <w:rPr>
          <w:sz w:val="24"/>
          <w:szCs w:val="24"/>
        </w:rPr>
        <w:lastRenderedPageBreak/>
        <w:t>menor custo de manutenção do bem e da obra; uso de inovações que reduzam a pressão sobre recursos naturais; origem sustentável dos recursos naturais utilizados; e utilização de produtos florestais madeireiros e não madeireiros originários de manejo florestal sustentável ou de reflorestamento. Estas práticas sustentáveis orientam na construção da TSB, como parte de edição de um único documento direcionador de políticas públicas e regulatório no Brasil.</w:t>
      </w:r>
    </w:p>
    <w:p w14:paraId="0000002A" w14:textId="77777777" w:rsidR="001C3048" w:rsidRDefault="001C3048">
      <w:pPr>
        <w:spacing w:line="360" w:lineRule="auto"/>
        <w:jc w:val="both"/>
        <w:rPr>
          <w:b/>
          <w:sz w:val="24"/>
          <w:szCs w:val="24"/>
        </w:rPr>
      </w:pPr>
    </w:p>
    <w:p w14:paraId="0000002B" w14:textId="77777777" w:rsidR="001C3048" w:rsidRDefault="00000000">
      <w:pPr>
        <w:spacing w:line="360" w:lineRule="auto"/>
        <w:jc w:val="both"/>
        <w:rPr>
          <w:b/>
          <w:sz w:val="24"/>
          <w:szCs w:val="24"/>
        </w:rPr>
      </w:pPr>
      <w:r>
        <w:rPr>
          <w:b/>
          <w:sz w:val="24"/>
          <w:szCs w:val="24"/>
        </w:rPr>
        <w:t xml:space="preserve">2.3 Taxonomias e frameworks ASG para saneamento e infraestrutura hídrica (Modelo MIDR) </w:t>
      </w:r>
    </w:p>
    <w:p w14:paraId="0000002C" w14:textId="77777777" w:rsidR="001C3048" w:rsidRDefault="001C3048">
      <w:pPr>
        <w:spacing w:line="360" w:lineRule="auto"/>
        <w:ind w:firstLine="720"/>
        <w:jc w:val="both"/>
        <w:rPr>
          <w:sz w:val="24"/>
          <w:szCs w:val="24"/>
        </w:rPr>
      </w:pPr>
    </w:p>
    <w:p w14:paraId="0000002D" w14:textId="77777777" w:rsidR="001C3048" w:rsidRDefault="00000000">
      <w:pPr>
        <w:spacing w:line="360" w:lineRule="auto"/>
        <w:ind w:firstLine="720"/>
        <w:jc w:val="both"/>
        <w:rPr>
          <w:sz w:val="24"/>
          <w:szCs w:val="24"/>
        </w:rPr>
      </w:pPr>
      <w:r>
        <w:rPr>
          <w:sz w:val="24"/>
          <w:szCs w:val="24"/>
        </w:rPr>
        <w:t>Uma outra iniciativa anterior da TSB que foi sendo realizada no Brasil é o caso da Taxonomia e frameworks ASG para saneamento e infraestrutura hídrica lançado pelo Ministério da Integração e do Desenvolvimento Regional (MIDR) em 2021. Em que traz critérios caracterizados em três dimensões, Ambiental, Social e Governança, divididos em treze temas no total.</w:t>
      </w:r>
    </w:p>
    <w:p w14:paraId="0000002E" w14:textId="77777777" w:rsidR="001C3048" w:rsidRDefault="00000000">
      <w:pPr>
        <w:spacing w:line="360" w:lineRule="auto"/>
        <w:ind w:firstLine="720"/>
        <w:jc w:val="both"/>
        <w:rPr>
          <w:sz w:val="24"/>
          <w:szCs w:val="24"/>
        </w:rPr>
      </w:pPr>
      <w:r>
        <w:rPr>
          <w:sz w:val="24"/>
          <w:szCs w:val="24"/>
        </w:rPr>
        <w:t xml:space="preserve">Na elaboração da taxonomia de critérios ASG, o MIDR realizou </w:t>
      </w:r>
      <w:r>
        <w:rPr>
          <w:i/>
          <w:sz w:val="24"/>
          <w:szCs w:val="24"/>
        </w:rPr>
        <w:t>benchmark</w:t>
      </w:r>
      <w:r>
        <w:rPr>
          <w:sz w:val="24"/>
          <w:szCs w:val="24"/>
        </w:rPr>
        <w:t xml:space="preserve"> de taxonomias internacionais, categorizando as dimensões ASG e as modalidades de aplicação. </w:t>
      </w:r>
    </w:p>
    <w:p w14:paraId="0000002F" w14:textId="77777777" w:rsidR="001C3048" w:rsidRDefault="00000000">
      <w:pPr>
        <w:spacing w:line="360" w:lineRule="auto"/>
        <w:ind w:firstLine="720"/>
        <w:jc w:val="both"/>
        <w:rPr>
          <w:sz w:val="24"/>
          <w:szCs w:val="24"/>
        </w:rPr>
      </w:pPr>
      <w:r>
        <w:rPr>
          <w:sz w:val="24"/>
          <w:szCs w:val="24"/>
        </w:rPr>
        <w:t xml:space="preserve">Para este estudo foi considerado sobretudo o subsetor resíduo sólidos urbanos, no qual a taxonomia do modelo MIDR contempla a manutenção de infraestruturas e instalações operacionais de coleta, transporte, transbordo, tratamento e destinação final ambientalmente adequada destes. </w:t>
      </w:r>
    </w:p>
    <w:p w14:paraId="6586B961" w14:textId="4BCFB015" w:rsidR="00295477" w:rsidRDefault="00000000" w:rsidP="00295477">
      <w:pPr>
        <w:spacing w:line="360" w:lineRule="auto"/>
        <w:ind w:firstLine="709"/>
        <w:jc w:val="both"/>
        <w:rPr>
          <w:sz w:val="24"/>
          <w:szCs w:val="24"/>
        </w:rPr>
      </w:pPr>
      <w:r>
        <w:rPr>
          <w:sz w:val="24"/>
          <w:szCs w:val="24"/>
        </w:rPr>
        <w:t>Dentro de cada um dos quinze temas ASG, os critérios são classificados em relação ao seu nível de atendimento aos critérios de melhores práticas: nível satisfatório; nível robusto; e nível superior. Para esse estudo, fo</w:t>
      </w:r>
      <w:r w:rsidR="000243A3">
        <w:rPr>
          <w:sz w:val="24"/>
          <w:szCs w:val="24"/>
        </w:rPr>
        <w:t xml:space="preserve">ram utilizados dados </w:t>
      </w:r>
      <w:r w:rsidR="00D636C7">
        <w:rPr>
          <w:sz w:val="24"/>
          <w:szCs w:val="24"/>
        </w:rPr>
        <w:lastRenderedPageBreak/>
        <w:t xml:space="preserve">do documento Taxonomias e </w:t>
      </w:r>
      <w:r w:rsidR="00D636C7">
        <w:rPr>
          <w:i/>
          <w:sz w:val="24"/>
          <w:szCs w:val="24"/>
        </w:rPr>
        <w:t>frameworks</w:t>
      </w:r>
      <w:r w:rsidR="00D636C7">
        <w:rPr>
          <w:sz w:val="24"/>
          <w:szCs w:val="24"/>
        </w:rPr>
        <w:t xml:space="preserve"> ASG para o saneamento e a infraestrutura hídrica</w:t>
      </w:r>
      <w:r w:rsidR="00A3125C">
        <w:rPr>
          <w:rStyle w:val="Refdenotaderodap"/>
          <w:sz w:val="24"/>
          <w:szCs w:val="24"/>
        </w:rPr>
        <w:footnoteReference w:id="3"/>
      </w:r>
      <w:r w:rsidR="00D636C7">
        <w:rPr>
          <w:sz w:val="24"/>
          <w:szCs w:val="24"/>
        </w:rPr>
        <w:t>, de autoria do MIDR</w:t>
      </w:r>
      <w:r w:rsidR="00295477">
        <w:rPr>
          <w:sz w:val="24"/>
          <w:szCs w:val="24"/>
        </w:rPr>
        <w:t>.</w:t>
      </w:r>
    </w:p>
    <w:p w14:paraId="7C450F31" w14:textId="77777777" w:rsidR="00295477" w:rsidRDefault="00295477" w:rsidP="00A21293">
      <w:pPr>
        <w:spacing w:line="360" w:lineRule="auto"/>
        <w:jc w:val="both"/>
        <w:rPr>
          <w:sz w:val="24"/>
          <w:szCs w:val="24"/>
        </w:rPr>
      </w:pPr>
    </w:p>
    <w:p w14:paraId="00000032" w14:textId="77777777" w:rsidR="001C3048" w:rsidRDefault="00000000">
      <w:pPr>
        <w:spacing w:line="360" w:lineRule="auto"/>
        <w:jc w:val="both"/>
        <w:rPr>
          <w:b/>
          <w:sz w:val="24"/>
          <w:szCs w:val="24"/>
        </w:rPr>
      </w:pPr>
      <w:r>
        <w:rPr>
          <w:b/>
          <w:sz w:val="24"/>
          <w:szCs w:val="24"/>
        </w:rPr>
        <w:t>3 RESULTADOS E DISCUSSÃO</w:t>
      </w:r>
    </w:p>
    <w:p w14:paraId="00000033" w14:textId="77777777" w:rsidR="001C3048" w:rsidRDefault="001C3048">
      <w:pPr>
        <w:spacing w:line="360" w:lineRule="auto"/>
        <w:jc w:val="both"/>
        <w:rPr>
          <w:b/>
          <w:sz w:val="24"/>
          <w:szCs w:val="24"/>
        </w:rPr>
      </w:pPr>
    </w:p>
    <w:p w14:paraId="00000034" w14:textId="77777777" w:rsidR="001C3048" w:rsidRDefault="00000000">
      <w:pPr>
        <w:spacing w:line="360" w:lineRule="auto"/>
        <w:jc w:val="both"/>
        <w:rPr>
          <w:b/>
          <w:sz w:val="24"/>
          <w:szCs w:val="24"/>
        </w:rPr>
      </w:pPr>
      <w:r>
        <w:rPr>
          <w:b/>
          <w:sz w:val="24"/>
          <w:szCs w:val="24"/>
        </w:rPr>
        <w:t>3.1 Análise dos critérios ASG do modelo MIDR e sua aplicabilidade</w:t>
      </w:r>
    </w:p>
    <w:p w14:paraId="00000035" w14:textId="77777777" w:rsidR="001C3048" w:rsidRDefault="001C3048">
      <w:pPr>
        <w:spacing w:line="360" w:lineRule="auto"/>
        <w:jc w:val="both"/>
        <w:rPr>
          <w:b/>
          <w:sz w:val="24"/>
          <w:szCs w:val="24"/>
        </w:rPr>
      </w:pPr>
    </w:p>
    <w:p w14:paraId="00000036" w14:textId="77777777" w:rsidR="001C3048" w:rsidRDefault="00000000">
      <w:pPr>
        <w:spacing w:line="360" w:lineRule="auto"/>
        <w:ind w:firstLine="720"/>
        <w:jc w:val="both"/>
        <w:rPr>
          <w:sz w:val="24"/>
          <w:szCs w:val="24"/>
        </w:rPr>
      </w:pPr>
      <w:r>
        <w:rPr>
          <w:sz w:val="24"/>
          <w:szCs w:val="24"/>
        </w:rPr>
        <w:t xml:space="preserve">A taxonomia e frameworks do MIDR apresenta critérios voltados para o ASG e que foi elaborado com levantamento de </w:t>
      </w:r>
      <w:r>
        <w:rPr>
          <w:i/>
          <w:sz w:val="24"/>
          <w:szCs w:val="24"/>
        </w:rPr>
        <w:t>benchmark</w:t>
      </w:r>
      <w:r>
        <w:rPr>
          <w:sz w:val="24"/>
          <w:szCs w:val="24"/>
        </w:rPr>
        <w:t xml:space="preserve"> de taxonomias internacionais como </w:t>
      </w:r>
      <w:r>
        <w:rPr>
          <w:i/>
          <w:sz w:val="24"/>
          <w:szCs w:val="24"/>
        </w:rPr>
        <w:t>International Finance Corporation</w:t>
      </w:r>
      <w:r>
        <w:rPr>
          <w:sz w:val="24"/>
          <w:szCs w:val="24"/>
        </w:rPr>
        <w:t xml:space="preserve"> (IFC), </w:t>
      </w:r>
      <w:r>
        <w:rPr>
          <w:i/>
          <w:sz w:val="24"/>
          <w:szCs w:val="24"/>
        </w:rPr>
        <w:t>Climate Bonds Initiative</w:t>
      </w:r>
      <w:r>
        <w:rPr>
          <w:sz w:val="24"/>
          <w:szCs w:val="24"/>
        </w:rPr>
        <w:t xml:space="preserve"> (CBI), Conselho de Padrões Contábeis de Sustentabilidade (SASB), Banco Interamericano de Desenvolvimento (BID), Organização das Nações Unidas (ONU), </w:t>
      </w:r>
      <w:r>
        <w:rPr>
          <w:i/>
          <w:sz w:val="24"/>
          <w:szCs w:val="24"/>
        </w:rPr>
        <w:t>Global Infrastructure Hub</w:t>
      </w:r>
      <w:r>
        <w:rPr>
          <w:sz w:val="24"/>
          <w:szCs w:val="24"/>
        </w:rPr>
        <w:t xml:space="preserve">, </w:t>
      </w:r>
      <w:r>
        <w:rPr>
          <w:i/>
          <w:sz w:val="24"/>
          <w:szCs w:val="24"/>
        </w:rPr>
        <w:t>Vigeo Eiris</w:t>
      </w:r>
      <w:r>
        <w:rPr>
          <w:sz w:val="24"/>
          <w:szCs w:val="24"/>
        </w:rPr>
        <w:t xml:space="preserve"> e o Código Brasileiro de Governança Corporativa. O que de certo modo é uma estratégia vantajosa por conta da interoperabilidade dos critérios, que diz respeito às melhores práticas realizadas e da facilidade de padronizar e comparar as atividades/projetos/ativos que contribuem para a sustentabilidade.</w:t>
      </w:r>
    </w:p>
    <w:p w14:paraId="00000037" w14:textId="77777777" w:rsidR="001C3048" w:rsidRDefault="00000000">
      <w:pPr>
        <w:spacing w:line="360" w:lineRule="auto"/>
        <w:ind w:firstLine="720"/>
        <w:jc w:val="both"/>
        <w:rPr>
          <w:sz w:val="24"/>
          <w:szCs w:val="24"/>
        </w:rPr>
      </w:pPr>
      <w:r>
        <w:rPr>
          <w:sz w:val="24"/>
          <w:szCs w:val="24"/>
        </w:rPr>
        <w:t xml:space="preserve">No entanto, por outro lado, por ser mais bem classificado e de certo modo complexo pode ocorrer da dificuldade da aderência desta taxonomia, devido a questão da regionalidade. Ou até mesmo ter sua aplicabilidade para projetos/atividades/ativos de maior volume financeiro e que tenha maior suporte para aplicar os critérios na elaboração e execução do projeto.  </w:t>
      </w:r>
    </w:p>
    <w:p w14:paraId="00000038" w14:textId="77777777" w:rsidR="001C3048" w:rsidRDefault="00000000">
      <w:pPr>
        <w:spacing w:line="360" w:lineRule="auto"/>
        <w:ind w:firstLine="720"/>
        <w:jc w:val="both"/>
        <w:rPr>
          <w:color w:val="3A7D22"/>
          <w:sz w:val="24"/>
          <w:szCs w:val="24"/>
        </w:rPr>
      </w:pPr>
      <w:r>
        <w:rPr>
          <w:sz w:val="24"/>
          <w:szCs w:val="24"/>
        </w:rPr>
        <w:t xml:space="preserve">Diante da diversidade de projetos, programas, atividades e ativos, dentro do subsetor de resíduos sólidos, pode-se apontar como um dos desafios nos municípios a diminuição da emissão de Gases do Efeito Estufa (GEE) para o enfrentamento do clima. Do Plano de Ação Climática (PAC) de Teresina, aprovada em 2024, aponta que os setores de Transporte, Resíduos, Energia Estacionária, e Agricultura, floresta e </w:t>
      </w:r>
      <w:r>
        <w:rPr>
          <w:sz w:val="24"/>
          <w:szCs w:val="24"/>
        </w:rPr>
        <w:lastRenderedPageBreak/>
        <w:t>outros usos da terra (AFOLU), nesta ordem do maior para o menor, representam os que mais emitem GEE no município. Na aplicação da taxonomia, a depender da classificação utilizada a mensuração pode ser delicada. A exemplo, quando na propriedade rural em sua atividade produção e cultivo destina adequadamente seus resíduos sólidas com medidas de reciclagem ou reutilização dos resíduos gerados ao longo de seu ciclo de vida, o setor adota uma prática sustentável, mas ocorre que na prevenção e controle da poluição, ateia fogo no seu cultivo de forma desordenada, a propriedade deixa ou aplica em parte incompleta a adoção da taxonomia. Nesse caso, corre o risco de classificar essa atividade com práticas sustentáveis. É o que a taxonomia vem discutindo, a possibilidade de classificação não-binária, onde atividades que adotam parcialmente a taxonomia estaria no nível satisfatório, e aqueles que adotam critérios completos encontram-se no nível robusto e/ou superior.</w:t>
      </w:r>
    </w:p>
    <w:p w14:paraId="00000039" w14:textId="77777777" w:rsidR="001C3048" w:rsidRDefault="00000000">
      <w:pPr>
        <w:spacing w:line="360" w:lineRule="auto"/>
        <w:ind w:firstLine="720"/>
        <w:jc w:val="both"/>
        <w:rPr>
          <w:sz w:val="24"/>
          <w:szCs w:val="24"/>
        </w:rPr>
      </w:pPr>
      <w:r>
        <w:rPr>
          <w:sz w:val="24"/>
          <w:szCs w:val="24"/>
        </w:rPr>
        <w:t>Quanto aos 17 objetivos definidos pela Agenda 2030 que são desdobrados em 169 metas, verificou-se que o modelo MIDR para o subsetor resíduos sólidos contribui potencialmente aos ODS da ONU, principalmente os ODSs 6, 9, 11, 12, e indiretamente os ODSs 3, 7, 13. Ressalta-se que essa análise identifica o potencial dos projetos elegíveis ao uso desta Taxonomia para alcance de um ou mais objetivos e metas específicas.</w:t>
      </w:r>
    </w:p>
    <w:p w14:paraId="0000003A" w14:textId="77777777" w:rsidR="001C3048" w:rsidRDefault="00000000">
      <w:pPr>
        <w:spacing w:line="360" w:lineRule="auto"/>
        <w:ind w:firstLine="720"/>
        <w:jc w:val="both"/>
        <w:rPr>
          <w:sz w:val="24"/>
          <w:szCs w:val="24"/>
        </w:rPr>
      </w:pPr>
      <w:r>
        <w:rPr>
          <w:sz w:val="24"/>
          <w:szCs w:val="24"/>
        </w:rPr>
        <w:t xml:space="preserve">Do mesmo modo ocorre quanto aos critérios definidos pelo Decreto nº 7.746/2012, que define critérios para promover a sustentabilidade nas contratações federais, dos 08 critérios aportados 05 estão presentes diretamente na taxonomia, contribuindo para a aplicabilidade do normativo. Os 03 critérios restantes contribuem de forma indireta. Interessante observar que sendo critérios para as contratações públicas, é importante a Taxonomia está alinhada a este normativo visto ser uma das principais atividades do setor público.  </w:t>
      </w:r>
    </w:p>
    <w:p w14:paraId="0000003B" w14:textId="77777777" w:rsidR="001C3048" w:rsidRDefault="00000000">
      <w:pPr>
        <w:spacing w:line="360" w:lineRule="auto"/>
        <w:ind w:firstLine="720"/>
        <w:jc w:val="both"/>
        <w:rPr>
          <w:sz w:val="24"/>
          <w:szCs w:val="24"/>
        </w:rPr>
      </w:pPr>
      <w:r>
        <w:rPr>
          <w:sz w:val="24"/>
          <w:szCs w:val="24"/>
        </w:rPr>
        <w:t>Para aplicar o modelo MIDR aos investimentos em saneamento básico é essencial medir os riscos e a vulnerabilidade institucional para avaliar os benefícios e prejuízos da taxonomia.</w:t>
      </w:r>
    </w:p>
    <w:p w14:paraId="0000003C" w14:textId="77777777" w:rsidR="001C3048" w:rsidRDefault="001C3048" w:rsidP="00A21293">
      <w:pPr>
        <w:spacing w:line="360" w:lineRule="auto"/>
        <w:jc w:val="both"/>
        <w:rPr>
          <w:sz w:val="24"/>
          <w:szCs w:val="24"/>
        </w:rPr>
      </w:pPr>
    </w:p>
    <w:p w14:paraId="0000003D" w14:textId="090D472F" w:rsidR="001C3048" w:rsidRDefault="00000000">
      <w:pPr>
        <w:spacing w:line="360" w:lineRule="auto"/>
        <w:jc w:val="both"/>
        <w:rPr>
          <w:b/>
          <w:sz w:val="24"/>
          <w:szCs w:val="24"/>
        </w:rPr>
      </w:pPr>
      <w:r>
        <w:rPr>
          <w:b/>
          <w:sz w:val="24"/>
          <w:szCs w:val="24"/>
        </w:rPr>
        <w:t xml:space="preserve">3.2 Iniciativas e </w:t>
      </w:r>
      <w:r w:rsidR="008F566B">
        <w:rPr>
          <w:b/>
          <w:sz w:val="24"/>
          <w:szCs w:val="24"/>
        </w:rPr>
        <w:t>i</w:t>
      </w:r>
      <w:r>
        <w:rPr>
          <w:b/>
          <w:sz w:val="24"/>
          <w:szCs w:val="24"/>
        </w:rPr>
        <w:t xml:space="preserve">ncentivos para </w:t>
      </w:r>
      <w:r w:rsidR="008F566B">
        <w:rPr>
          <w:b/>
          <w:sz w:val="24"/>
          <w:szCs w:val="24"/>
        </w:rPr>
        <w:t>p</w:t>
      </w:r>
      <w:r>
        <w:rPr>
          <w:b/>
          <w:sz w:val="24"/>
          <w:szCs w:val="24"/>
        </w:rPr>
        <w:t xml:space="preserve">otencializar a </w:t>
      </w:r>
      <w:r w:rsidR="008F566B">
        <w:rPr>
          <w:b/>
          <w:sz w:val="24"/>
          <w:szCs w:val="24"/>
        </w:rPr>
        <w:t>u</w:t>
      </w:r>
      <w:r>
        <w:rPr>
          <w:b/>
          <w:sz w:val="24"/>
          <w:szCs w:val="24"/>
        </w:rPr>
        <w:t xml:space="preserve">tilização das </w:t>
      </w:r>
      <w:r w:rsidR="008F566B">
        <w:rPr>
          <w:b/>
          <w:sz w:val="24"/>
          <w:szCs w:val="24"/>
        </w:rPr>
        <w:t>t</w:t>
      </w:r>
      <w:r>
        <w:rPr>
          <w:b/>
          <w:sz w:val="24"/>
          <w:szCs w:val="24"/>
        </w:rPr>
        <w:t>axonomias ASG</w:t>
      </w:r>
    </w:p>
    <w:p w14:paraId="0000003E" w14:textId="77777777" w:rsidR="001C3048" w:rsidRDefault="001C3048">
      <w:pPr>
        <w:spacing w:line="360" w:lineRule="auto"/>
        <w:jc w:val="both"/>
        <w:rPr>
          <w:b/>
          <w:sz w:val="24"/>
          <w:szCs w:val="24"/>
        </w:rPr>
      </w:pPr>
    </w:p>
    <w:p w14:paraId="0000003F" w14:textId="77777777" w:rsidR="001C3048" w:rsidRDefault="00000000">
      <w:pPr>
        <w:spacing w:line="360" w:lineRule="auto"/>
        <w:ind w:firstLine="720"/>
        <w:jc w:val="both"/>
        <w:rPr>
          <w:sz w:val="24"/>
          <w:szCs w:val="24"/>
        </w:rPr>
      </w:pPr>
      <w:r>
        <w:rPr>
          <w:sz w:val="24"/>
          <w:szCs w:val="24"/>
        </w:rPr>
        <w:t>Uma das vantagens de ter suas atividades, projetos e/ou políticas públicas submetidas à TSB incluem a facilidade de acesso a financiamento “verdes” aumentando a captação de recursos externos e convênio com governo federal; e a transparência evita práticas “</w:t>
      </w:r>
      <w:r>
        <w:rPr>
          <w:i/>
          <w:sz w:val="24"/>
          <w:szCs w:val="24"/>
        </w:rPr>
        <w:t>greenwashing</w:t>
      </w:r>
      <w:r>
        <w:rPr>
          <w:sz w:val="24"/>
          <w:szCs w:val="24"/>
        </w:rPr>
        <w:t>” reforçando a credibilidade e compromisso com a sustentabilidade pactuada.</w:t>
      </w:r>
    </w:p>
    <w:p w14:paraId="00000040" w14:textId="77777777" w:rsidR="001C3048" w:rsidRDefault="00000000">
      <w:pPr>
        <w:spacing w:line="360" w:lineRule="auto"/>
        <w:ind w:firstLine="720"/>
        <w:jc w:val="both"/>
        <w:rPr>
          <w:sz w:val="24"/>
          <w:szCs w:val="24"/>
        </w:rPr>
      </w:pPr>
      <w:r>
        <w:rPr>
          <w:sz w:val="24"/>
          <w:szCs w:val="24"/>
        </w:rPr>
        <w:t>Entre as políticas públicas do município de Teresina, por exemplo, poderia ser aprimorada, sobretudo no subsetor resíduos sólidos, a fim de aderir a Taxonomia é o programa lixo zero. Instituída pela Lei Municipal nº 4.474/2013 esse programa tem por finalidade evitar o acúmulo de lixo nos logradouros públicos e impor penalidade para os cidadãos que descumprirem a norma. Para além de multar quem descumpre, o programa poderia aderir práticas que o modelo MIDR apontou, destaca-se: no tema Prevenção e controle da poluição - estabelecer medidas de reciclagem ou reutilização dos resíduos gerados.</w:t>
      </w:r>
    </w:p>
    <w:p w14:paraId="00000041" w14:textId="77777777" w:rsidR="001C3048" w:rsidRDefault="00000000">
      <w:pPr>
        <w:spacing w:line="360" w:lineRule="auto"/>
        <w:ind w:firstLine="720"/>
        <w:jc w:val="both"/>
        <w:rPr>
          <w:sz w:val="24"/>
          <w:szCs w:val="24"/>
        </w:rPr>
      </w:pPr>
      <w:r>
        <w:rPr>
          <w:sz w:val="24"/>
          <w:szCs w:val="24"/>
        </w:rPr>
        <w:t xml:space="preserve">No modelo MIDR de taxonomia ASG, a adesão às práticas pelas Prefeituras pode requerer ajustes adequados à realidade do município. Por mais que a taxonomia tenha como atrativo a atração de investimento e cumprimento dos objetivos climáticos, ambientais, sociais e de governança, é preciso avaliar à luz da perspectiva regional. Desse modo, programas, projetos relevantes para o município – como manter limpo as vias públicas – encontram respaldo na legislação, mas não se encontram delineados na taxonomia do MIDR. </w:t>
      </w:r>
    </w:p>
    <w:p w14:paraId="00000042" w14:textId="77777777" w:rsidR="001C3048" w:rsidRDefault="00000000">
      <w:pPr>
        <w:spacing w:line="360" w:lineRule="auto"/>
        <w:ind w:firstLine="720"/>
        <w:jc w:val="both"/>
        <w:rPr>
          <w:sz w:val="24"/>
          <w:szCs w:val="24"/>
        </w:rPr>
      </w:pPr>
      <w:r>
        <w:rPr>
          <w:sz w:val="24"/>
          <w:szCs w:val="24"/>
        </w:rPr>
        <w:t xml:space="preserve">No entanto, atividades importantes para além de executar suas atividades básicas essenciais, o município precisa avançar quanto a preocupação de execução de atividade de baixo carbono, que é uma das metas para redução das emissões de GEE, o que a taxonomia ASG abordado em um dos critérios e estimula como adoção </w:t>
      </w:r>
      <w:r>
        <w:rPr>
          <w:sz w:val="24"/>
          <w:szCs w:val="24"/>
        </w:rPr>
        <w:lastRenderedPageBreak/>
        <w:t>de melhores práticas para o setor de saneamento, canalizando recursos para as atividades que realmente favoreçam o atingimento dos objetivos climáticos.</w:t>
      </w:r>
    </w:p>
    <w:p w14:paraId="00000043" w14:textId="77777777" w:rsidR="001C3048" w:rsidRDefault="001C3048" w:rsidP="0075741F">
      <w:pPr>
        <w:spacing w:line="360" w:lineRule="auto"/>
        <w:jc w:val="both"/>
        <w:rPr>
          <w:sz w:val="24"/>
          <w:szCs w:val="24"/>
        </w:rPr>
      </w:pPr>
    </w:p>
    <w:p w14:paraId="00000044" w14:textId="55E18050" w:rsidR="001C3048" w:rsidRPr="00950D10" w:rsidRDefault="00000000">
      <w:pPr>
        <w:spacing w:line="360" w:lineRule="auto"/>
        <w:jc w:val="both"/>
        <w:rPr>
          <w:b/>
          <w:sz w:val="24"/>
          <w:szCs w:val="24"/>
        </w:rPr>
      </w:pPr>
      <w:r>
        <w:rPr>
          <w:b/>
          <w:sz w:val="24"/>
          <w:szCs w:val="24"/>
        </w:rPr>
        <w:t xml:space="preserve">3.3 Proposta de </w:t>
      </w:r>
      <w:r w:rsidR="009851C5">
        <w:rPr>
          <w:b/>
          <w:sz w:val="24"/>
          <w:szCs w:val="24"/>
        </w:rPr>
        <w:t>f</w:t>
      </w:r>
      <w:r>
        <w:rPr>
          <w:b/>
          <w:sz w:val="24"/>
          <w:szCs w:val="24"/>
        </w:rPr>
        <w:t xml:space="preserve">luxo de </w:t>
      </w:r>
      <w:r w:rsidR="009851C5">
        <w:rPr>
          <w:b/>
          <w:sz w:val="24"/>
          <w:szCs w:val="24"/>
        </w:rPr>
        <w:t>i</w:t>
      </w:r>
      <w:r>
        <w:rPr>
          <w:b/>
          <w:sz w:val="24"/>
          <w:szCs w:val="24"/>
        </w:rPr>
        <w:t xml:space="preserve">mplementação da </w:t>
      </w:r>
      <w:r w:rsidR="009851C5">
        <w:rPr>
          <w:b/>
          <w:sz w:val="24"/>
          <w:szCs w:val="24"/>
        </w:rPr>
        <w:t>t</w:t>
      </w:r>
      <w:r>
        <w:rPr>
          <w:b/>
          <w:sz w:val="24"/>
          <w:szCs w:val="24"/>
        </w:rPr>
        <w:t>axonomia ASG</w:t>
      </w:r>
      <w:r w:rsidR="008F566B">
        <w:rPr>
          <w:b/>
          <w:sz w:val="24"/>
          <w:szCs w:val="24"/>
        </w:rPr>
        <w:t xml:space="preserve"> no </w:t>
      </w:r>
      <w:r w:rsidR="009851C5">
        <w:rPr>
          <w:b/>
          <w:sz w:val="24"/>
          <w:szCs w:val="24"/>
        </w:rPr>
        <w:t>m</w:t>
      </w:r>
      <w:r w:rsidR="008F566B">
        <w:rPr>
          <w:b/>
          <w:sz w:val="24"/>
          <w:szCs w:val="24"/>
        </w:rPr>
        <w:t>unicípio</w:t>
      </w:r>
    </w:p>
    <w:p w14:paraId="00000045" w14:textId="77777777" w:rsidR="001C3048" w:rsidRDefault="001C3048">
      <w:pPr>
        <w:spacing w:line="360" w:lineRule="auto"/>
        <w:jc w:val="both"/>
        <w:rPr>
          <w:b/>
          <w:sz w:val="24"/>
          <w:szCs w:val="24"/>
        </w:rPr>
      </w:pPr>
    </w:p>
    <w:p w14:paraId="00000046" w14:textId="1ACF60BC" w:rsidR="001C3048" w:rsidRDefault="00000000">
      <w:pPr>
        <w:spacing w:line="360" w:lineRule="auto"/>
        <w:ind w:firstLine="720"/>
        <w:jc w:val="both"/>
        <w:rPr>
          <w:sz w:val="24"/>
          <w:szCs w:val="24"/>
        </w:rPr>
      </w:pPr>
      <w:r>
        <w:rPr>
          <w:sz w:val="24"/>
          <w:szCs w:val="24"/>
        </w:rPr>
        <w:t>Considerando a realidade municipal e as formas sugeridas pelo MIDR, a construção do fluxo de implementação da Taxonomia ASG aos municípios aplica-se aos processos de aprovação e estruturação de programas e/ou projetos no âmbito municipal. As etapas sugeridas estão descritas a seguir:</w:t>
      </w:r>
    </w:p>
    <w:p w14:paraId="00000047" w14:textId="4E86AE0E" w:rsidR="001C3048" w:rsidRDefault="00000000">
      <w:pPr>
        <w:spacing w:line="360" w:lineRule="auto"/>
        <w:ind w:firstLine="720"/>
        <w:jc w:val="both"/>
        <w:rPr>
          <w:sz w:val="24"/>
          <w:szCs w:val="24"/>
        </w:rPr>
      </w:pPr>
      <w:r>
        <w:rPr>
          <w:sz w:val="24"/>
          <w:szCs w:val="24"/>
        </w:rPr>
        <w:t>a) Produção da análise: as unidades técnicas municipal elabora a análise a partir de documentação disponibilizado do projeto e outros necessários;</w:t>
      </w:r>
    </w:p>
    <w:p w14:paraId="00000048" w14:textId="1DF20EA0" w:rsidR="001C3048" w:rsidRDefault="00000000">
      <w:pPr>
        <w:spacing w:line="360" w:lineRule="auto"/>
        <w:ind w:firstLine="720"/>
        <w:jc w:val="both"/>
        <w:rPr>
          <w:sz w:val="24"/>
          <w:szCs w:val="24"/>
        </w:rPr>
      </w:pPr>
      <w:r>
        <w:rPr>
          <w:sz w:val="24"/>
          <w:szCs w:val="24"/>
        </w:rPr>
        <w:t>b) Revisão da análise: as unidades técnicas municipal determina responsáveis</w:t>
      </w:r>
      <w:r w:rsidR="00021646">
        <w:rPr>
          <w:sz w:val="24"/>
          <w:szCs w:val="24"/>
        </w:rPr>
        <w:t xml:space="preserve"> ou contrata consultoria</w:t>
      </w:r>
      <w:r>
        <w:rPr>
          <w:sz w:val="24"/>
          <w:szCs w:val="24"/>
        </w:rPr>
        <w:t xml:space="preserve"> para verificação e aprovação das análises; </w:t>
      </w:r>
    </w:p>
    <w:p w14:paraId="00000049" w14:textId="04CFFB3F" w:rsidR="001C3048" w:rsidRDefault="00000000">
      <w:pPr>
        <w:spacing w:line="360" w:lineRule="auto"/>
        <w:ind w:firstLine="720"/>
        <w:jc w:val="both"/>
        <w:rPr>
          <w:sz w:val="24"/>
          <w:szCs w:val="24"/>
        </w:rPr>
      </w:pPr>
      <w:r>
        <w:rPr>
          <w:sz w:val="24"/>
          <w:szCs w:val="24"/>
        </w:rPr>
        <w:t>c) Aplicação da análise: as unidades técnicas municipal aplica-se a análise do projeto alinhando a Taxonomia ASG;</w:t>
      </w:r>
      <w:r w:rsidR="005856F8">
        <w:rPr>
          <w:sz w:val="24"/>
          <w:szCs w:val="24"/>
        </w:rPr>
        <w:t xml:space="preserve"> </w:t>
      </w:r>
    </w:p>
    <w:p w14:paraId="0000004A" w14:textId="73B35356" w:rsidR="001C3048" w:rsidRDefault="00000000">
      <w:pPr>
        <w:spacing w:line="360" w:lineRule="auto"/>
        <w:ind w:firstLine="720"/>
        <w:jc w:val="both"/>
        <w:rPr>
          <w:sz w:val="24"/>
          <w:szCs w:val="24"/>
        </w:rPr>
      </w:pPr>
      <w:sdt>
        <w:sdtPr>
          <w:tag w:val="goog_rdk_2"/>
          <w:id w:val="1046007560"/>
        </w:sdtPr>
        <w:sdtContent/>
      </w:sdt>
      <w:r>
        <w:rPr>
          <w:sz w:val="24"/>
          <w:szCs w:val="24"/>
        </w:rPr>
        <w:t xml:space="preserve">d) Monitoramento e reporte: o município pode determinar processo de acompanhamento de projetos por meio de monitoramento e reporte, em períodos fixos ou marcos relevantes do projeto. Devendo ser responsabilidade da entidade/órgão público </w:t>
      </w:r>
      <w:r w:rsidR="00AF5F3A">
        <w:rPr>
          <w:sz w:val="24"/>
          <w:szCs w:val="24"/>
        </w:rPr>
        <w:t>da publicação</w:t>
      </w:r>
      <w:r w:rsidR="00460B5C">
        <w:rPr>
          <w:sz w:val="24"/>
          <w:szCs w:val="24"/>
        </w:rPr>
        <w:t xml:space="preserve"> e divulgação</w:t>
      </w:r>
      <w:r>
        <w:rPr>
          <w:sz w:val="24"/>
          <w:szCs w:val="24"/>
        </w:rPr>
        <w:t xml:space="preserve"> do desempenho ASG de um projeto ou programa no reporte das evidências e dados atualizados. </w:t>
      </w:r>
    </w:p>
    <w:p w14:paraId="0000004B" w14:textId="741B8BF0" w:rsidR="001C3048" w:rsidRPr="00BD41A7" w:rsidRDefault="00BD41A7" w:rsidP="00BD41A7">
      <w:pPr>
        <w:spacing w:line="360" w:lineRule="auto"/>
        <w:ind w:firstLine="720"/>
        <w:jc w:val="both"/>
        <w:rPr>
          <w:sz w:val="24"/>
          <w:szCs w:val="24"/>
        </w:rPr>
      </w:pPr>
      <w:r w:rsidRPr="00BD41A7">
        <w:rPr>
          <w:sz w:val="24"/>
          <w:szCs w:val="24"/>
        </w:rPr>
        <w:t xml:space="preserve">Este fluxo pode ser ajustado conforme a demanda e necessidade, por exemplo, antes da elaboração do projeto, já realizando os ajustes de acordo com os critérios da taxonomia. </w:t>
      </w:r>
      <w:r w:rsidR="005547AF">
        <w:rPr>
          <w:sz w:val="24"/>
          <w:szCs w:val="24"/>
        </w:rPr>
        <w:t xml:space="preserve"> </w:t>
      </w:r>
      <w:r w:rsidR="009851C5" w:rsidRPr="00BD41A7">
        <w:rPr>
          <w:sz w:val="24"/>
          <w:szCs w:val="24"/>
        </w:rPr>
        <w:t xml:space="preserve"> </w:t>
      </w:r>
    </w:p>
    <w:p w14:paraId="6829AC81" w14:textId="77777777" w:rsidR="00460B5C" w:rsidRDefault="00460B5C" w:rsidP="00460B5C">
      <w:pPr>
        <w:spacing w:line="360" w:lineRule="auto"/>
        <w:jc w:val="both"/>
        <w:rPr>
          <w:sz w:val="24"/>
          <w:szCs w:val="24"/>
        </w:rPr>
      </w:pPr>
    </w:p>
    <w:p w14:paraId="0000004C" w14:textId="77777777" w:rsidR="001C3048" w:rsidRDefault="00000000">
      <w:pPr>
        <w:spacing w:line="360" w:lineRule="auto"/>
        <w:jc w:val="both"/>
        <w:rPr>
          <w:b/>
          <w:sz w:val="24"/>
          <w:szCs w:val="24"/>
        </w:rPr>
      </w:pPr>
      <w:r>
        <w:rPr>
          <w:b/>
          <w:sz w:val="24"/>
          <w:szCs w:val="24"/>
        </w:rPr>
        <w:t>4 CONCLUSÃO</w:t>
      </w:r>
    </w:p>
    <w:p w14:paraId="0000004D" w14:textId="77777777" w:rsidR="001C3048" w:rsidRDefault="001C3048">
      <w:pPr>
        <w:spacing w:line="360" w:lineRule="auto"/>
        <w:jc w:val="both"/>
        <w:rPr>
          <w:b/>
          <w:sz w:val="24"/>
          <w:szCs w:val="24"/>
        </w:rPr>
      </w:pPr>
    </w:p>
    <w:p w14:paraId="0000004E" w14:textId="77777777" w:rsidR="001C3048" w:rsidRDefault="00000000">
      <w:pPr>
        <w:spacing w:line="360" w:lineRule="auto"/>
        <w:ind w:firstLine="720"/>
        <w:jc w:val="both"/>
        <w:rPr>
          <w:sz w:val="24"/>
          <w:szCs w:val="24"/>
        </w:rPr>
      </w:pPr>
      <w:bookmarkStart w:id="1" w:name="_heading=h.lr7sgsrhlcj1" w:colFirst="0" w:colLast="0"/>
      <w:bookmarkEnd w:id="1"/>
      <w:r>
        <w:rPr>
          <w:sz w:val="24"/>
          <w:szCs w:val="24"/>
        </w:rPr>
        <w:t xml:space="preserve">De forma mais pontual, os principais achados indicam: que a aplicabilidade e usabilidade da taxonomia ASG no modelo MIDR necessita de ajustes e simplificação </w:t>
      </w:r>
      <w:r>
        <w:rPr>
          <w:sz w:val="24"/>
          <w:szCs w:val="24"/>
        </w:rPr>
        <w:lastRenderedPageBreak/>
        <w:t xml:space="preserve">para a realidade municipal, para assim gerar os impactos desejados. E da utilização da taxonomia ASG e </w:t>
      </w:r>
      <w:r>
        <w:rPr>
          <w:i/>
          <w:sz w:val="24"/>
          <w:szCs w:val="24"/>
        </w:rPr>
        <w:t>frameworks</w:t>
      </w:r>
      <w:r>
        <w:rPr>
          <w:sz w:val="24"/>
          <w:szCs w:val="24"/>
        </w:rPr>
        <w:t xml:space="preserve"> em suas análises de desenvolvimento e aprovação de projetos/programas/atividades como desafios e oportunidades para a realidade dos municípios.</w:t>
      </w:r>
    </w:p>
    <w:p w14:paraId="0000004F" w14:textId="77777777" w:rsidR="001C3048" w:rsidRDefault="00000000">
      <w:pPr>
        <w:spacing w:line="360" w:lineRule="auto"/>
        <w:ind w:firstLine="720"/>
        <w:jc w:val="both"/>
        <w:rPr>
          <w:sz w:val="24"/>
          <w:szCs w:val="24"/>
        </w:rPr>
      </w:pPr>
      <w:r>
        <w:rPr>
          <w:sz w:val="24"/>
          <w:szCs w:val="24"/>
        </w:rPr>
        <w:t>A grande resposta é que a transição de uma economia nociva para uma economia sustentável “verde” é complexa, principalmente por ser o Brasil ser um país subdesenvolvido e emergente. Assim como Teresina, a implementação de políticas sustentáveis enfrenta desafios significativos, dado que práticas essenciais e primárias, como o esgotamento sanitário, ainda não possuem uma ampla cobertura de atendimento na cidade. É preciso começar sim a pensar em práticas sustentáveis, mas dentro do que seja possível de ser efetivado, com práticas elegíveis dentro do contexto municipal. Práticas exequíveis com vantagens para as partes interessadas (Estado, Sociedade, Privado).</w:t>
      </w:r>
    </w:p>
    <w:p w14:paraId="00000050" w14:textId="77777777" w:rsidR="001C3048" w:rsidRDefault="00000000">
      <w:pPr>
        <w:spacing w:line="360" w:lineRule="auto"/>
        <w:ind w:firstLine="720"/>
        <w:jc w:val="both"/>
        <w:rPr>
          <w:sz w:val="24"/>
          <w:szCs w:val="24"/>
        </w:rPr>
      </w:pPr>
      <w:r>
        <w:rPr>
          <w:sz w:val="24"/>
          <w:szCs w:val="24"/>
        </w:rPr>
        <w:t xml:space="preserve">No entanto, benefícios associados à adesão à taxonomia podem ser vistos, como: atração de investimento para políticas públicas que envolvem objetivos ambientais, sociais e de governança, melhores práticas alinhadas aos ODS, melhor gestão de riscos.  </w:t>
      </w:r>
    </w:p>
    <w:p w14:paraId="00000051" w14:textId="77777777" w:rsidR="001C3048" w:rsidRDefault="00000000">
      <w:pPr>
        <w:spacing w:line="360" w:lineRule="auto"/>
        <w:ind w:firstLine="720"/>
        <w:jc w:val="both"/>
        <w:rPr>
          <w:sz w:val="24"/>
          <w:szCs w:val="24"/>
        </w:rPr>
      </w:pPr>
      <w:r>
        <w:rPr>
          <w:sz w:val="24"/>
          <w:szCs w:val="24"/>
        </w:rPr>
        <w:t xml:space="preserve">Um caminho para implementação e adesão da taxonomia nos municípios é realizar adequação à realidade municipal no que for possível, incluindo </w:t>
      </w:r>
      <w:r>
        <w:rPr>
          <w:i/>
          <w:sz w:val="24"/>
          <w:szCs w:val="24"/>
        </w:rPr>
        <w:t>frameworks</w:t>
      </w:r>
      <w:r>
        <w:rPr>
          <w:sz w:val="24"/>
          <w:szCs w:val="24"/>
        </w:rPr>
        <w:t xml:space="preserve"> como critério de elegibilidade dos projetos/programas/atividades. Além disso, deve-se capacitar as entidades e órgãos municipais quanto ao uso dos critérios estabelecidos, como observados na revisão. Adicionalmente, pode-se considerar a adoção de selo ou premiação para estimular a utilização dos critérios.</w:t>
      </w:r>
    </w:p>
    <w:p w14:paraId="00000052" w14:textId="77777777" w:rsidR="001C3048" w:rsidRDefault="001C3048">
      <w:pPr>
        <w:spacing w:line="360" w:lineRule="auto"/>
        <w:jc w:val="both"/>
        <w:rPr>
          <w:b/>
          <w:sz w:val="24"/>
          <w:szCs w:val="24"/>
        </w:rPr>
      </w:pPr>
    </w:p>
    <w:p w14:paraId="00000053" w14:textId="77777777" w:rsidR="001C3048" w:rsidRDefault="00000000">
      <w:pPr>
        <w:spacing w:after="240" w:line="360" w:lineRule="auto"/>
        <w:jc w:val="center"/>
        <w:rPr>
          <w:sz w:val="24"/>
          <w:szCs w:val="24"/>
        </w:rPr>
      </w:pPr>
      <w:r>
        <w:rPr>
          <w:b/>
          <w:sz w:val="24"/>
          <w:szCs w:val="24"/>
        </w:rPr>
        <w:t>REFERÊNCIAS</w:t>
      </w:r>
    </w:p>
    <w:p w14:paraId="00000054" w14:textId="77777777" w:rsidR="001C3048" w:rsidRDefault="00000000">
      <w:pPr>
        <w:spacing w:after="240" w:line="240" w:lineRule="auto"/>
        <w:rPr>
          <w:sz w:val="24"/>
          <w:szCs w:val="24"/>
        </w:rPr>
      </w:pPr>
      <w:r>
        <w:rPr>
          <w:sz w:val="24"/>
          <w:szCs w:val="24"/>
        </w:rPr>
        <w:t xml:space="preserve">BACCAS, Daniela, coord. </w:t>
      </w:r>
      <w:r>
        <w:rPr>
          <w:b/>
          <w:sz w:val="24"/>
          <w:szCs w:val="24"/>
        </w:rPr>
        <w:t>Taxonomias em finanças sustentáveis:</w:t>
      </w:r>
      <w:r>
        <w:rPr>
          <w:sz w:val="24"/>
          <w:szCs w:val="24"/>
        </w:rPr>
        <w:t xml:space="preserve"> reflexões para o desenvolvimento de uma taxonomia no contexto nacional. Laboratório de Inovação Financeira (LAB), 2023.</w:t>
      </w:r>
    </w:p>
    <w:p w14:paraId="00000055" w14:textId="77777777" w:rsidR="001C3048" w:rsidRPr="005547AF" w:rsidRDefault="00000000">
      <w:pPr>
        <w:spacing w:after="240" w:line="240" w:lineRule="auto"/>
        <w:rPr>
          <w:sz w:val="24"/>
          <w:szCs w:val="24"/>
        </w:rPr>
      </w:pPr>
      <w:r w:rsidRPr="005547AF">
        <w:rPr>
          <w:sz w:val="24"/>
          <w:szCs w:val="24"/>
        </w:rPr>
        <w:lastRenderedPageBreak/>
        <w:t xml:space="preserve">BRASIL. </w:t>
      </w:r>
      <w:r w:rsidRPr="005547AF">
        <w:rPr>
          <w:b/>
          <w:sz w:val="24"/>
          <w:szCs w:val="24"/>
        </w:rPr>
        <w:t>Decreto nº 7.746, de 5 de junho de 2012</w:t>
      </w:r>
      <w:r w:rsidRPr="005547AF">
        <w:rPr>
          <w:sz w:val="24"/>
          <w:szCs w:val="24"/>
        </w:rPr>
        <w:t xml:space="preserve">. Regulamenta o art. 3º da Lei nº 8.666, de 21 de junho de 1993, para estabelecer critérios e práticas para a promoção do desenvolvimento nacional sustentável nas contratações realizadas pela administração pública federal direta, autárquica e fundacional e pelas empresas estatais dependentes, e institui a Comissão Interministerial de Sustentabilidade na Administração Pública - CISAP. Disponível em: </w:t>
      </w:r>
      <w:hyperlink r:id="rId8">
        <w:r w:rsidR="001C3048" w:rsidRPr="005547AF">
          <w:rPr>
            <w:sz w:val="24"/>
            <w:szCs w:val="24"/>
            <w:u w:val="single"/>
          </w:rPr>
          <w:t>Decreto nº 7746</w:t>
        </w:r>
      </w:hyperlink>
      <w:r w:rsidRPr="005547AF">
        <w:rPr>
          <w:sz w:val="24"/>
          <w:szCs w:val="24"/>
        </w:rPr>
        <w:t>. Acesso em: 10 jun. 2025.</w:t>
      </w:r>
    </w:p>
    <w:p w14:paraId="00000056" w14:textId="77777777" w:rsidR="001C3048" w:rsidRPr="005547AF" w:rsidRDefault="00000000">
      <w:pPr>
        <w:spacing w:after="240" w:line="240" w:lineRule="auto"/>
        <w:rPr>
          <w:sz w:val="24"/>
          <w:szCs w:val="24"/>
        </w:rPr>
      </w:pPr>
      <w:r w:rsidRPr="005547AF">
        <w:rPr>
          <w:sz w:val="24"/>
          <w:szCs w:val="24"/>
        </w:rPr>
        <w:t xml:space="preserve">BRASIL. </w:t>
      </w:r>
      <w:r w:rsidRPr="005547AF">
        <w:rPr>
          <w:b/>
          <w:sz w:val="24"/>
          <w:szCs w:val="24"/>
        </w:rPr>
        <w:t>Decreto nº 11.961, de 22 de março de 2024</w:t>
      </w:r>
      <w:r w:rsidRPr="005547AF">
        <w:rPr>
          <w:sz w:val="24"/>
          <w:szCs w:val="24"/>
        </w:rPr>
        <w:t xml:space="preserve">. Institui o Comitê Interinstitucional da Taxonomia Sustentável Brasileira. Disponível em: </w:t>
      </w:r>
      <w:hyperlink r:id="rId9">
        <w:r w:rsidR="001C3048" w:rsidRPr="005547AF">
          <w:rPr>
            <w:sz w:val="24"/>
            <w:szCs w:val="24"/>
            <w:u w:val="single"/>
          </w:rPr>
          <w:t>D11961</w:t>
        </w:r>
      </w:hyperlink>
      <w:r w:rsidRPr="005547AF">
        <w:rPr>
          <w:sz w:val="24"/>
          <w:szCs w:val="24"/>
        </w:rPr>
        <w:t>. Acesso em: 10 jun. 2025.</w:t>
      </w:r>
    </w:p>
    <w:p w14:paraId="00000057" w14:textId="77777777" w:rsidR="001C3048" w:rsidRPr="005547AF" w:rsidRDefault="00000000">
      <w:pPr>
        <w:spacing w:after="240"/>
        <w:rPr>
          <w:sz w:val="24"/>
          <w:szCs w:val="24"/>
        </w:rPr>
      </w:pPr>
      <w:r w:rsidRPr="005547AF">
        <w:rPr>
          <w:sz w:val="24"/>
          <w:szCs w:val="24"/>
        </w:rPr>
        <w:t xml:space="preserve">BRASIL. Ministério da Fazenda (MF). </w:t>
      </w:r>
      <w:r w:rsidRPr="005547AF">
        <w:rPr>
          <w:b/>
          <w:sz w:val="24"/>
          <w:szCs w:val="24"/>
        </w:rPr>
        <w:t>Taxonomia Sustentável Brasileira</w:t>
      </w:r>
      <w:r w:rsidRPr="005547AF">
        <w:rPr>
          <w:sz w:val="24"/>
          <w:szCs w:val="24"/>
        </w:rPr>
        <w:t xml:space="preserve"> – Plano de Ação para consulta pública. Disponível em: </w:t>
      </w:r>
      <w:hyperlink r:id="rId10">
        <w:r w:rsidR="001C3048" w:rsidRPr="005547AF">
          <w:rPr>
            <w:sz w:val="24"/>
            <w:szCs w:val="24"/>
            <w:u w:val="single"/>
          </w:rPr>
          <w:t>cartilha-taxonomia-sustentável-brasileira-vf.pdf</w:t>
        </w:r>
      </w:hyperlink>
      <w:r w:rsidRPr="005547AF">
        <w:rPr>
          <w:sz w:val="24"/>
          <w:szCs w:val="24"/>
        </w:rPr>
        <w:t>. Acesso em: 28 mai. 2025.</w:t>
      </w:r>
    </w:p>
    <w:p w14:paraId="00000058" w14:textId="77777777" w:rsidR="001C3048" w:rsidRPr="005547AF" w:rsidRDefault="00000000">
      <w:pPr>
        <w:spacing w:after="240"/>
        <w:rPr>
          <w:sz w:val="24"/>
          <w:szCs w:val="24"/>
        </w:rPr>
      </w:pPr>
      <w:r w:rsidRPr="005547AF">
        <w:rPr>
          <w:sz w:val="24"/>
          <w:szCs w:val="24"/>
        </w:rPr>
        <w:t xml:space="preserve">BRASIL. Ministério de Desenvolvimento Regional (MDR). </w:t>
      </w:r>
      <w:r w:rsidRPr="005547AF">
        <w:rPr>
          <w:b/>
          <w:sz w:val="24"/>
          <w:szCs w:val="24"/>
        </w:rPr>
        <w:t>Taxonomias e Frameworks ASG para o Saneamento e a Infraestrutura Hídrica</w:t>
      </w:r>
      <w:r w:rsidRPr="005547AF">
        <w:rPr>
          <w:sz w:val="24"/>
          <w:szCs w:val="24"/>
        </w:rPr>
        <w:t xml:space="preserve"> – Instrumentos para mobilizar investimentos e expandir a infraestrutura sustentável no Brasil. Disponível em: </w:t>
      </w:r>
      <w:hyperlink r:id="rId11">
        <w:r w:rsidR="001C3048" w:rsidRPr="005547AF">
          <w:rPr>
            <w:sz w:val="24"/>
            <w:szCs w:val="24"/>
            <w:u w:val="single"/>
          </w:rPr>
          <w:t>FSBTaxonomiaseFrameworksASGparaSaneamentoeaInfraestruturaHidrica_compressed1.pdf</w:t>
        </w:r>
      </w:hyperlink>
      <w:r w:rsidRPr="005547AF">
        <w:rPr>
          <w:sz w:val="24"/>
          <w:szCs w:val="24"/>
        </w:rPr>
        <w:t>. Acesso em: 25 mai. 2025.</w:t>
      </w:r>
    </w:p>
    <w:p w14:paraId="00000059" w14:textId="77777777" w:rsidR="001C3048" w:rsidRPr="005547AF" w:rsidRDefault="00000000">
      <w:pPr>
        <w:spacing w:after="240"/>
        <w:rPr>
          <w:sz w:val="24"/>
          <w:szCs w:val="24"/>
        </w:rPr>
      </w:pPr>
      <w:r w:rsidRPr="005547AF">
        <w:rPr>
          <w:sz w:val="24"/>
          <w:szCs w:val="24"/>
        </w:rPr>
        <w:t xml:space="preserve">CHENAIS, F.  </w:t>
      </w:r>
      <w:r w:rsidRPr="005547AF">
        <w:rPr>
          <w:b/>
          <w:sz w:val="24"/>
          <w:szCs w:val="24"/>
        </w:rPr>
        <w:t>A finança mundializada</w:t>
      </w:r>
      <w:r w:rsidRPr="005547AF">
        <w:rPr>
          <w:sz w:val="24"/>
          <w:szCs w:val="24"/>
        </w:rPr>
        <w:t xml:space="preserve">: raízes sociais e políticas, configuração, consequências. São Paulo: Boitempo, 2005.  </w:t>
      </w:r>
    </w:p>
    <w:p w14:paraId="0000005A" w14:textId="77777777" w:rsidR="001C3048" w:rsidRPr="005547AF" w:rsidRDefault="00000000">
      <w:pPr>
        <w:spacing w:after="240"/>
        <w:rPr>
          <w:sz w:val="24"/>
          <w:szCs w:val="24"/>
        </w:rPr>
      </w:pPr>
      <w:r w:rsidRPr="005547AF">
        <w:rPr>
          <w:sz w:val="24"/>
          <w:szCs w:val="24"/>
        </w:rPr>
        <w:t xml:space="preserve">OSÓRIO, J. O. </w:t>
      </w:r>
      <w:r w:rsidRPr="005547AF">
        <w:rPr>
          <w:b/>
          <w:sz w:val="24"/>
          <w:szCs w:val="24"/>
        </w:rPr>
        <w:t>Estado no centro da mundialização</w:t>
      </w:r>
      <w:r w:rsidRPr="005547AF">
        <w:rPr>
          <w:sz w:val="24"/>
          <w:szCs w:val="24"/>
        </w:rPr>
        <w:t>: a sociedade civil e o tema do poder. São Paulo: Outras expressões, 2014.</w:t>
      </w:r>
    </w:p>
    <w:p w14:paraId="0000005B" w14:textId="77777777" w:rsidR="001C3048" w:rsidRPr="005547AF" w:rsidRDefault="00000000">
      <w:pPr>
        <w:spacing w:after="200"/>
        <w:rPr>
          <w:sz w:val="24"/>
          <w:szCs w:val="24"/>
        </w:rPr>
      </w:pPr>
      <w:r w:rsidRPr="005547AF">
        <w:rPr>
          <w:sz w:val="24"/>
          <w:szCs w:val="24"/>
        </w:rPr>
        <w:t xml:space="preserve">PREFEITURA MUNICIPAL DE TERESINA (PMT). </w:t>
      </w:r>
      <w:r w:rsidRPr="005547AF">
        <w:rPr>
          <w:b/>
          <w:sz w:val="24"/>
          <w:szCs w:val="24"/>
        </w:rPr>
        <w:t xml:space="preserve">Plano de Ação Climática: </w:t>
      </w:r>
      <w:r w:rsidRPr="005547AF">
        <w:rPr>
          <w:sz w:val="24"/>
          <w:szCs w:val="24"/>
        </w:rPr>
        <w:t xml:space="preserve">Teresina rumo ao carbono neutro. Produto 4 – Plano de Ação Climática da cidade de Teresina, 2023. Disponível em: </w:t>
      </w:r>
      <w:hyperlink r:id="rId12">
        <w:r w:rsidR="001C3048" w:rsidRPr="005547AF">
          <w:rPr>
            <w:sz w:val="24"/>
            <w:szCs w:val="24"/>
            <w:u w:val="single"/>
          </w:rPr>
          <w:t>202310_TERESINA_PROD4_PLANO_ACAO_CLIMATICA_VF.pdf - Google Drive</w:t>
        </w:r>
      </w:hyperlink>
      <w:r w:rsidRPr="005547AF">
        <w:rPr>
          <w:sz w:val="24"/>
          <w:szCs w:val="24"/>
        </w:rPr>
        <w:t>. Acesso em: 26 junho. 2025.</w:t>
      </w:r>
    </w:p>
    <w:p w14:paraId="0000005C" w14:textId="77777777" w:rsidR="001C3048" w:rsidRPr="005547AF" w:rsidRDefault="00000000">
      <w:pPr>
        <w:rPr>
          <w:sz w:val="24"/>
          <w:szCs w:val="24"/>
        </w:rPr>
      </w:pPr>
      <w:r w:rsidRPr="005547AF">
        <w:rPr>
          <w:sz w:val="24"/>
          <w:szCs w:val="24"/>
        </w:rPr>
        <w:t>Roös, P.B. The Challenge of a Changing Environment. In: Regenerative-Adaptive Design for Sustainable Development.</w:t>
      </w:r>
      <w:r w:rsidRPr="005547AF">
        <w:rPr>
          <w:b/>
          <w:sz w:val="24"/>
          <w:szCs w:val="24"/>
        </w:rPr>
        <w:t xml:space="preserve"> Sustainable Development Goals Series</w:t>
      </w:r>
      <w:r w:rsidRPr="005547AF">
        <w:rPr>
          <w:sz w:val="24"/>
          <w:szCs w:val="24"/>
        </w:rPr>
        <w:t xml:space="preserve">. Springer, Cham, 2021. </w:t>
      </w:r>
      <w:hyperlink r:id="rId13">
        <w:r w:rsidR="001C3048" w:rsidRPr="005547AF">
          <w:rPr>
            <w:sz w:val="24"/>
            <w:szCs w:val="24"/>
            <w:u w:val="single"/>
          </w:rPr>
          <w:t>https://doi.org/10.1007/978-3-030-53234-5_3</w:t>
        </w:r>
      </w:hyperlink>
      <w:r w:rsidRPr="005547AF">
        <w:rPr>
          <w:sz w:val="24"/>
          <w:szCs w:val="24"/>
        </w:rPr>
        <w:t xml:space="preserve"> </w:t>
      </w:r>
    </w:p>
    <w:sectPr w:rsidR="001C3048" w:rsidRPr="005547AF">
      <w:headerReference w:type="default" r:id="rId14"/>
      <w:pgSz w:w="11909" w:h="16834"/>
      <w:pgMar w:top="1701" w:right="1134" w:bottom="1560"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F90D1" w14:textId="77777777" w:rsidR="00D830A1" w:rsidRDefault="00D830A1">
      <w:pPr>
        <w:spacing w:line="240" w:lineRule="auto"/>
      </w:pPr>
      <w:r>
        <w:separator/>
      </w:r>
    </w:p>
  </w:endnote>
  <w:endnote w:type="continuationSeparator" w:id="0">
    <w:p w14:paraId="53BDCD40" w14:textId="77777777" w:rsidR="00D830A1" w:rsidRDefault="00D830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2C418" w14:textId="77777777" w:rsidR="00D830A1" w:rsidRDefault="00D830A1">
      <w:pPr>
        <w:spacing w:line="240" w:lineRule="auto"/>
      </w:pPr>
      <w:r>
        <w:separator/>
      </w:r>
    </w:p>
  </w:footnote>
  <w:footnote w:type="continuationSeparator" w:id="0">
    <w:p w14:paraId="36802715" w14:textId="77777777" w:rsidR="00D830A1" w:rsidRDefault="00D830A1">
      <w:pPr>
        <w:spacing w:line="240" w:lineRule="auto"/>
      </w:pPr>
      <w:r>
        <w:continuationSeparator/>
      </w:r>
    </w:p>
  </w:footnote>
  <w:footnote w:id="1">
    <w:p w14:paraId="0000005D" w14:textId="5D66841B" w:rsidR="001C3048" w:rsidRDefault="00000000">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Universidade Federal do Piauí (UFPI); Mestranda em Política Pública do Programa de Pós-graduação em Políticas Públicas (UFPI); e-mail: lidia.santos@ufpi.edu.br</w:t>
      </w:r>
      <w:r w:rsidR="00023CAD">
        <w:rPr>
          <w:color w:val="000000"/>
          <w:sz w:val="20"/>
          <w:szCs w:val="20"/>
        </w:rPr>
        <w:t>.</w:t>
      </w:r>
    </w:p>
  </w:footnote>
  <w:footnote w:id="2">
    <w:p w14:paraId="0000005E" w14:textId="467DA66D" w:rsidR="001C3048" w:rsidRDefault="00000000">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Universidade Federal do Piauí (UFPI); Doutora em desenvolvimento e meio ambiente (UFPI) e docente permanente do Programa de Pós-graduação em Políticas Públicas (UFPI); e-mail: analuz@ifpi.edu.br</w:t>
      </w:r>
      <w:r w:rsidR="00023CAD">
        <w:rPr>
          <w:color w:val="000000"/>
          <w:sz w:val="20"/>
          <w:szCs w:val="20"/>
        </w:rPr>
        <w:t>.</w:t>
      </w:r>
    </w:p>
  </w:footnote>
  <w:footnote w:id="3">
    <w:p w14:paraId="0E916261" w14:textId="0E9C88A0" w:rsidR="00A3125C" w:rsidRDefault="00A3125C" w:rsidP="00295477">
      <w:pPr>
        <w:pStyle w:val="Textodenotaderodap"/>
      </w:pPr>
      <w:r>
        <w:rPr>
          <w:rStyle w:val="Refdenotaderodap"/>
        </w:rPr>
        <w:footnoteRef/>
      </w:r>
      <w:r>
        <w:t xml:space="preserve"> </w:t>
      </w:r>
      <w:r w:rsidRPr="00A3125C">
        <w:t>Disponível no link:</w:t>
      </w:r>
      <w:r w:rsidR="00295477">
        <w:t xml:space="preserve"> </w:t>
      </w:r>
      <w:hyperlink r:id="rId1">
        <w:r w:rsidRPr="00A3125C">
          <w:rPr>
            <w:i/>
            <w:color w:val="000000"/>
          </w:rPr>
          <w:t>FSBTaxonomiaseFrameworksASGparaSaneamentoeaInfraestruturaHidrica_compressed1.pdf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77777777" w:rsidR="001C3048" w:rsidRDefault="00000000">
    <w:r>
      <w:rPr>
        <w:noProof/>
      </w:rPr>
      <w:drawing>
        <wp:anchor distT="0" distB="0" distL="0" distR="0" simplePos="0" relativeHeight="251658240" behindDoc="1" locked="0" layoutInCell="1" hidden="0" allowOverlap="1" wp14:anchorId="010B4A27" wp14:editId="29286BBC">
          <wp:simplePos x="0" y="0"/>
          <wp:positionH relativeFrom="page">
            <wp:align>right</wp:align>
          </wp:positionH>
          <wp:positionV relativeFrom="page">
            <wp:posOffset>-633</wp:posOffset>
          </wp:positionV>
          <wp:extent cx="7727358" cy="10694433"/>
          <wp:effectExtent l="0" t="0" r="0" b="0"/>
          <wp:wrapNone/>
          <wp:docPr id="3212272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358" cy="1069443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048"/>
    <w:rsid w:val="00021646"/>
    <w:rsid w:val="00023CAD"/>
    <w:rsid w:val="000243A3"/>
    <w:rsid w:val="00047633"/>
    <w:rsid w:val="001B6063"/>
    <w:rsid w:val="001C3048"/>
    <w:rsid w:val="001E310C"/>
    <w:rsid w:val="00295477"/>
    <w:rsid w:val="002A167C"/>
    <w:rsid w:val="00311F16"/>
    <w:rsid w:val="00391D48"/>
    <w:rsid w:val="003B3D20"/>
    <w:rsid w:val="004027C9"/>
    <w:rsid w:val="00460B5C"/>
    <w:rsid w:val="004878EA"/>
    <w:rsid w:val="005547AF"/>
    <w:rsid w:val="005566A6"/>
    <w:rsid w:val="00582E99"/>
    <w:rsid w:val="005856F8"/>
    <w:rsid w:val="005D1D0C"/>
    <w:rsid w:val="00684341"/>
    <w:rsid w:val="006C095F"/>
    <w:rsid w:val="00746F15"/>
    <w:rsid w:val="0075741F"/>
    <w:rsid w:val="00763525"/>
    <w:rsid w:val="00795CB6"/>
    <w:rsid w:val="007A7C0E"/>
    <w:rsid w:val="0080608F"/>
    <w:rsid w:val="008532D6"/>
    <w:rsid w:val="0086631C"/>
    <w:rsid w:val="008F566B"/>
    <w:rsid w:val="00906D82"/>
    <w:rsid w:val="00950D10"/>
    <w:rsid w:val="009851C5"/>
    <w:rsid w:val="00990B06"/>
    <w:rsid w:val="00A12F6B"/>
    <w:rsid w:val="00A16EBC"/>
    <w:rsid w:val="00A21293"/>
    <w:rsid w:val="00A2663E"/>
    <w:rsid w:val="00A3058C"/>
    <w:rsid w:val="00A3125C"/>
    <w:rsid w:val="00A6267F"/>
    <w:rsid w:val="00AF5F3A"/>
    <w:rsid w:val="00B3541D"/>
    <w:rsid w:val="00B6610B"/>
    <w:rsid w:val="00BD147E"/>
    <w:rsid w:val="00BD41A7"/>
    <w:rsid w:val="00BF6FE1"/>
    <w:rsid w:val="00C53F75"/>
    <w:rsid w:val="00CA0700"/>
    <w:rsid w:val="00CD7596"/>
    <w:rsid w:val="00CF6835"/>
    <w:rsid w:val="00D636C7"/>
    <w:rsid w:val="00D70603"/>
    <w:rsid w:val="00D830A1"/>
    <w:rsid w:val="00DD4090"/>
    <w:rsid w:val="00E66E22"/>
    <w:rsid w:val="00ED40F8"/>
    <w:rsid w:val="00F13595"/>
    <w:rsid w:val="00FD0BB3"/>
    <w:rsid w:val="00FD57E8"/>
    <w:rsid w:val="00FD6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40D66"/>
  <w15:docId w15:val="{0E030EF4-B9C4-054D-A25F-730AB3D34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Refdecomentrio">
    <w:name w:val="annotation reference"/>
    <w:basedOn w:val="Fontepargpadro"/>
    <w:uiPriority w:val="99"/>
    <w:semiHidden/>
    <w:unhideWhenUsed/>
    <w:rsid w:val="00271AA5"/>
    <w:rPr>
      <w:sz w:val="16"/>
      <w:szCs w:val="16"/>
    </w:rPr>
  </w:style>
  <w:style w:type="paragraph" w:styleId="Textodecomentrio">
    <w:name w:val="annotation text"/>
    <w:basedOn w:val="Normal"/>
    <w:link w:val="TextodecomentrioChar"/>
    <w:uiPriority w:val="99"/>
    <w:unhideWhenUsed/>
    <w:rsid w:val="00271AA5"/>
    <w:pPr>
      <w:spacing w:line="240" w:lineRule="auto"/>
    </w:pPr>
    <w:rPr>
      <w:sz w:val="20"/>
      <w:szCs w:val="20"/>
    </w:rPr>
  </w:style>
  <w:style w:type="character" w:customStyle="1" w:styleId="TextodecomentrioChar">
    <w:name w:val="Texto de comentário Char"/>
    <w:basedOn w:val="Fontepargpadro"/>
    <w:link w:val="Textodecomentrio"/>
    <w:uiPriority w:val="99"/>
    <w:rsid w:val="00271AA5"/>
  </w:style>
  <w:style w:type="paragraph" w:styleId="Assuntodocomentrio">
    <w:name w:val="annotation subject"/>
    <w:basedOn w:val="Textodecomentrio"/>
    <w:next w:val="Textodecomentrio"/>
    <w:link w:val="AssuntodocomentrioChar"/>
    <w:uiPriority w:val="99"/>
    <w:semiHidden/>
    <w:unhideWhenUsed/>
    <w:rsid w:val="00271AA5"/>
    <w:rPr>
      <w:b/>
      <w:bCs/>
    </w:rPr>
  </w:style>
  <w:style w:type="character" w:customStyle="1" w:styleId="AssuntodocomentrioChar">
    <w:name w:val="Assunto do comentário Char"/>
    <w:basedOn w:val="TextodecomentrioChar"/>
    <w:link w:val="Assuntodocomentrio"/>
    <w:uiPriority w:val="99"/>
    <w:semiHidden/>
    <w:rsid w:val="00271AA5"/>
    <w:rPr>
      <w:b/>
      <w:bCs/>
    </w:rPr>
  </w:style>
  <w:style w:type="table" w:styleId="Tabelacomgrade">
    <w:name w:val="Table Grid"/>
    <w:basedOn w:val="Tabelanormal"/>
    <w:uiPriority w:val="39"/>
    <w:rsid w:val="00B0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B0543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grafodaLista">
    <w:name w:val="List Paragraph"/>
    <w:basedOn w:val="Normal"/>
    <w:uiPriority w:val="34"/>
    <w:qFormat/>
    <w:rsid w:val="008D70AD"/>
    <w:pPr>
      <w:ind w:left="720"/>
      <w:contextualSpacing/>
    </w:pPr>
  </w:style>
  <w:style w:type="character" w:styleId="Hyperlink">
    <w:name w:val="Hyperlink"/>
    <w:basedOn w:val="Fontepargpadro"/>
    <w:uiPriority w:val="99"/>
    <w:unhideWhenUsed/>
    <w:rsid w:val="00875000"/>
    <w:rPr>
      <w:color w:val="467886" w:themeColor="hyperlink"/>
      <w:u w:val="single"/>
    </w:rPr>
  </w:style>
  <w:style w:type="character" w:styleId="MenoPendente">
    <w:name w:val="Unresolved Mention"/>
    <w:basedOn w:val="Fontepargpadro"/>
    <w:uiPriority w:val="99"/>
    <w:semiHidden/>
    <w:unhideWhenUsed/>
    <w:rsid w:val="00875000"/>
    <w:rPr>
      <w:color w:val="605E5C"/>
      <w:shd w:val="clear" w:color="auto" w:fill="E1DFDD"/>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1"/>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extodenotaderodap">
    <w:name w:val="footnote text"/>
    <w:basedOn w:val="Normal"/>
    <w:link w:val="TextodenotaderodapChar"/>
    <w:uiPriority w:val="99"/>
    <w:semiHidden/>
    <w:unhideWhenUsed/>
    <w:rsid w:val="0021575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15750"/>
    <w:rPr>
      <w:sz w:val="20"/>
      <w:szCs w:val="20"/>
    </w:rPr>
  </w:style>
  <w:style w:type="character" w:styleId="Refdenotaderodap">
    <w:name w:val="footnote reference"/>
    <w:basedOn w:val="Fontepargpadro"/>
    <w:uiPriority w:val="99"/>
    <w:semiHidden/>
    <w:unhideWhenUsed/>
    <w:rsid w:val="00215750"/>
    <w:rPr>
      <w:vertAlign w:val="superscript"/>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notadefim">
    <w:name w:val="endnote text"/>
    <w:basedOn w:val="Normal"/>
    <w:link w:val="TextodenotadefimChar"/>
    <w:uiPriority w:val="99"/>
    <w:semiHidden/>
    <w:unhideWhenUsed/>
    <w:rsid w:val="00A3125C"/>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A3125C"/>
    <w:rPr>
      <w:sz w:val="20"/>
      <w:szCs w:val="20"/>
    </w:rPr>
  </w:style>
  <w:style w:type="character" w:styleId="Refdenotadefim">
    <w:name w:val="endnote reference"/>
    <w:basedOn w:val="Fontepargpadro"/>
    <w:uiPriority w:val="99"/>
    <w:semiHidden/>
    <w:unhideWhenUsed/>
    <w:rsid w:val="00A312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1-2014/2012/decreto/d7746.htm" TargetMode="External"/><Relationship Id="rId13" Type="http://schemas.openxmlformats.org/officeDocument/2006/relationships/hyperlink" Target="https://doi.org/10.1007/978-3-030-53234-5_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file/d/1JOB0lWtCWjpDIEhCbEfOdd4IdCsL1uIC/view"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mdr/pt-br/assuntos/seguranca-hidrica/FSBTaxonomiaseFrameworksASGparaSaneamentoeaInfraestruturaHidrica_compressed1.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br/fazenda/pt-br/orgaos/spe/taxonomia-sustentavel-brasileira/arquivos-taxonomia/cartilha-taxonomia-sustentavel-brasileira-vf.pdf" TargetMode="External"/><Relationship Id="rId4" Type="http://schemas.openxmlformats.org/officeDocument/2006/relationships/settings" Target="settings.xml"/><Relationship Id="rId9" Type="http://schemas.openxmlformats.org/officeDocument/2006/relationships/hyperlink" Target="https://www.planalto.gov.br/ccivil_03/_ato2023-2026/2024/decreto/D11961.htm"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br/mdr/pt-br/assuntos/seguranca-hidrica/FSBTaxonomiaseFrameworksASGparaSaneamentoeaInfraestruturaHidrica_compressed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k/B2no3pA+pIunLhs/XDCutFg==">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2D33DE-936B-4638-8E34-89386DC4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3598</Words>
  <Characters>19434</Characters>
  <Application>Microsoft Office Word</Application>
  <DocSecurity>0</DocSecurity>
  <Lines>161</Lines>
  <Paragraphs>45</Paragraphs>
  <ScaleCrop>false</ScaleCrop>
  <Company/>
  <LinksUpToDate>false</LinksUpToDate>
  <CharactersWithSpaces>22987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Lídia Duarte</cp:lastModifiedBy>
  <cp:revision>35</cp:revision>
  <dcterms:created xsi:type="dcterms:W3CDTF">2025-07-01T22:16:00Z</dcterms:created>
  <dcterms:modified xsi:type="dcterms:W3CDTF">2025-07-01T22:58:00Z</dcterms:modified>
</cp:coreProperties>
</file>