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3E6A" w:rsidRDefault="0018180D" w:rsidP="0018180D">
      <w:pPr>
        <w:spacing w:line="360" w:lineRule="auto"/>
        <w:ind w:left="-2" w:firstLine="709"/>
        <w:jc w:val="both"/>
        <w:rPr>
          <w:sz w:val="24"/>
          <w:szCs w:val="24"/>
        </w:rPr>
      </w:pPr>
      <w:r>
        <w:rPr>
          <w:b/>
          <w:sz w:val="24"/>
          <w:szCs w:val="24"/>
        </w:rPr>
        <w:t>A INTEGRAÇÃO DA POLÍTICA DE ASSISTÊNCIA SOCIAL NO RIO GRANDE DO NORTE</w:t>
      </w:r>
      <w:r>
        <w:rPr>
          <w:sz w:val="24"/>
          <w:szCs w:val="24"/>
        </w:rPr>
        <w:t>: Desafios no Trabalho Social com Famílias e Territórios</w:t>
      </w:r>
    </w:p>
    <w:p w:rsidR="00193E6A" w:rsidRDefault="00B4510A" w:rsidP="0018180D">
      <w:pPr>
        <w:pStyle w:val="Ttulo2"/>
        <w:ind w:left="0" w:hanging="2"/>
        <w:jc w:val="right"/>
        <w:rPr>
          <w:sz w:val="22"/>
          <w:szCs w:val="22"/>
        </w:rPr>
      </w:pPr>
      <w:bookmarkStart w:id="0" w:name="_heading=h.gi8dcczfutg2" w:colFirst="0" w:colLast="0"/>
      <w:bookmarkEnd w:id="0"/>
      <w:r>
        <w:rPr>
          <w:sz w:val="22"/>
          <w:szCs w:val="22"/>
        </w:rPr>
        <w:t xml:space="preserve">Bruna </w:t>
      </w:r>
      <w:proofErr w:type="spellStart"/>
      <w:r>
        <w:rPr>
          <w:sz w:val="22"/>
          <w:szCs w:val="22"/>
        </w:rPr>
        <w:t>Rayssa</w:t>
      </w:r>
      <w:proofErr w:type="spellEnd"/>
      <w:r>
        <w:rPr>
          <w:sz w:val="22"/>
          <w:szCs w:val="22"/>
        </w:rPr>
        <w:t xml:space="preserve"> Rodrigues Correia</w:t>
      </w:r>
      <w:r>
        <w:rPr>
          <w:sz w:val="22"/>
          <w:szCs w:val="22"/>
          <w:vertAlign w:val="superscript"/>
        </w:rPr>
        <w:footnoteReference w:id="1"/>
      </w:r>
      <w:r>
        <w:rPr>
          <w:sz w:val="22"/>
          <w:szCs w:val="22"/>
        </w:rPr>
        <w:br/>
        <w:t xml:space="preserve">Jan Pierre Soares de </w:t>
      </w:r>
      <w:proofErr w:type="spellStart"/>
      <w:r>
        <w:rPr>
          <w:sz w:val="22"/>
          <w:szCs w:val="22"/>
        </w:rPr>
        <w:t>Araujo</w:t>
      </w:r>
      <w:proofErr w:type="spellEnd"/>
      <w:r>
        <w:rPr>
          <w:sz w:val="22"/>
          <w:szCs w:val="22"/>
          <w:vertAlign w:val="superscript"/>
        </w:rPr>
        <w:footnoteReference w:id="2"/>
      </w:r>
      <w:r>
        <w:rPr>
          <w:sz w:val="22"/>
          <w:szCs w:val="22"/>
        </w:rPr>
        <w:br/>
        <w:t xml:space="preserve">Marília </w:t>
      </w:r>
      <w:proofErr w:type="spellStart"/>
      <w:r>
        <w:rPr>
          <w:sz w:val="22"/>
          <w:szCs w:val="22"/>
        </w:rPr>
        <w:t>Gabriella</w:t>
      </w:r>
      <w:proofErr w:type="spellEnd"/>
      <w:r>
        <w:rPr>
          <w:sz w:val="22"/>
          <w:szCs w:val="22"/>
        </w:rPr>
        <w:t xml:space="preserve"> Conceição do Nascimento</w:t>
      </w:r>
      <w:r>
        <w:rPr>
          <w:sz w:val="22"/>
          <w:szCs w:val="22"/>
          <w:vertAlign w:val="superscript"/>
        </w:rPr>
        <w:footnoteReference w:id="3"/>
      </w:r>
      <w:r>
        <w:rPr>
          <w:sz w:val="22"/>
          <w:szCs w:val="22"/>
        </w:rPr>
        <w:br/>
      </w:r>
      <w:r>
        <w:rPr>
          <w:sz w:val="22"/>
          <w:szCs w:val="22"/>
        </w:rPr>
        <w:t xml:space="preserve">Nilza Aline </w:t>
      </w:r>
      <w:proofErr w:type="spellStart"/>
      <w:r>
        <w:rPr>
          <w:sz w:val="22"/>
          <w:szCs w:val="22"/>
        </w:rPr>
        <w:t>Fassanaro</w:t>
      </w:r>
      <w:proofErr w:type="spellEnd"/>
      <w:r>
        <w:rPr>
          <w:sz w:val="22"/>
          <w:szCs w:val="22"/>
        </w:rPr>
        <w:t xml:space="preserve"> Soares Brandão Gameleira Félix</w:t>
      </w:r>
      <w:r>
        <w:rPr>
          <w:sz w:val="22"/>
          <w:szCs w:val="22"/>
          <w:vertAlign w:val="superscript"/>
        </w:rPr>
        <w:footnoteReference w:id="4"/>
      </w:r>
      <w:bookmarkStart w:id="1" w:name="_heading=h.q9zga2akak8o" w:colFirst="0" w:colLast="0"/>
      <w:bookmarkEnd w:id="1"/>
      <w:r w:rsidR="0018180D">
        <w:rPr>
          <w:sz w:val="22"/>
          <w:szCs w:val="22"/>
        </w:rPr>
        <w:br/>
      </w:r>
      <w:r>
        <w:rPr>
          <w:sz w:val="22"/>
          <w:szCs w:val="22"/>
        </w:rPr>
        <w:t>Roberta Camila Alves Cavalcante</w:t>
      </w:r>
      <w:r>
        <w:rPr>
          <w:sz w:val="22"/>
          <w:szCs w:val="22"/>
          <w:vertAlign w:val="superscript"/>
        </w:rPr>
        <w:footnoteReference w:id="5"/>
      </w:r>
    </w:p>
    <w:p w:rsidR="00193E6A" w:rsidRDefault="00193E6A">
      <w:pPr>
        <w:spacing w:line="240" w:lineRule="auto"/>
        <w:jc w:val="both"/>
        <w:rPr>
          <w:sz w:val="20"/>
          <w:szCs w:val="20"/>
        </w:rPr>
      </w:pPr>
    </w:p>
    <w:p w:rsidR="0018180D" w:rsidRDefault="0018180D" w:rsidP="0018180D">
      <w:pPr>
        <w:spacing w:line="240" w:lineRule="auto"/>
        <w:ind w:left="2835"/>
        <w:jc w:val="both"/>
        <w:rPr>
          <w:sz w:val="20"/>
          <w:szCs w:val="20"/>
        </w:rPr>
      </w:pPr>
      <w:r>
        <w:rPr>
          <w:b/>
          <w:sz w:val="20"/>
          <w:szCs w:val="20"/>
        </w:rPr>
        <w:t>Resumo</w:t>
      </w:r>
    </w:p>
    <w:p w:rsidR="0018180D" w:rsidRDefault="0018180D" w:rsidP="0018180D">
      <w:pPr>
        <w:spacing w:line="240" w:lineRule="auto"/>
        <w:ind w:left="2835"/>
        <w:jc w:val="both"/>
        <w:rPr>
          <w:sz w:val="20"/>
          <w:szCs w:val="20"/>
        </w:rPr>
      </w:pPr>
      <w:r>
        <w:rPr>
          <w:sz w:val="20"/>
          <w:szCs w:val="20"/>
        </w:rPr>
        <w:t xml:space="preserve">Este artigo analisa a experiência do Rio Grande do Norte, na implementação da metodologia </w:t>
      </w:r>
      <w:proofErr w:type="gramStart"/>
      <w:r>
        <w:rPr>
          <w:sz w:val="20"/>
          <w:szCs w:val="20"/>
        </w:rPr>
        <w:t>do SUAS</w:t>
      </w:r>
      <w:proofErr w:type="gramEnd"/>
      <w:r>
        <w:rPr>
          <w:sz w:val="20"/>
          <w:szCs w:val="20"/>
        </w:rPr>
        <w:t xml:space="preserve"> PELO RN nos 10 Territórios da Cidadania do Estado. A partir de uma abordagem </w:t>
      </w:r>
      <w:proofErr w:type="spellStart"/>
      <w:r>
        <w:rPr>
          <w:sz w:val="20"/>
          <w:szCs w:val="20"/>
        </w:rPr>
        <w:t>territorializada</w:t>
      </w:r>
      <w:proofErr w:type="spellEnd"/>
      <w:r>
        <w:rPr>
          <w:sz w:val="20"/>
          <w:szCs w:val="20"/>
        </w:rPr>
        <w:t xml:space="preserve">, a análise evidencia como as desigualdades sociais estruturais, marcadas por processos históricos de colonialismo e dependência impactam na contemporaneidade e, como os municípios conseguem dar respostas às vulnerabilidades históricas diante de sua realidade e capacidade técnica. A classificação dos municípios, realizada com base na matriz de indicadores do plano, permitiu a identificação de municípios prioritários para intervenção técnica. Apesar dos desafios, a experiência reforça o papel estratégico do Estado no direcionamento de políticas públicas integradas, no apoio para </w:t>
      </w:r>
      <w:proofErr w:type="gramStart"/>
      <w:r>
        <w:rPr>
          <w:sz w:val="20"/>
          <w:szCs w:val="20"/>
        </w:rPr>
        <w:t>implementação</w:t>
      </w:r>
      <w:proofErr w:type="gramEnd"/>
      <w:r>
        <w:rPr>
          <w:sz w:val="20"/>
          <w:szCs w:val="20"/>
        </w:rPr>
        <w:t xml:space="preserve"> e organização dos seus serviços, programas e benefícios socioassistenciais, pensando o fortalecimento do Sistema Único de Assistência Social no RN através do Trabalho Social com Famílias e Territórios. </w:t>
      </w:r>
    </w:p>
    <w:p w:rsidR="0018180D" w:rsidRDefault="0018180D" w:rsidP="0018180D">
      <w:pPr>
        <w:spacing w:line="240" w:lineRule="auto"/>
        <w:ind w:left="2835"/>
        <w:jc w:val="both"/>
        <w:rPr>
          <w:sz w:val="20"/>
          <w:szCs w:val="20"/>
        </w:rPr>
      </w:pPr>
      <w:r>
        <w:rPr>
          <w:b/>
          <w:sz w:val="20"/>
          <w:szCs w:val="20"/>
        </w:rPr>
        <w:t>Palavras-chave</w:t>
      </w:r>
      <w:r>
        <w:rPr>
          <w:sz w:val="20"/>
          <w:szCs w:val="20"/>
        </w:rPr>
        <w:t>: Territórios; Integração; Apoio técnico.</w:t>
      </w:r>
    </w:p>
    <w:p w:rsidR="0018180D" w:rsidRDefault="0018180D" w:rsidP="0018180D">
      <w:pPr>
        <w:spacing w:line="240" w:lineRule="auto"/>
        <w:ind w:left="2835"/>
        <w:jc w:val="both"/>
        <w:rPr>
          <w:sz w:val="20"/>
          <w:szCs w:val="20"/>
        </w:rPr>
      </w:pPr>
    </w:p>
    <w:p w:rsidR="0018180D" w:rsidRDefault="0018180D" w:rsidP="0018180D">
      <w:pPr>
        <w:spacing w:line="240" w:lineRule="auto"/>
        <w:ind w:left="2835"/>
        <w:jc w:val="both"/>
        <w:rPr>
          <w:sz w:val="20"/>
          <w:szCs w:val="20"/>
        </w:rPr>
      </w:pPr>
      <w:r>
        <w:rPr>
          <w:b/>
          <w:sz w:val="20"/>
          <w:szCs w:val="20"/>
        </w:rPr>
        <w:t>Abstract</w:t>
      </w:r>
    </w:p>
    <w:p w:rsidR="0018180D" w:rsidRDefault="0018180D" w:rsidP="0018180D">
      <w:pPr>
        <w:spacing w:line="240" w:lineRule="auto"/>
        <w:ind w:left="2835"/>
        <w:jc w:val="both"/>
        <w:rPr>
          <w:sz w:val="20"/>
          <w:szCs w:val="20"/>
        </w:rPr>
      </w:pPr>
      <w:proofErr w:type="spellStart"/>
      <w:r>
        <w:rPr>
          <w:sz w:val="20"/>
          <w:szCs w:val="20"/>
        </w:rPr>
        <w:t>This</w:t>
      </w:r>
      <w:proofErr w:type="spellEnd"/>
      <w:r>
        <w:rPr>
          <w:sz w:val="20"/>
          <w:szCs w:val="20"/>
        </w:rPr>
        <w:t xml:space="preserve"> </w:t>
      </w:r>
      <w:proofErr w:type="spellStart"/>
      <w:r>
        <w:rPr>
          <w:sz w:val="20"/>
          <w:szCs w:val="20"/>
        </w:rPr>
        <w:t>article</w:t>
      </w:r>
      <w:proofErr w:type="spellEnd"/>
      <w:r>
        <w:rPr>
          <w:sz w:val="20"/>
          <w:szCs w:val="20"/>
        </w:rPr>
        <w:t xml:space="preserve"> </w:t>
      </w:r>
      <w:proofErr w:type="spellStart"/>
      <w:r>
        <w:rPr>
          <w:sz w:val="20"/>
          <w:szCs w:val="20"/>
        </w:rPr>
        <w:t>analyzes</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experience</w:t>
      </w:r>
      <w:proofErr w:type="spellEnd"/>
      <w:r>
        <w:rPr>
          <w:sz w:val="20"/>
          <w:szCs w:val="20"/>
        </w:rPr>
        <w:t xml:space="preserve"> </w:t>
      </w:r>
      <w:proofErr w:type="spellStart"/>
      <w:r>
        <w:rPr>
          <w:sz w:val="20"/>
          <w:szCs w:val="20"/>
        </w:rPr>
        <w:t>of</w:t>
      </w:r>
      <w:proofErr w:type="spellEnd"/>
      <w:r>
        <w:rPr>
          <w:sz w:val="20"/>
          <w:szCs w:val="20"/>
        </w:rPr>
        <w:t xml:space="preserve"> Rio Grande do Norte in </w:t>
      </w:r>
      <w:proofErr w:type="spellStart"/>
      <w:r>
        <w:rPr>
          <w:sz w:val="20"/>
          <w:szCs w:val="20"/>
        </w:rPr>
        <w:t>the</w:t>
      </w:r>
      <w:proofErr w:type="spellEnd"/>
      <w:r>
        <w:rPr>
          <w:sz w:val="20"/>
          <w:szCs w:val="20"/>
        </w:rPr>
        <w:t xml:space="preserve"> </w:t>
      </w:r>
      <w:proofErr w:type="spellStart"/>
      <w:r>
        <w:rPr>
          <w:sz w:val="20"/>
          <w:szCs w:val="20"/>
        </w:rPr>
        <w:t>implementation</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the</w:t>
      </w:r>
      <w:proofErr w:type="spellEnd"/>
      <w:r>
        <w:rPr>
          <w:sz w:val="20"/>
          <w:szCs w:val="20"/>
        </w:rPr>
        <w:t xml:space="preserve"> SUAS PELO RN </w:t>
      </w:r>
      <w:proofErr w:type="spellStart"/>
      <w:r>
        <w:rPr>
          <w:sz w:val="20"/>
          <w:szCs w:val="20"/>
        </w:rPr>
        <w:t>methodology</w:t>
      </w:r>
      <w:proofErr w:type="spellEnd"/>
      <w:r>
        <w:rPr>
          <w:sz w:val="20"/>
          <w:szCs w:val="20"/>
        </w:rPr>
        <w:t xml:space="preserve"> in </w:t>
      </w:r>
      <w:proofErr w:type="spellStart"/>
      <w:r>
        <w:rPr>
          <w:sz w:val="20"/>
          <w:szCs w:val="20"/>
        </w:rPr>
        <w:t>the</w:t>
      </w:r>
      <w:proofErr w:type="spellEnd"/>
      <w:r>
        <w:rPr>
          <w:sz w:val="20"/>
          <w:szCs w:val="20"/>
        </w:rPr>
        <w:t xml:space="preserve"> 10 </w:t>
      </w:r>
      <w:proofErr w:type="spellStart"/>
      <w:r>
        <w:rPr>
          <w:sz w:val="20"/>
          <w:szCs w:val="20"/>
        </w:rPr>
        <w:lastRenderedPageBreak/>
        <w:t>Territories</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Citizenship</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State</w:t>
      </w:r>
      <w:proofErr w:type="spellEnd"/>
      <w:r>
        <w:rPr>
          <w:sz w:val="20"/>
          <w:szCs w:val="20"/>
        </w:rPr>
        <w:t xml:space="preserve">. </w:t>
      </w:r>
      <w:proofErr w:type="spellStart"/>
      <w:r>
        <w:rPr>
          <w:sz w:val="20"/>
          <w:szCs w:val="20"/>
        </w:rPr>
        <w:t>From</w:t>
      </w:r>
      <w:proofErr w:type="spellEnd"/>
      <w:r>
        <w:rPr>
          <w:sz w:val="20"/>
          <w:szCs w:val="20"/>
        </w:rPr>
        <w:t xml:space="preserve"> a </w:t>
      </w:r>
      <w:proofErr w:type="spellStart"/>
      <w:r>
        <w:rPr>
          <w:sz w:val="20"/>
          <w:szCs w:val="20"/>
        </w:rPr>
        <w:t>territorialized</w:t>
      </w:r>
      <w:proofErr w:type="spellEnd"/>
      <w:r>
        <w:rPr>
          <w:sz w:val="20"/>
          <w:szCs w:val="20"/>
        </w:rPr>
        <w:t xml:space="preserve"> approach, </w:t>
      </w:r>
      <w:proofErr w:type="spellStart"/>
      <w:r>
        <w:rPr>
          <w:sz w:val="20"/>
          <w:szCs w:val="20"/>
        </w:rPr>
        <w:t>the</w:t>
      </w:r>
      <w:proofErr w:type="spellEnd"/>
      <w:r>
        <w:rPr>
          <w:sz w:val="20"/>
          <w:szCs w:val="20"/>
        </w:rPr>
        <w:t xml:space="preserve"> </w:t>
      </w:r>
      <w:proofErr w:type="spellStart"/>
      <w:r>
        <w:rPr>
          <w:sz w:val="20"/>
          <w:szCs w:val="20"/>
        </w:rPr>
        <w:t>analysis</w:t>
      </w:r>
      <w:proofErr w:type="spellEnd"/>
      <w:r>
        <w:rPr>
          <w:sz w:val="20"/>
          <w:szCs w:val="20"/>
        </w:rPr>
        <w:t xml:space="preserve"> shows </w:t>
      </w:r>
      <w:proofErr w:type="spellStart"/>
      <w:r>
        <w:rPr>
          <w:sz w:val="20"/>
          <w:szCs w:val="20"/>
        </w:rPr>
        <w:t>how</w:t>
      </w:r>
      <w:proofErr w:type="spellEnd"/>
      <w:r>
        <w:rPr>
          <w:sz w:val="20"/>
          <w:szCs w:val="20"/>
        </w:rPr>
        <w:t xml:space="preserve"> </w:t>
      </w:r>
      <w:proofErr w:type="spellStart"/>
      <w:r>
        <w:rPr>
          <w:sz w:val="20"/>
          <w:szCs w:val="20"/>
        </w:rPr>
        <w:t>structural</w:t>
      </w:r>
      <w:proofErr w:type="spellEnd"/>
      <w:r>
        <w:rPr>
          <w:sz w:val="20"/>
          <w:szCs w:val="20"/>
        </w:rPr>
        <w:t xml:space="preserve"> social </w:t>
      </w:r>
      <w:proofErr w:type="spellStart"/>
      <w:r>
        <w:rPr>
          <w:sz w:val="20"/>
          <w:szCs w:val="20"/>
        </w:rPr>
        <w:t>inequalities</w:t>
      </w:r>
      <w:proofErr w:type="spellEnd"/>
      <w:r>
        <w:rPr>
          <w:sz w:val="20"/>
          <w:szCs w:val="20"/>
        </w:rPr>
        <w:t xml:space="preserve">, </w:t>
      </w:r>
      <w:proofErr w:type="spellStart"/>
      <w:r>
        <w:rPr>
          <w:sz w:val="20"/>
          <w:szCs w:val="20"/>
        </w:rPr>
        <w:t>marked</w:t>
      </w:r>
      <w:proofErr w:type="spellEnd"/>
      <w:r>
        <w:rPr>
          <w:sz w:val="20"/>
          <w:szCs w:val="20"/>
        </w:rPr>
        <w:t xml:space="preserve"> </w:t>
      </w:r>
      <w:proofErr w:type="spellStart"/>
      <w:r>
        <w:rPr>
          <w:sz w:val="20"/>
          <w:szCs w:val="20"/>
        </w:rPr>
        <w:t>by</w:t>
      </w:r>
      <w:proofErr w:type="spellEnd"/>
      <w:r>
        <w:rPr>
          <w:sz w:val="20"/>
          <w:szCs w:val="20"/>
        </w:rPr>
        <w:t xml:space="preserve"> </w:t>
      </w:r>
      <w:proofErr w:type="spellStart"/>
      <w:r>
        <w:rPr>
          <w:sz w:val="20"/>
          <w:szCs w:val="20"/>
        </w:rPr>
        <w:t>historical</w:t>
      </w:r>
      <w:proofErr w:type="spellEnd"/>
      <w:r>
        <w:rPr>
          <w:sz w:val="20"/>
          <w:szCs w:val="20"/>
        </w:rPr>
        <w:t xml:space="preserve"> processes </w:t>
      </w:r>
      <w:proofErr w:type="spellStart"/>
      <w:r>
        <w:rPr>
          <w:sz w:val="20"/>
          <w:szCs w:val="20"/>
        </w:rPr>
        <w:t>of</w:t>
      </w:r>
      <w:proofErr w:type="spellEnd"/>
      <w:r>
        <w:rPr>
          <w:sz w:val="20"/>
          <w:szCs w:val="20"/>
        </w:rPr>
        <w:t xml:space="preserve"> </w:t>
      </w:r>
      <w:proofErr w:type="spellStart"/>
      <w:r>
        <w:rPr>
          <w:sz w:val="20"/>
          <w:szCs w:val="20"/>
        </w:rPr>
        <w:t>colonialism</w:t>
      </w:r>
      <w:proofErr w:type="spellEnd"/>
      <w:r>
        <w:rPr>
          <w:sz w:val="20"/>
          <w:szCs w:val="20"/>
        </w:rPr>
        <w:t xml:space="preserve"> </w:t>
      </w:r>
      <w:proofErr w:type="spellStart"/>
      <w:r>
        <w:rPr>
          <w:sz w:val="20"/>
          <w:szCs w:val="20"/>
        </w:rPr>
        <w:t>and</w:t>
      </w:r>
      <w:proofErr w:type="spellEnd"/>
      <w:r>
        <w:rPr>
          <w:sz w:val="20"/>
          <w:szCs w:val="20"/>
        </w:rPr>
        <w:t xml:space="preserve"> </w:t>
      </w:r>
      <w:proofErr w:type="spellStart"/>
      <w:r>
        <w:rPr>
          <w:sz w:val="20"/>
          <w:szCs w:val="20"/>
        </w:rPr>
        <w:t>dependence</w:t>
      </w:r>
      <w:proofErr w:type="spellEnd"/>
      <w:r>
        <w:rPr>
          <w:sz w:val="20"/>
          <w:szCs w:val="20"/>
        </w:rPr>
        <w:t xml:space="preserve">, </w:t>
      </w:r>
      <w:proofErr w:type="spellStart"/>
      <w:r>
        <w:rPr>
          <w:sz w:val="20"/>
          <w:szCs w:val="20"/>
        </w:rPr>
        <w:t>impact</w:t>
      </w:r>
      <w:proofErr w:type="spellEnd"/>
      <w:r>
        <w:rPr>
          <w:sz w:val="20"/>
          <w:szCs w:val="20"/>
        </w:rPr>
        <w:t xml:space="preserve"> </w:t>
      </w:r>
      <w:proofErr w:type="spellStart"/>
      <w:r>
        <w:rPr>
          <w:sz w:val="20"/>
          <w:szCs w:val="20"/>
        </w:rPr>
        <w:t>contemporaneity</w:t>
      </w:r>
      <w:proofErr w:type="spellEnd"/>
      <w:r>
        <w:rPr>
          <w:sz w:val="20"/>
          <w:szCs w:val="20"/>
        </w:rPr>
        <w:t xml:space="preserve"> </w:t>
      </w:r>
      <w:proofErr w:type="spellStart"/>
      <w:r>
        <w:rPr>
          <w:sz w:val="20"/>
          <w:szCs w:val="20"/>
        </w:rPr>
        <w:t>and</w:t>
      </w:r>
      <w:proofErr w:type="spellEnd"/>
      <w:r>
        <w:rPr>
          <w:sz w:val="20"/>
          <w:szCs w:val="20"/>
        </w:rPr>
        <w:t xml:space="preserve"> </w:t>
      </w:r>
      <w:proofErr w:type="spellStart"/>
      <w:r>
        <w:rPr>
          <w:sz w:val="20"/>
          <w:szCs w:val="20"/>
        </w:rPr>
        <w:t>how</w:t>
      </w:r>
      <w:proofErr w:type="spellEnd"/>
      <w:r>
        <w:rPr>
          <w:sz w:val="20"/>
          <w:szCs w:val="20"/>
        </w:rPr>
        <w:t xml:space="preserve"> </w:t>
      </w:r>
      <w:proofErr w:type="spellStart"/>
      <w:r>
        <w:rPr>
          <w:sz w:val="20"/>
          <w:szCs w:val="20"/>
        </w:rPr>
        <w:t>municipalities</w:t>
      </w:r>
      <w:proofErr w:type="spellEnd"/>
      <w:r>
        <w:rPr>
          <w:sz w:val="20"/>
          <w:szCs w:val="20"/>
        </w:rPr>
        <w:t xml:space="preserve"> are </w:t>
      </w:r>
      <w:proofErr w:type="spellStart"/>
      <w:r>
        <w:rPr>
          <w:sz w:val="20"/>
          <w:szCs w:val="20"/>
        </w:rPr>
        <w:t>able</w:t>
      </w:r>
      <w:proofErr w:type="spellEnd"/>
      <w:r>
        <w:rPr>
          <w:sz w:val="20"/>
          <w:szCs w:val="20"/>
        </w:rPr>
        <w:t xml:space="preserve"> </w:t>
      </w:r>
      <w:proofErr w:type="spellStart"/>
      <w:r>
        <w:rPr>
          <w:sz w:val="20"/>
          <w:szCs w:val="20"/>
        </w:rPr>
        <w:t>to</w:t>
      </w:r>
      <w:proofErr w:type="spellEnd"/>
      <w:r>
        <w:rPr>
          <w:sz w:val="20"/>
          <w:szCs w:val="20"/>
        </w:rPr>
        <w:t xml:space="preserve"> </w:t>
      </w:r>
      <w:proofErr w:type="spellStart"/>
      <w:r>
        <w:rPr>
          <w:sz w:val="20"/>
          <w:szCs w:val="20"/>
        </w:rPr>
        <w:t>respond</w:t>
      </w:r>
      <w:proofErr w:type="spellEnd"/>
      <w:r>
        <w:rPr>
          <w:sz w:val="20"/>
          <w:szCs w:val="20"/>
        </w:rPr>
        <w:t xml:space="preserve"> </w:t>
      </w:r>
      <w:proofErr w:type="spellStart"/>
      <w:r>
        <w:rPr>
          <w:sz w:val="20"/>
          <w:szCs w:val="20"/>
        </w:rPr>
        <w:t>to</w:t>
      </w:r>
      <w:proofErr w:type="spellEnd"/>
      <w:r>
        <w:rPr>
          <w:sz w:val="20"/>
          <w:szCs w:val="20"/>
        </w:rPr>
        <w:t xml:space="preserve"> </w:t>
      </w:r>
      <w:proofErr w:type="spellStart"/>
      <w:r>
        <w:rPr>
          <w:sz w:val="20"/>
          <w:szCs w:val="20"/>
        </w:rPr>
        <w:t>historical</w:t>
      </w:r>
      <w:proofErr w:type="spellEnd"/>
      <w:r>
        <w:rPr>
          <w:sz w:val="20"/>
          <w:szCs w:val="20"/>
        </w:rPr>
        <w:t xml:space="preserve"> </w:t>
      </w:r>
      <w:proofErr w:type="spellStart"/>
      <w:r>
        <w:rPr>
          <w:sz w:val="20"/>
          <w:szCs w:val="20"/>
        </w:rPr>
        <w:t>vulnerabilities</w:t>
      </w:r>
      <w:proofErr w:type="spellEnd"/>
      <w:r>
        <w:rPr>
          <w:sz w:val="20"/>
          <w:szCs w:val="20"/>
        </w:rPr>
        <w:t xml:space="preserve"> in </w:t>
      </w:r>
      <w:proofErr w:type="spellStart"/>
      <w:r>
        <w:rPr>
          <w:sz w:val="20"/>
          <w:szCs w:val="20"/>
        </w:rPr>
        <w:t>the</w:t>
      </w:r>
      <w:proofErr w:type="spellEnd"/>
      <w:r>
        <w:rPr>
          <w:sz w:val="20"/>
          <w:szCs w:val="20"/>
        </w:rPr>
        <w:t xml:space="preserve"> face </w:t>
      </w:r>
      <w:proofErr w:type="spellStart"/>
      <w:r>
        <w:rPr>
          <w:sz w:val="20"/>
          <w:szCs w:val="20"/>
        </w:rPr>
        <w:t>of</w:t>
      </w:r>
      <w:proofErr w:type="spellEnd"/>
      <w:r>
        <w:rPr>
          <w:sz w:val="20"/>
          <w:szCs w:val="20"/>
        </w:rPr>
        <w:t xml:space="preserve"> </w:t>
      </w:r>
      <w:proofErr w:type="spellStart"/>
      <w:r>
        <w:rPr>
          <w:sz w:val="20"/>
          <w:szCs w:val="20"/>
        </w:rPr>
        <w:t>their</w:t>
      </w:r>
      <w:proofErr w:type="spellEnd"/>
      <w:r>
        <w:rPr>
          <w:sz w:val="20"/>
          <w:szCs w:val="20"/>
        </w:rPr>
        <w:t xml:space="preserve"> reality </w:t>
      </w:r>
      <w:proofErr w:type="spellStart"/>
      <w:r>
        <w:rPr>
          <w:sz w:val="20"/>
          <w:szCs w:val="20"/>
        </w:rPr>
        <w:t>and</w:t>
      </w:r>
      <w:proofErr w:type="spellEnd"/>
      <w:r>
        <w:rPr>
          <w:sz w:val="20"/>
          <w:szCs w:val="20"/>
        </w:rPr>
        <w:t xml:space="preserve"> </w:t>
      </w:r>
      <w:proofErr w:type="spellStart"/>
      <w:r>
        <w:rPr>
          <w:sz w:val="20"/>
          <w:szCs w:val="20"/>
        </w:rPr>
        <w:t>technical</w:t>
      </w:r>
      <w:proofErr w:type="spellEnd"/>
      <w:r>
        <w:rPr>
          <w:sz w:val="20"/>
          <w:szCs w:val="20"/>
        </w:rPr>
        <w:t xml:space="preserve"> </w:t>
      </w:r>
      <w:proofErr w:type="spellStart"/>
      <w:r>
        <w:rPr>
          <w:sz w:val="20"/>
          <w:szCs w:val="20"/>
        </w:rPr>
        <w:t>capacity</w:t>
      </w:r>
      <w:proofErr w:type="spellEnd"/>
      <w:r>
        <w:rPr>
          <w:sz w:val="20"/>
          <w:szCs w:val="20"/>
        </w:rPr>
        <w:t xml:space="preserve">. The </w:t>
      </w:r>
      <w:proofErr w:type="spellStart"/>
      <w:r>
        <w:rPr>
          <w:sz w:val="20"/>
          <w:szCs w:val="20"/>
        </w:rPr>
        <w:t>classification</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municipalities</w:t>
      </w:r>
      <w:proofErr w:type="spellEnd"/>
      <w:r>
        <w:rPr>
          <w:sz w:val="20"/>
          <w:szCs w:val="20"/>
        </w:rPr>
        <w:t xml:space="preserve">, </w:t>
      </w:r>
      <w:proofErr w:type="spellStart"/>
      <w:r>
        <w:rPr>
          <w:sz w:val="20"/>
          <w:szCs w:val="20"/>
        </w:rPr>
        <w:t>based</w:t>
      </w:r>
      <w:proofErr w:type="spellEnd"/>
      <w:r>
        <w:rPr>
          <w:sz w:val="20"/>
          <w:szCs w:val="20"/>
        </w:rPr>
        <w:t xml:space="preserve"> </w:t>
      </w:r>
      <w:proofErr w:type="spellStart"/>
      <w:r>
        <w:rPr>
          <w:sz w:val="20"/>
          <w:szCs w:val="20"/>
        </w:rPr>
        <w:t>on</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Plan's</w:t>
      </w:r>
      <w:proofErr w:type="spellEnd"/>
      <w:r>
        <w:rPr>
          <w:sz w:val="20"/>
          <w:szCs w:val="20"/>
        </w:rPr>
        <w:t xml:space="preserve"> </w:t>
      </w:r>
      <w:proofErr w:type="spellStart"/>
      <w:r>
        <w:rPr>
          <w:sz w:val="20"/>
          <w:szCs w:val="20"/>
        </w:rPr>
        <w:t>matrix</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indicators</w:t>
      </w:r>
      <w:proofErr w:type="spellEnd"/>
      <w:r>
        <w:rPr>
          <w:sz w:val="20"/>
          <w:szCs w:val="20"/>
        </w:rPr>
        <w:t xml:space="preserve">, </w:t>
      </w:r>
      <w:proofErr w:type="spellStart"/>
      <w:r>
        <w:rPr>
          <w:sz w:val="20"/>
          <w:szCs w:val="20"/>
        </w:rPr>
        <w:t>allowed</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identification</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priority</w:t>
      </w:r>
      <w:proofErr w:type="spellEnd"/>
      <w:r>
        <w:rPr>
          <w:sz w:val="20"/>
          <w:szCs w:val="20"/>
        </w:rPr>
        <w:t xml:space="preserve"> </w:t>
      </w:r>
      <w:proofErr w:type="spellStart"/>
      <w:r>
        <w:rPr>
          <w:sz w:val="20"/>
          <w:szCs w:val="20"/>
        </w:rPr>
        <w:t>municipalities</w:t>
      </w:r>
      <w:proofErr w:type="spellEnd"/>
      <w:r>
        <w:rPr>
          <w:sz w:val="20"/>
          <w:szCs w:val="20"/>
        </w:rPr>
        <w:t xml:space="preserve"> for </w:t>
      </w:r>
      <w:proofErr w:type="spellStart"/>
      <w:r>
        <w:rPr>
          <w:sz w:val="20"/>
          <w:szCs w:val="20"/>
        </w:rPr>
        <w:t>technical</w:t>
      </w:r>
      <w:proofErr w:type="spellEnd"/>
      <w:r>
        <w:rPr>
          <w:sz w:val="20"/>
          <w:szCs w:val="20"/>
        </w:rPr>
        <w:t xml:space="preserve"> </w:t>
      </w:r>
      <w:proofErr w:type="spellStart"/>
      <w:r>
        <w:rPr>
          <w:sz w:val="20"/>
          <w:szCs w:val="20"/>
        </w:rPr>
        <w:t>intervention</w:t>
      </w:r>
      <w:proofErr w:type="spellEnd"/>
      <w:r>
        <w:rPr>
          <w:sz w:val="20"/>
          <w:szCs w:val="20"/>
        </w:rPr>
        <w:t xml:space="preserve">. </w:t>
      </w:r>
      <w:proofErr w:type="spellStart"/>
      <w:r>
        <w:rPr>
          <w:sz w:val="20"/>
          <w:szCs w:val="20"/>
        </w:rPr>
        <w:t>Despite</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challenges</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experience</w:t>
      </w:r>
      <w:proofErr w:type="spellEnd"/>
      <w:r>
        <w:rPr>
          <w:sz w:val="20"/>
          <w:szCs w:val="20"/>
        </w:rPr>
        <w:t xml:space="preserve"> </w:t>
      </w:r>
      <w:proofErr w:type="spellStart"/>
      <w:r>
        <w:rPr>
          <w:sz w:val="20"/>
          <w:szCs w:val="20"/>
        </w:rPr>
        <w:t>reinforces</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strategic</w:t>
      </w:r>
      <w:proofErr w:type="spellEnd"/>
      <w:r>
        <w:rPr>
          <w:sz w:val="20"/>
          <w:szCs w:val="20"/>
        </w:rPr>
        <w:t xml:space="preserve"> role </w:t>
      </w:r>
      <w:proofErr w:type="spellStart"/>
      <w:r>
        <w:rPr>
          <w:sz w:val="20"/>
          <w:szCs w:val="20"/>
        </w:rPr>
        <w:t>of</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State</w:t>
      </w:r>
      <w:proofErr w:type="spellEnd"/>
      <w:r>
        <w:rPr>
          <w:sz w:val="20"/>
          <w:szCs w:val="20"/>
        </w:rPr>
        <w:t xml:space="preserve"> in </w:t>
      </w:r>
      <w:proofErr w:type="spellStart"/>
      <w:r>
        <w:rPr>
          <w:sz w:val="20"/>
          <w:szCs w:val="20"/>
        </w:rPr>
        <w:t>the</w:t>
      </w:r>
      <w:proofErr w:type="spellEnd"/>
      <w:r>
        <w:rPr>
          <w:sz w:val="20"/>
          <w:szCs w:val="20"/>
        </w:rPr>
        <w:t xml:space="preserve"> </w:t>
      </w:r>
      <w:proofErr w:type="spellStart"/>
      <w:r>
        <w:rPr>
          <w:sz w:val="20"/>
          <w:szCs w:val="20"/>
        </w:rPr>
        <w:t>direction</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integrated</w:t>
      </w:r>
      <w:proofErr w:type="spellEnd"/>
      <w:r>
        <w:rPr>
          <w:sz w:val="20"/>
          <w:szCs w:val="20"/>
        </w:rPr>
        <w:t xml:space="preserve"> </w:t>
      </w:r>
      <w:proofErr w:type="spellStart"/>
      <w:r>
        <w:rPr>
          <w:sz w:val="20"/>
          <w:szCs w:val="20"/>
        </w:rPr>
        <w:t>public</w:t>
      </w:r>
      <w:proofErr w:type="spellEnd"/>
      <w:r>
        <w:rPr>
          <w:sz w:val="20"/>
          <w:szCs w:val="20"/>
        </w:rPr>
        <w:t xml:space="preserve"> policies, in </w:t>
      </w:r>
      <w:proofErr w:type="spellStart"/>
      <w:r>
        <w:rPr>
          <w:sz w:val="20"/>
          <w:szCs w:val="20"/>
        </w:rPr>
        <w:t>support</w:t>
      </w:r>
      <w:proofErr w:type="spellEnd"/>
      <w:r>
        <w:rPr>
          <w:sz w:val="20"/>
          <w:szCs w:val="20"/>
        </w:rPr>
        <w:t xml:space="preserve"> for </w:t>
      </w:r>
      <w:proofErr w:type="spellStart"/>
      <w:r>
        <w:rPr>
          <w:sz w:val="20"/>
          <w:szCs w:val="20"/>
        </w:rPr>
        <w:t>the</w:t>
      </w:r>
      <w:proofErr w:type="spellEnd"/>
      <w:r>
        <w:rPr>
          <w:sz w:val="20"/>
          <w:szCs w:val="20"/>
        </w:rPr>
        <w:t xml:space="preserve"> </w:t>
      </w:r>
      <w:proofErr w:type="spellStart"/>
      <w:r>
        <w:rPr>
          <w:sz w:val="20"/>
          <w:szCs w:val="20"/>
        </w:rPr>
        <w:t>implementation</w:t>
      </w:r>
      <w:proofErr w:type="spellEnd"/>
      <w:r>
        <w:rPr>
          <w:sz w:val="20"/>
          <w:szCs w:val="20"/>
        </w:rPr>
        <w:t xml:space="preserve"> </w:t>
      </w:r>
      <w:proofErr w:type="spellStart"/>
      <w:r>
        <w:rPr>
          <w:sz w:val="20"/>
          <w:szCs w:val="20"/>
        </w:rPr>
        <w:t>and</w:t>
      </w:r>
      <w:proofErr w:type="spellEnd"/>
      <w:r>
        <w:rPr>
          <w:sz w:val="20"/>
          <w:szCs w:val="20"/>
        </w:rPr>
        <w:t xml:space="preserve"> </w:t>
      </w:r>
      <w:proofErr w:type="spellStart"/>
      <w:r>
        <w:rPr>
          <w:sz w:val="20"/>
          <w:szCs w:val="20"/>
        </w:rPr>
        <w:t>organization</w:t>
      </w:r>
      <w:proofErr w:type="spellEnd"/>
      <w:r>
        <w:rPr>
          <w:sz w:val="20"/>
          <w:szCs w:val="20"/>
        </w:rPr>
        <w:t xml:space="preserve"> </w:t>
      </w:r>
      <w:proofErr w:type="spellStart"/>
      <w:r>
        <w:rPr>
          <w:sz w:val="20"/>
          <w:szCs w:val="20"/>
        </w:rPr>
        <w:t>of</w:t>
      </w:r>
      <w:proofErr w:type="spellEnd"/>
      <w:r>
        <w:rPr>
          <w:sz w:val="20"/>
          <w:szCs w:val="20"/>
        </w:rPr>
        <w:t xml:space="preserve"> its </w:t>
      </w:r>
      <w:proofErr w:type="spellStart"/>
      <w:r>
        <w:rPr>
          <w:sz w:val="20"/>
          <w:szCs w:val="20"/>
        </w:rPr>
        <w:t>services</w:t>
      </w:r>
      <w:proofErr w:type="spellEnd"/>
      <w:r>
        <w:rPr>
          <w:sz w:val="20"/>
          <w:szCs w:val="20"/>
        </w:rPr>
        <w:t xml:space="preserve">, </w:t>
      </w:r>
      <w:proofErr w:type="spellStart"/>
      <w:r>
        <w:rPr>
          <w:sz w:val="20"/>
          <w:szCs w:val="20"/>
        </w:rPr>
        <w:t>programs</w:t>
      </w:r>
      <w:proofErr w:type="spellEnd"/>
      <w:r>
        <w:rPr>
          <w:sz w:val="20"/>
          <w:szCs w:val="20"/>
        </w:rPr>
        <w:t xml:space="preserve"> </w:t>
      </w:r>
      <w:proofErr w:type="spellStart"/>
      <w:r>
        <w:rPr>
          <w:sz w:val="20"/>
          <w:szCs w:val="20"/>
        </w:rPr>
        <w:t>and</w:t>
      </w:r>
      <w:proofErr w:type="spellEnd"/>
      <w:r>
        <w:rPr>
          <w:sz w:val="20"/>
          <w:szCs w:val="20"/>
        </w:rPr>
        <w:t xml:space="preserve"> social </w:t>
      </w:r>
      <w:proofErr w:type="spellStart"/>
      <w:r>
        <w:rPr>
          <w:sz w:val="20"/>
          <w:szCs w:val="20"/>
        </w:rPr>
        <w:t>assistance</w:t>
      </w:r>
      <w:proofErr w:type="spellEnd"/>
      <w:r>
        <w:rPr>
          <w:sz w:val="20"/>
          <w:szCs w:val="20"/>
        </w:rPr>
        <w:t xml:space="preserve"> </w:t>
      </w:r>
      <w:proofErr w:type="spellStart"/>
      <w:r>
        <w:rPr>
          <w:sz w:val="20"/>
          <w:szCs w:val="20"/>
        </w:rPr>
        <w:t>benefits</w:t>
      </w:r>
      <w:proofErr w:type="spellEnd"/>
      <w:r>
        <w:rPr>
          <w:sz w:val="20"/>
          <w:szCs w:val="20"/>
        </w:rPr>
        <w:t xml:space="preserve">, </w:t>
      </w:r>
      <w:proofErr w:type="spellStart"/>
      <w:r>
        <w:rPr>
          <w:sz w:val="20"/>
          <w:szCs w:val="20"/>
        </w:rPr>
        <w:t>thinking</w:t>
      </w:r>
      <w:proofErr w:type="spellEnd"/>
      <w:r>
        <w:rPr>
          <w:sz w:val="20"/>
          <w:szCs w:val="20"/>
        </w:rPr>
        <w:t xml:space="preserve"> </w:t>
      </w:r>
      <w:proofErr w:type="spellStart"/>
      <w:r>
        <w:rPr>
          <w:sz w:val="20"/>
          <w:szCs w:val="20"/>
        </w:rPr>
        <w:t>about</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strengthening</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Unified</w:t>
      </w:r>
      <w:proofErr w:type="spellEnd"/>
      <w:r>
        <w:rPr>
          <w:sz w:val="20"/>
          <w:szCs w:val="20"/>
        </w:rPr>
        <w:t xml:space="preserve"> Social </w:t>
      </w:r>
      <w:proofErr w:type="spellStart"/>
      <w:r>
        <w:rPr>
          <w:sz w:val="20"/>
          <w:szCs w:val="20"/>
        </w:rPr>
        <w:t>Assistance</w:t>
      </w:r>
      <w:proofErr w:type="spellEnd"/>
      <w:r>
        <w:rPr>
          <w:sz w:val="20"/>
          <w:szCs w:val="20"/>
        </w:rPr>
        <w:t xml:space="preserve"> System in RN </w:t>
      </w:r>
      <w:proofErr w:type="spellStart"/>
      <w:r>
        <w:rPr>
          <w:sz w:val="20"/>
          <w:szCs w:val="20"/>
        </w:rPr>
        <w:t>through</w:t>
      </w:r>
      <w:proofErr w:type="spellEnd"/>
      <w:r>
        <w:rPr>
          <w:sz w:val="20"/>
          <w:szCs w:val="20"/>
        </w:rPr>
        <w:t xml:space="preserve"> Social </w:t>
      </w:r>
      <w:proofErr w:type="spellStart"/>
      <w:r>
        <w:rPr>
          <w:sz w:val="20"/>
          <w:szCs w:val="20"/>
        </w:rPr>
        <w:t>Work</w:t>
      </w:r>
      <w:proofErr w:type="spellEnd"/>
      <w:r>
        <w:rPr>
          <w:sz w:val="20"/>
          <w:szCs w:val="20"/>
        </w:rPr>
        <w:t xml:space="preserve"> </w:t>
      </w:r>
      <w:proofErr w:type="spellStart"/>
      <w:r>
        <w:rPr>
          <w:sz w:val="20"/>
          <w:szCs w:val="20"/>
        </w:rPr>
        <w:t>with</w:t>
      </w:r>
      <w:proofErr w:type="spellEnd"/>
      <w:r>
        <w:rPr>
          <w:sz w:val="20"/>
          <w:szCs w:val="20"/>
        </w:rPr>
        <w:t xml:space="preserve"> </w:t>
      </w:r>
      <w:proofErr w:type="spellStart"/>
      <w:r>
        <w:rPr>
          <w:sz w:val="20"/>
          <w:szCs w:val="20"/>
        </w:rPr>
        <w:t>Families</w:t>
      </w:r>
      <w:proofErr w:type="spellEnd"/>
      <w:r>
        <w:rPr>
          <w:sz w:val="20"/>
          <w:szCs w:val="20"/>
        </w:rPr>
        <w:t xml:space="preserve"> </w:t>
      </w:r>
      <w:proofErr w:type="spellStart"/>
      <w:r>
        <w:rPr>
          <w:sz w:val="20"/>
          <w:szCs w:val="20"/>
        </w:rPr>
        <w:t>and</w:t>
      </w:r>
      <w:proofErr w:type="spellEnd"/>
      <w:r>
        <w:rPr>
          <w:sz w:val="20"/>
          <w:szCs w:val="20"/>
        </w:rPr>
        <w:t xml:space="preserve"> </w:t>
      </w:r>
      <w:proofErr w:type="spellStart"/>
      <w:r>
        <w:rPr>
          <w:sz w:val="20"/>
          <w:szCs w:val="20"/>
        </w:rPr>
        <w:t>Territories</w:t>
      </w:r>
      <w:proofErr w:type="spellEnd"/>
      <w:r>
        <w:rPr>
          <w:sz w:val="20"/>
          <w:szCs w:val="20"/>
        </w:rPr>
        <w:t xml:space="preserve">. </w:t>
      </w:r>
    </w:p>
    <w:p w:rsidR="0018180D" w:rsidRDefault="0018180D" w:rsidP="0018180D">
      <w:pPr>
        <w:spacing w:line="240" w:lineRule="auto"/>
        <w:ind w:left="2835"/>
        <w:jc w:val="both"/>
        <w:rPr>
          <w:sz w:val="20"/>
          <w:szCs w:val="20"/>
        </w:rPr>
      </w:pPr>
      <w:proofErr w:type="spellStart"/>
      <w:r>
        <w:rPr>
          <w:b/>
          <w:sz w:val="20"/>
          <w:szCs w:val="20"/>
        </w:rPr>
        <w:t>Keywords</w:t>
      </w:r>
      <w:proofErr w:type="spellEnd"/>
      <w:r>
        <w:rPr>
          <w:b/>
          <w:sz w:val="20"/>
          <w:szCs w:val="20"/>
        </w:rPr>
        <w:t>:</w:t>
      </w:r>
      <w:r>
        <w:rPr>
          <w:sz w:val="20"/>
          <w:szCs w:val="20"/>
        </w:rPr>
        <w:t xml:space="preserve"> </w:t>
      </w:r>
      <w:proofErr w:type="spellStart"/>
      <w:r>
        <w:rPr>
          <w:sz w:val="20"/>
          <w:szCs w:val="20"/>
        </w:rPr>
        <w:t>Territories</w:t>
      </w:r>
      <w:proofErr w:type="spellEnd"/>
      <w:r>
        <w:rPr>
          <w:sz w:val="20"/>
          <w:szCs w:val="20"/>
        </w:rPr>
        <w:t xml:space="preserve">; </w:t>
      </w:r>
      <w:proofErr w:type="spellStart"/>
      <w:r>
        <w:rPr>
          <w:sz w:val="20"/>
          <w:szCs w:val="20"/>
        </w:rPr>
        <w:t>Integration</w:t>
      </w:r>
      <w:proofErr w:type="spellEnd"/>
      <w:r>
        <w:rPr>
          <w:sz w:val="20"/>
          <w:szCs w:val="20"/>
        </w:rPr>
        <w:t xml:space="preserve">; </w:t>
      </w:r>
      <w:proofErr w:type="spellStart"/>
      <w:r>
        <w:rPr>
          <w:sz w:val="20"/>
          <w:szCs w:val="20"/>
        </w:rPr>
        <w:t>Technical</w:t>
      </w:r>
      <w:proofErr w:type="spellEnd"/>
      <w:r>
        <w:rPr>
          <w:sz w:val="20"/>
          <w:szCs w:val="20"/>
        </w:rPr>
        <w:t xml:space="preserve"> </w:t>
      </w:r>
      <w:proofErr w:type="spellStart"/>
      <w:r>
        <w:rPr>
          <w:sz w:val="20"/>
          <w:szCs w:val="20"/>
        </w:rPr>
        <w:t>support</w:t>
      </w:r>
      <w:proofErr w:type="spellEnd"/>
      <w:r>
        <w:rPr>
          <w:sz w:val="20"/>
          <w:szCs w:val="20"/>
        </w:rPr>
        <w:t>.</w:t>
      </w:r>
    </w:p>
    <w:p w:rsidR="00193E6A" w:rsidRDefault="00193E6A">
      <w:pPr>
        <w:spacing w:line="360" w:lineRule="auto"/>
        <w:jc w:val="both"/>
        <w:rPr>
          <w:sz w:val="24"/>
          <w:szCs w:val="24"/>
        </w:rPr>
      </w:pPr>
    </w:p>
    <w:p w:rsidR="00193E6A" w:rsidRDefault="00193E6A">
      <w:pPr>
        <w:spacing w:line="360" w:lineRule="auto"/>
        <w:jc w:val="both"/>
        <w:rPr>
          <w:sz w:val="24"/>
          <w:szCs w:val="24"/>
        </w:rPr>
      </w:pPr>
    </w:p>
    <w:p w:rsidR="00193E6A" w:rsidRDefault="00193E6A">
      <w:pPr>
        <w:spacing w:line="360" w:lineRule="auto"/>
        <w:jc w:val="both"/>
        <w:rPr>
          <w:sz w:val="24"/>
          <w:szCs w:val="24"/>
        </w:rPr>
      </w:pPr>
    </w:p>
    <w:p w:rsidR="0018180D" w:rsidRDefault="00B4510A" w:rsidP="0018180D">
      <w:pPr>
        <w:spacing w:line="360" w:lineRule="auto"/>
        <w:jc w:val="both"/>
        <w:rPr>
          <w:b/>
          <w:sz w:val="24"/>
          <w:szCs w:val="24"/>
        </w:rPr>
      </w:pPr>
      <w:bookmarkStart w:id="2" w:name="_heading=h.f8a9wmdoqivg" w:colFirst="0" w:colLast="0"/>
      <w:bookmarkEnd w:id="2"/>
      <w:r>
        <w:br w:type="page"/>
      </w:r>
      <w:proofErr w:type="gramStart"/>
      <w:r w:rsidR="0018180D" w:rsidRPr="00BE7E38">
        <w:rPr>
          <w:b/>
          <w:sz w:val="24"/>
          <w:szCs w:val="24"/>
        </w:rPr>
        <w:lastRenderedPageBreak/>
        <w:t>1</w:t>
      </w:r>
      <w:proofErr w:type="gramEnd"/>
      <w:r w:rsidR="0018180D" w:rsidRPr="00BE7E38">
        <w:rPr>
          <w:b/>
          <w:sz w:val="24"/>
          <w:szCs w:val="24"/>
        </w:rPr>
        <w:t xml:space="preserve"> INTRODUÇÃO</w:t>
      </w:r>
    </w:p>
    <w:p w:rsidR="0018180D" w:rsidRPr="00BE7E38" w:rsidRDefault="0018180D" w:rsidP="0018180D">
      <w:pPr>
        <w:spacing w:line="360" w:lineRule="auto"/>
        <w:jc w:val="both"/>
        <w:rPr>
          <w:b/>
          <w:sz w:val="24"/>
          <w:szCs w:val="24"/>
        </w:rPr>
      </w:pPr>
    </w:p>
    <w:p w:rsidR="0018180D" w:rsidRPr="00BE7E38" w:rsidRDefault="0018180D" w:rsidP="0018180D">
      <w:pPr>
        <w:spacing w:line="360" w:lineRule="auto"/>
        <w:ind w:firstLine="709"/>
        <w:jc w:val="both"/>
        <w:rPr>
          <w:sz w:val="24"/>
          <w:szCs w:val="24"/>
        </w:rPr>
      </w:pPr>
      <w:r w:rsidRPr="00BE7E38">
        <w:rPr>
          <w:sz w:val="24"/>
          <w:szCs w:val="24"/>
        </w:rPr>
        <w:t xml:space="preserve">A trajetória da assistência social no Brasil é marcada por um processo de construção permeado por disputas ideológicas, que oscilam entre práticas caritativas, filantrópicas e o reconhecimento da assistência como direito social. Durante grande parte do século XX, predominou um modelo assistencialista de cunho conservador, baseado na ideia de favor e vinculado a instituições religiosas e ao poder local, o que reforçava mecanismos de controle social e dependência da população </w:t>
      </w:r>
      <w:proofErr w:type="spellStart"/>
      <w:r w:rsidRPr="00BE7E38">
        <w:rPr>
          <w:sz w:val="24"/>
          <w:szCs w:val="24"/>
        </w:rPr>
        <w:t>vulnerabilizada</w:t>
      </w:r>
      <w:proofErr w:type="spellEnd"/>
      <w:r w:rsidRPr="00BE7E38">
        <w:rPr>
          <w:sz w:val="24"/>
          <w:szCs w:val="24"/>
        </w:rPr>
        <w:t xml:space="preserve"> (BEHRING; BOSCHETTI, 2008). </w:t>
      </w:r>
    </w:p>
    <w:p w:rsidR="0018180D" w:rsidRPr="00BE7E38" w:rsidRDefault="0018180D" w:rsidP="0018180D">
      <w:pPr>
        <w:spacing w:line="360" w:lineRule="auto"/>
        <w:ind w:firstLine="709"/>
        <w:jc w:val="both"/>
        <w:rPr>
          <w:sz w:val="24"/>
          <w:szCs w:val="24"/>
        </w:rPr>
      </w:pPr>
      <w:r w:rsidRPr="00BE7E38">
        <w:rPr>
          <w:sz w:val="24"/>
          <w:szCs w:val="24"/>
        </w:rPr>
        <w:t>Mesmo em contextos de institucionalização de direitos, tais heranças históricas refletem nas formas de enfrentamento à pobreza e à desigualdade, reproduzindo, por vezes, lógicas assistencialistas que fragilizam a dimensão emancipatória e de plena autonomia e expansão dos indivíduos sociais, norteadas pelo Projeto ético-político do Serviço Social.</w:t>
      </w:r>
    </w:p>
    <w:p w:rsidR="0018180D" w:rsidRPr="00BE7E38" w:rsidRDefault="0018180D" w:rsidP="0018180D">
      <w:pPr>
        <w:spacing w:line="360" w:lineRule="auto"/>
        <w:ind w:firstLine="709"/>
        <w:jc w:val="both"/>
        <w:rPr>
          <w:sz w:val="24"/>
          <w:szCs w:val="24"/>
        </w:rPr>
      </w:pPr>
      <w:proofErr w:type="gramStart"/>
      <w:r w:rsidRPr="00BE7E38">
        <w:rPr>
          <w:sz w:val="24"/>
          <w:szCs w:val="24"/>
        </w:rPr>
        <w:t>É</w:t>
      </w:r>
      <w:proofErr w:type="gramEnd"/>
      <w:r w:rsidRPr="00BE7E38">
        <w:rPr>
          <w:sz w:val="24"/>
          <w:szCs w:val="24"/>
        </w:rPr>
        <w:t xml:space="preserve"> nesse contexto de enfrentamento às desigualdades conjunturais que o presente artigo busca compreender a aplicação da metodologia do Trabalho Social com Famílias e Territórios nos municípios prioritários do Estado do Rio Grande do Norte, à luz do Plano Estadual de Apoio Técnico, construído ao pensar estratégia voltadas para o fortalecimento do Sistema Único de Assistência Social nos 10 territórios da Cidadania do RN, promovendo a capacitação, monitoramento e acompanhamento técnico gestores e técnicos da rede socioassistencial dos 167 municípios do Estado.</w:t>
      </w:r>
    </w:p>
    <w:p w:rsidR="0018180D" w:rsidRPr="00BE7E38" w:rsidRDefault="0018180D" w:rsidP="0018180D">
      <w:pPr>
        <w:spacing w:line="360" w:lineRule="auto"/>
        <w:ind w:firstLine="709"/>
        <w:jc w:val="both"/>
        <w:rPr>
          <w:sz w:val="24"/>
          <w:szCs w:val="24"/>
        </w:rPr>
      </w:pPr>
      <w:r w:rsidRPr="00BE7E38">
        <w:rPr>
          <w:sz w:val="24"/>
          <w:szCs w:val="24"/>
        </w:rPr>
        <w:t xml:space="preserve">Tendo em vista o Programa Territórios da Cidadania, instituído pelo Decreto de 25 de fevereiro de 2008, sem número, com publicação no Diário Oficial da União - Seção 1 - 26/2/2008, Página 1 (Publicação Original), assinado pelo então presidente Lula, que possui como objetivo a organização dos municípios em agrupamentos territoriais vislumbrando a promoção do desenvolvimento sustentável e a inclusão social, bem como a melhoria das condições de vida, de acesso a bens e serviços </w:t>
      </w:r>
      <w:r w:rsidRPr="00BE7E38">
        <w:rPr>
          <w:sz w:val="24"/>
          <w:szCs w:val="24"/>
        </w:rPr>
        <w:lastRenderedPageBreak/>
        <w:t>públicos e a oportunidades de inclusão econômica às populações que vivem no interior dos estados brasileiros.</w:t>
      </w:r>
    </w:p>
    <w:p w:rsidR="0018180D" w:rsidRPr="00BE7E38" w:rsidRDefault="0018180D" w:rsidP="0018180D">
      <w:pPr>
        <w:spacing w:line="360" w:lineRule="auto"/>
        <w:ind w:firstLine="709"/>
        <w:jc w:val="both"/>
        <w:rPr>
          <w:sz w:val="24"/>
          <w:szCs w:val="24"/>
        </w:rPr>
      </w:pPr>
      <w:r w:rsidRPr="00BE7E38">
        <w:rPr>
          <w:sz w:val="24"/>
          <w:szCs w:val="24"/>
        </w:rPr>
        <w:t>Nestes termos, os municípios foram organizados com base em características comuns (renda e qualidade de vida), culturais (tradições, modos de vida), geográficos (localização e características naturais) e econômicos (atividade produtiva), importante destacar também a identificação das pessoas com seus territórios e principalmente, o sentimento de pertencimento. Foram definidos no RN como os 10 territórios da cidadania, sendo: Agreste</w:t>
      </w:r>
      <w:bookmarkStart w:id="3" w:name="_GoBack"/>
      <w:bookmarkEnd w:id="3"/>
      <w:r w:rsidRPr="00BE7E38">
        <w:rPr>
          <w:sz w:val="24"/>
          <w:szCs w:val="24"/>
        </w:rPr>
        <w:t xml:space="preserve"> Litoral Sul, Terras Potiguaras, Alto Oeste, Açu-Mossoró, Mato Grande, Potengi, </w:t>
      </w:r>
      <w:proofErr w:type="spellStart"/>
      <w:r w:rsidRPr="00BE7E38">
        <w:rPr>
          <w:sz w:val="24"/>
          <w:szCs w:val="24"/>
        </w:rPr>
        <w:t>Trairí</w:t>
      </w:r>
      <w:proofErr w:type="spellEnd"/>
      <w:r w:rsidRPr="00BE7E38">
        <w:rPr>
          <w:sz w:val="24"/>
          <w:szCs w:val="24"/>
        </w:rPr>
        <w:t xml:space="preserve">, Seridó, Sertão Central Cabugi e Litoral Norte e Sertão do Apodi. </w:t>
      </w:r>
    </w:p>
    <w:p w:rsidR="0018180D" w:rsidRPr="00BE7E38" w:rsidRDefault="0018180D" w:rsidP="0018180D">
      <w:pPr>
        <w:spacing w:line="360" w:lineRule="auto"/>
        <w:ind w:firstLine="709"/>
        <w:jc w:val="both"/>
        <w:rPr>
          <w:sz w:val="24"/>
          <w:szCs w:val="24"/>
        </w:rPr>
      </w:pPr>
      <w:r w:rsidRPr="00BE7E38">
        <w:rPr>
          <w:sz w:val="24"/>
          <w:szCs w:val="24"/>
        </w:rPr>
        <w:t xml:space="preserve">Ao considerar o território como um “lugar de relações de poder, desigualdades, e, ao mesmo tempo, de resistência, organização e mobilização social” (Santos, 2012, p. 14), o artigo busca compreender, a partir de uma abordagem quanti-qualitativa do estudo técnico construído pelos técnicos da Secretaria de Estado do Trabalho, da Habitação e da Assistência Social (SETHAS) através da Coordenadoria da Política de Assistência Social (COPAS), de qual forma os municípios apresentam os níveis da Assistência Social, seja em sua estrutura física ou organizacional, </w:t>
      </w:r>
      <w:proofErr w:type="gramStart"/>
      <w:r w:rsidRPr="00BE7E38">
        <w:rPr>
          <w:sz w:val="24"/>
          <w:szCs w:val="24"/>
        </w:rPr>
        <w:t>ou seja</w:t>
      </w:r>
      <w:proofErr w:type="gramEnd"/>
      <w:r w:rsidRPr="00BE7E38">
        <w:rPr>
          <w:sz w:val="24"/>
          <w:szCs w:val="24"/>
        </w:rPr>
        <w:t xml:space="preserve"> em uso dos instrumentais e preenchimento das informações técnicas. </w:t>
      </w:r>
    </w:p>
    <w:p w:rsidR="0018180D" w:rsidRPr="00BE7E38" w:rsidRDefault="0018180D" w:rsidP="0018180D">
      <w:pPr>
        <w:spacing w:line="360" w:lineRule="auto"/>
        <w:ind w:firstLine="709"/>
        <w:jc w:val="both"/>
        <w:rPr>
          <w:sz w:val="24"/>
          <w:szCs w:val="24"/>
        </w:rPr>
      </w:pPr>
      <w:r w:rsidRPr="00BE7E38">
        <w:rPr>
          <w:sz w:val="24"/>
          <w:szCs w:val="24"/>
        </w:rPr>
        <w:t xml:space="preserve">Para além disso, o apoio técnico se consolidou ao fornecer subsídios técnicos para o aperfeiçoamento da Política de Assistência Social nos municípios do RN, com a intenção de aprimorar a gestão do SUAS, a partir do Projeto de desenvolvimento de ações, estudos técnicos e intervenção para o fortalecimento da Gestão do Sistema Único de Assistência Social (SUAS) no Estado do Rio Grande do Norte, realizado conjuntamente entre a Fundação para o Desenvolvimento da Ciência, Tecnologia e Inovação do Estado do Rio Grande do Norte (FUNCITERN) e a SETHAS, no sentido de melhorar os padrões de qualidade dos serviços, programas, projetos e benefícios. </w:t>
      </w:r>
    </w:p>
    <w:p w:rsidR="0018180D" w:rsidRDefault="0018180D" w:rsidP="0018180D">
      <w:pPr>
        <w:spacing w:line="360" w:lineRule="auto"/>
        <w:ind w:firstLine="709"/>
        <w:jc w:val="both"/>
        <w:rPr>
          <w:sz w:val="24"/>
          <w:szCs w:val="24"/>
        </w:rPr>
      </w:pPr>
      <w:r w:rsidRPr="00BE7E38">
        <w:rPr>
          <w:sz w:val="24"/>
          <w:szCs w:val="24"/>
        </w:rPr>
        <w:lastRenderedPageBreak/>
        <w:t xml:space="preserve">A perspectiva teórico-metodológica adotada neste artigo está ancorada na crítica à </w:t>
      </w:r>
      <w:proofErr w:type="spellStart"/>
      <w:r w:rsidRPr="00BE7E38">
        <w:rPr>
          <w:sz w:val="24"/>
          <w:szCs w:val="24"/>
        </w:rPr>
        <w:t>colonialidade</w:t>
      </w:r>
      <w:proofErr w:type="spellEnd"/>
      <w:r w:rsidRPr="00BE7E38">
        <w:rPr>
          <w:sz w:val="24"/>
          <w:szCs w:val="24"/>
        </w:rPr>
        <w:t xml:space="preserve"> do poder, conforme formulada por </w:t>
      </w:r>
      <w:proofErr w:type="spellStart"/>
      <w:r w:rsidRPr="00BE7E38">
        <w:rPr>
          <w:sz w:val="24"/>
          <w:szCs w:val="24"/>
        </w:rPr>
        <w:t>Quijano</w:t>
      </w:r>
      <w:proofErr w:type="spellEnd"/>
      <w:r w:rsidRPr="00BE7E38">
        <w:rPr>
          <w:sz w:val="24"/>
          <w:szCs w:val="24"/>
        </w:rPr>
        <w:t xml:space="preserve"> (2005) que denuncia os mecanismos históricos de dominação ainda presentes nas estruturas sociais latino-americanas. Essa crítica é articulada ao campo das políticas públicas sociais, com base na análise de </w:t>
      </w:r>
      <w:proofErr w:type="spellStart"/>
      <w:r w:rsidRPr="00BE7E38">
        <w:rPr>
          <w:sz w:val="24"/>
          <w:szCs w:val="24"/>
        </w:rPr>
        <w:t>Behring</w:t>
      </w:r>
      <w:proofErr w:type="spellEnd"/>
      <w:r w:rsidRPr="00BE7E38">
        <w:rPr>
          <w:sz w:val="24"/>
          <w:szCs w:val="24"/>
        </w:rPr>
        <w:t xml:space="preserve"> e </w:t>
      </w:r>
      <w:proofErr w:type="spellStart"/>
      <w:r w:rsidRPr="00BE7E38">
        <w:rPr>
          <w:sz w:val="24"/>
          <w:szCs w:val="24"/>
        </w:rPr>
        <w:t>Boschetti</w:t>
      </w:r>
      <w:proofErr w:type="spellEnd"/>
      <w:r w:rsidRPr="00BE7E38">
        <w:rPr>
          <w:sz w:val="24"/>
          <w:szCs w:val="24"/>
        </w:rPr>
        <w:t xml:space="preserve"> (2008), que discutem as políticas sociais como expressões das relações de classe e da disputa por direitos no contexto do capitalismo dependente. Além disso, incorpora-se à reflexão de Santos (2012) acerca do território como espaço de contradições, no qual se manifestam as desigualdades sociais, mas também as possibilidades de pertencimento, resistência e mobilização.</w:t>
      </w:r>
    </w:p>
    <w:p w:rsidR="0018180D" w:rsidRPr="00BE7E38" w:rsidRDefault="0018180D" w:rsidP="0018180D">
      <w:pPr>
        <w:spacing w:line="360" w:lineRule="auto"/>
        <w:ind w:firstLine="709"/>
        <w:jc w:val="both"/>
        <w:rPr>
          <w:sz w:val="24"/>
          <w:szCs w:val="24"/>
        </w:rPr>
      </w:pPr>
    </w:p>
    <w:p w:rsidR="0018180D" w:rsidRDefault="0018180D" w:rsidP="0018180D">
      <w:pPr>
        <w:spacing w:line="360" w:lineRule="auto"/>
        <w:jc w:val="both"/>
        <w:rPr>
          <w:b/>
          <w:sz w:val="24"/>
          <w:szCs w:val="24"/>
        </w:rPr>
      </w:pPr>
      <w:bookmarkStart w:id="4" w:name="_heading=h.jffpt8qgapii" w:colFirst="0" w:colLast="0"/>
      <w:bookmarkEnd w:id="4"/>
      <w:proofErr w:type="gramStart"/>
      <w:r w:rsidRPr="00BE7E38">
        <w:rPr>
          <w:b/>
          <w:sz w:val="24"/>
          <w:szCs w:val="24"/>
        </w:rPr>
        <w:t>2</w:t>
      </w:r>
      <w:proofErr w:type="gramEnd"/>
      <w:r w:rsidRPr="00BE7E38">
        <w:rPr>
          <w:b/>
          <w:sz w:val="24"/>
          <w:szCs w:val="24"/>
        </w:rPr>
        <w:t xml:space="preserve"> DESAFIOS E CAMINHOS PARA A INTEGRAÇÃO SOCIOASSISTENCIAL: A EXPERIÊNCIA DO RIO GRANDE DO NORTE</w:t>
      </w:r>
    </w:p>
    <w:p w:rsidR="0018180D" w:rsidRPr="00BE7E38" w:rsidRDefault="0018180D" w:rsidP="0018180D">
      <w:pPr>
        <w:spacing w:line="360" w:lineRule="auto"/>
        <w:jc w:val="both"/>
        <w:rPr>
          <w:b/>
          <w:sz w:val="24"/>
          <w:szCs w:val="24"/>
        </w:rPr>
      </w:pPr>
    </w:p>
    <w:p w:rsidR="0018180D" w:rsidRPr="00BE7E38" w:rsidRDefault="0018180D" w:rsidP="0018180D">
      <w:pPr>
        <w:spacing w:line="360" w:lineRule="auto"/>
        <w:jc w:val="both"/>
        <w:rPr>
          <w:b/>
          <w:sz w:val="24"/>
          <w:szCs w:val="24"/>
        </w:rPr>
      </w:pPr>
      <w:bookmarkStart w:id="5" w:name="_heading=h.u3iegajblj3w" w:colFirst="0" w:colLast="0"/>
      <w:bookmarkEnd w:id="5"/>
      <w:r w:rsidRPr="00BE7E38">
        <w:rPr>
          <w:b/>
          <w:sz w:val="24"/>
          <w:szCs w:val="24"/>
        </w:rPr>
        <w:t>2.1</w:t>
      </w:r>
      <w:r w:rsidRPr="00BE7E38">
        <w:rPr>
          <w:b/>
          <w:sz w:val="24"/>
          <w:szCs w:val="24"/>
        </w:rPr>
        <w:tab/>
        <w:t>Contexto histórico e político da assistência social no Brasil</w:t>
      </w:r>
    </w:p>
    <w:p w:rsidR="0018180D" w:rsidRPr="00BB3646" w:rsidRDefault="0018180D" w:rsidP="0018180D">
      <w:pPr>
        <w:ind w:hanging="2"/>
      </w:pPr>
    </w:p>
    <w:p w:rsidR="0018180D" w:rsidRPr="00BE7E38" w:rsidRDefault="0018180D" w:rsidP="0018180D">
      <w:pPr>
        <w:spacing w:line="360" w:lineRule="auto"/>
        <w:ind w:firstLine="709"/>
        <w:jc w:val="both"/>
        <w:rPr>
          <w:sz w:val="24"/>
          <w:szCs w:val="24"/>
        </w:rPr>
      </w:pPr>
      <w:r w:rsidRPr="00BE7E38">
        <w:rPr>
          <w:sz w:val="24"/>
          <w:szCs w:val="24"/>
        </w:rPr>
        <w:t>A Constituição Federal de 1988 representou um marco ao reconhecer a assistência social como política pública integrante da seguridade social, desvinculada da lógica contributiva e, com foco na garantia de direitos. Com a promulgação da Lei Orgânica da Assistência Social – LOAS (Lei nº 8.742/1993)</w:t>
      </w:r>
      <w:proofErr w:type="gramStart"/>
      <w:r w:rsidRPr="00BE7E38">
        <w:rPr>
          <w:sz w:val="24"/>
          <w:szCs w:val="24"/>
        </w:rPr>
        <w:t>, institui-se</w:t>
      </w:r>
      <w:proofErr w:type="gramEnd"/>
      <w:r w:rsidRPr="00BE7E38">
        <w:rPr>
          <w:sz w:val="24"/>
          <w:szCs w:val="24"/>
        </w:rPr>
        <w:t xml:space="preserve"> um novo paradigma para a área, consolidado com a criação do Sistema Único de Assistência Social (SUAS) em 2005. Esse sistema propõe uma organização descentralizada e participativa, com divisão de responsabilidades entre os entes federativos, priorizando o atendimento por meio de serviços continuados e o fortalecimento de vínculos familiares e comunitários. </w:t>
      </w:r>
    </w:p>
    <w:p w:rsidR="0018180D" w:rsidRPr="00BE7E38" w:rsidRDefault="0018180D" w:rsidP="0018180D">
      <w:pPr>
        <w:spacing w:line="240" w:lineRule="auto"/>
        <w:ind w:left="2268"/>
        <w:jc w:val="both"/>
        <w:rPr>
          <w:sz w:val="20"/>
          <w:szCs w:val="20"/>
        </w:rPr>
      </w:pPr>
      <w:proofErr w:type="gramStart"/>
      <w:r w:rsidRPr="00BE7E38">
        <w:rPr>
          <w:sz w:val="20"/>
          <w:szCs w:val="20"/>
        </w:rPr>
        <w:t>A assistência social, direito do cidadão e dever do Estado, é</w:t>
      </w:r>
      <w:proofErr w:type="gramEnd"/>
      <w:r w:rsidRPr="00BE7E38">
        <w:rPr>
          <w:sz w:val="20"/>
          <w:szCs w:val="20"/>
        </w:rPr>
        <w:t xml:space="preserve"> Política de Seguridade Social não contributiva, que provê os mínimos sociais, realizada através de um conjunto integrado de ações de iniciativa pública e da sociedade, para garantir o atendimento às necessidades básicas. (BRASIL, 1993, art. 1º).</w:t>
      </w:r>
    </w:p>
    <w:p w:rsidR="0018180D" w:rsidRPr="00F55B5F" w:rsidRDefault="0018180D" w:rsidP="0018180D">
      <w:pPr>
        <w:spacing w:before="200" w:line="360" w:lineRule="auto"/>
        <w:ind w:firstLine="709"/>
        <w:jc w:val="both"/>
        <w:rPr>
          <w:sz w:val="24"/>
          <w:szCs w:val="24"/>
        </w:rPr>
      </w:pPr>
      <w:r w:rsidRPr="00F55B5F">
        <w:rPr>
          <w:sz w:val="24"/>
          <w:szCs w:val="24"/>
        </w:rPr>
        <w:lastRenderedPageBreak/>
        <w:t xml:space="preserve">Mesmo com os avanços legais e institucionais, a consolidação </w:t>
      </w:r>
      <w:proofErr w:type="gramStart"/>
      <w:r w:rsidRPr="00F55B5F">
        <w:rPr>
          <w:sz w:val="24"/>
          <w:szCs w:val="24"/>
        </w:rPr>
        <w:t>do SUAS</w:t>
      </w:r>
      <w:proofErr w:type="gramEnd"/>
      <w:r w:rsidRPr="00F55B5F">
        <w:rPr>
          <w:sz w:val="24"/>
          <w:szCs w:val="24"/>
        </w:rPr>
        <w:t xml:space="preserve"> ocorre em um cenário de contradições estruturais, visto que o subdesenvolvimento e a dependência, de acordo com Fernandes (2008), não são estágios temporários, mas expressões basilares do capitalismo na periferia do sistema.</w:t>
      </w:r>
    </w:p>
    <w:p w:rsidR="0018180D" w:rsidRPr="00F55B5F" w:rsidRDefault="0018180D" w:rsidP="0018180D">
      <w:pPr>
        <w:spacing w:line="360" w:lineRule="auto"/>
        <w:ind w:firstLine="709"/>
        <w:jc w:val="both"/>
        <w:rPr>
          <w:sz w:val="24"/>
          <w:szCs w:val="24"/>
        </w:rPr>
      </w:pPr>
      <w:r w:rsidRPr="00F55B5F">
        <w:rPr>
          <w:sz w:val="24"/>
          <w:szCs w:val="24"/>
        </w:rPr>
        <w:t xml:space="preserve">Além disso, é importante destacar que o modelo de proteção social brasileiro ainda convive com heranças do colonialismo e do racismo estrutural, elementos que moldam as formas de acesso e permanência das famílias nas políticas públicas. A teoria da </w:t>
      </w:r>
      <w:proofErr w:type="spellStart"/>
      <w:r w:rsidRPr="00F55B5F">
        <w:rPr>
          <w:sz w:val="24"/>
          <w:szCs w:val="24"/>
        </w:rPr>
        <w:t>colonialidade</w:t>
      </w:r>
      <w:proofErr w:type="spellEnd"/>
      <w:r w:rsidRPr="00F55B5F">
        <w:rPr>
          <w:sz w:val="24"/>
          <w:szCs w:val="24"/>
        </w:rPr>
        <w:t xml:space="preserve"> do poder, proposta por Aníbal </w:t>
      </w:r>
      <w:proofErr w:type="spellStart"/>
      <w:r w:rsidRPr="00F55B5F">
        <w:rPr>
          <w:sz w:val="24"/>
          <w:szCs w:val="24"/>
        </w:rPr>
        <w:t>Quijano</w:t>
      </w:r>
      <w:proofErr w:type="spellEnd"/>
      <w:r w:rsidRPr="00F55B5F">
        <w:rPr>
          <w:sz w:val="24"/>
          <w:szCs w:val="24"/>
        </w:rPr>
        <w:t xml:space="preserve">, ajuda a compreender como as desigualdades sociais e raciais persistem nas instituições mesmo após o processo de independência política dos países latino-americanos, isso porque “a </w:t>
      </w:r>
      <w:proofErr w:type="spellStart"/>
      <w:r w:rsidRPr="00F55B5F">
        <w:rPr>
          <w:sz w:val="24"/>
          <w:szCs w:val="24"/>
        </w:rPr>
        <w:t>colonialidade</w:t>
      </w:r>
      <w:proofErr w:type="spellEnd"/>
      <w:r w:rsidRPr="00F55B5F">
        <w:rPr>
          <w:sz w:val="24"/>
          <w:szCs w:val="24"/>
        </w:rPr>
        <w:t xml:space="preserve"> do poder ainda exerce seu domínio, na maior parte da América Latina, contra a democracia, a cidadania, a nação e o Estado-nação moderno” (</w:t>
      </w:r>
      <w:proofErr w:type="spellStart"/>
      <w:r w:rsidRPr="00F55B5F">
        <w:rPr>
          <w:sz w:val="24"/>
          <w:szCs w:val="24"/>
        </w:rPr>
        <w:t>Quijano</w:t>
      </w:r>
      <w:proofErr w:type="spellEnd"/>
      <w:r w:rsidRPr="00F55B5F">
        <w:rPr>
          <w:sz w:val="24"/>
          <w:szCs w:val="24"/>
        </w:rPr>
        <w:t>, 2005, p. 135-136).</w:t>
      </w:r>
    </w:p>
    <w:p w:rsidR="0018180D" w:rsidRPr="00F55B5F" w:rsidRDefault="0018180D" w:rsidP="0018180D">
      <w:pPr>
        <w:spacing w:line="360" w:lineRule="auto"/>
        <w:ind w:firstLine="709"/>
        <w:jc w:val="both"/>
        <w:rPr>
          <w:sz w:val="24"/>
          <w:szCs w:val="24"/>
        </w:rPr>
      </w:pPr>
      <w:r w:rsidRPr="00F55B5F">
        <w:rPr>
          <w:sz w:val="24"/>
          <w:szCs w:val="24"/>
        </w:rPr>
        <w:t>Esta lógica, quando pensada à realidade do Estado do Rio Grande do Norte, permanece operando na gestão das políticas sociais, tanto na forma como os recursos são distribuídos nacionalmente quanto nas narrativas que desqualificam o potencial dos sujeitos e territórios, ainda que este também seja um lugar de resistência, organização comunitária e inovação nas políticas públicas que buscam romper com o ciclo de reprodução da pobreza por meio da construção de estratégias integradas considerando a realidade de seu território.</w:t>
      </w:r>
    </w:p>
    <w:p w:rsidR="0018180D" w:rsidRPr="00F55B5F" w:rsidRDefault="0018180D" w:rsidP="0018180D">
      <w:pPr>
        <w:spacing w:line="360" w:lineRule="auto"/>
        <w:ind w:left="-2" w:firstLine="709"/>
        <w:jc w:val="both"/>
        <w:rPr>
          <w:sz w:val="24"/>
          <w:szCs w:val="24"/>
        </w:rPr>
      </w:pPr>
    </w:p>
    <w:p w:rsidR="0018180D" w:rsidRPr="00BE7E38" w:rsidRDefault="0018180D" w:rsidP="0018180D">
      <w:pPr>
        <w:spacing w:line="360" w:lineRule="auto"/>
        <w:jc w:val="both"/>
        <w:rPr>
          <w:b/>
          <w:sz w:val="24"/>
          <w:szCs w:val="24"/>
        </w:rPr>
      </w:pPr>
      <w:bookmarkStart w:id="6" w:name="_heading=h.ofef5yqdcw76" w:colFirst="0" w:colLast="0"/>
      <w:bookmarkEnd w:id="6"/>
      <w:r w:rsidRPr="00BE7E38">
        <w:rPr>
          <w:b/>
          <w:sz w:val="24"/>
          <w:szCs w:val="24"/>
        </w:rPr>
        <w:t>2.2 A experiência do RN: desafios e estratégias de integração a partir do Plano Estadual de Apoio Técnico 2022</w:t>
      </w:r>
    </w:p>
    <w:p w:rsidR="0018180D" w:rsidRPr="00F55B5F" w:rsidRDefault="0018180D" w:rsidP="0018180D">
      <w:pPr>
        <w:spacing w:line="360" w:lineRule="auto"/>
        <w:ind w:left="-2" w:firstLine="709"/>
        <w:jc w:val="both"/>
        <w:rPr>
          <w:sz w:val="24"/>
          <w:szCs w:val="24"/>
        </w:rPr>
      </w:pPr>
    </w:p>
    <w:p w:rsidR="0018180D" w:rsidRPr="00BE7E38" w:rsidRDefault="0018180D" w:rsidP="0018180D">
      <w:pPr>
        <w:spacing w:line="360" w:lineRule="auto"/>
        <w:ind w:firstLine="709"/>
        <w:jc w:val="both"/>
        <w:rPr>
          <w:sz w:val="24"/>
          <w:szCs w:val="24"/>
        </w:rPr>
      </w:pPr>
      <w:r w:rsidRPr="00BE7E38">
        <w:rPr>
          <w:sz w:val="24"/>
          <w:szCs w:val="24"/>
        </w:rPr>
        <w:t xml:space="preserve">A consolidação do Sistema Único de Assistência Social (SUAS) demanda ações sistemáticas de apoio técnico, monitoramento e indução por parte dos entes federativos, especialmente do Estado, cuja função é estratégica na mediação entre a União e os municípios. No Rio Grande do Norte, essa diretriz foi operacionalizada, em 2022, por meio da </w:t>
      </w:r>
      <w:proofErr w:type="gramStart"/>
      <w:r w:rsidRPr="00BE7E38">
        <w:rPr>
          <w:sz w:val="24"/>
          <w:szCs w:val="24"/>
        </w:rPr>
        <w:t>implementação</w:t>
      </w:r>
      <w:proofErr w:type="gramEnd"/>
      <w:r w:rsidRPr="00BE7E38">
        <w:rPr>
          <w:sz w:val="24"/>
          <w:szCs w:val="24"/>
        </w:rPr>
        <w:t xml:space="preserve"> do Plano Estadual de Apoio Técnico da </w:t>
      </w:r>
      <w:r w:rsidRPr="00BE7E38">
        <w:rPr>
          <w:sz w:val="24"/>
          <w:szCs w:val="24"/>
        </w:rPr>
        <w:lastRenderedPageBreak/>
        <w:t>Política de Assistência Social, aprovado pela Comissão Intergestores Bipartite (CIB/RN) a partir da resolução n° 18, de 19 de abril de 2022 e pelo Conselho Estadual de Assistência Social (CEAS/RN), com base nas competências definidas pela NOB-SUAS (BRASIL, 2012).</w:t>
      </w:r>
    </w:p>
    <w:p w:rsidR="0018180D" w:rsidRPr="00BE7E38" w:rsidRDefault="0018180D" w:rsidP="0018180D">
      <w:pPr>
        <w:spacing w:line="360" w:lineRule="auto"/>
        <w:ind w:firstLine="709"/>
        <w:jc w:val="both"/>
        <w:rPr>
          <w:sz w:val="24"/>
          <w:szCs w:val="24"/>
        </w:rPr>
      </w:pPr>
      <w:r w:rsidRPr="00BE7E38">
        <w:rPr>
          <w:sz w:val="24"/>
          <w:szCs w:val="24"/>
        </w:rPr>
        <w:t xml:space="preserve">O plano teve como finalidade promover o fortalecimento da gestão municipal </w:t>
      </w:r>
      <w:proofErr w:type="gramStart"/>
      <w:r w:rsidRPr="00BE7E38">
        <w:rPr>
          <w:sz w:val="24"/>
          <w:szCs w:val="24"/>
        </w:rPr>
        <w:t>do SUAS</w:t>
      </w:r>
      <w:proofErr w:type="gramEnd"/>
      <w:r w:rsidRPr="00BE7E38">
        <w:rPr>
          <w:sz w:val="24"/>
          <w:szCs w:val="24"/>
        </w:rPr>
        <w:t xml:space="preserve">, a partir de uma abordagem integrada que articulasse os componentes da Proteção Social Básica (PSB), Proteção Social Especial (PSE), Vigilância Socioassistencial (VSA), Controle Social e os níveis de vulnerabilidade dos municípios. A construção metodológica do plano foi coordenada pela SETHAS/RN, envolvendo diferentes setores da Coordenação da Gestão Estadual </w:t>
      </w:r>
      <w:proofErr w:type="gramStart"/>
      <w:r w:rsidRPr="00BE7E38">
        <w:rPr>
          <w:sz w:val="24"/>
          <w:szCs w:val="24"/>
        </w:rPr>
        <w:t>do SUAS</w:t>
      </w:r>
      <w:proofErr w:type="gramEnd"/>
      <w:r w:rsidRPr="00BE7E38">
        <w:rPr>
          <w:sz w:val="24"/>
          <w:szCs w:val="24"/>
        </w:rPr>
        <w:t xml:space="preserve"> (COGESUAS) e pesquisadores vinculados à FUNCITERN, sendo inspirada em experiências exitosas como o modelo de Pernambuco, reconhecido no âmbito do Consórcio Nordeste (SETHAS, 2022).</w:t>
      </w:r>
    </w:p>
    <w:p w:rsidR="0018180D" w:rsidRPr="00BE7E38" w:rsidRDefault="0018180D" w:rsidP="0018180D">
      <w:pPr>
        <w:spacing w:line="360" w:lineRule="auto"/>
        <w:ind w:firstLine="709"/>
        <w:jc w:val="both"/>
        <w:rPr>
          <w:sz w:val="24"/>
          <w:szCs w:val="24"/>
        </w:rPr>
      </w:pPr>
      <w:r w:rsidRPr="00BE7E38">
        <w:rPr>
          <w:sz w:val="24"/>
          <w:szCs w:val="24"/>
        </w:rPr>
        <w:t xml:space="preserve">Sendo assim, o ponto de partida metodológico foi </w:t>
      </w:r>
      <w:proofErr w:type="gramStart"/>
      <w:r w:rsidRPr="00BE7E38">
        <w:rPr>
          <w:sz w:val="24"/>
          <w:szCs w:val="24"/>
        </w:rPr>
        <w:t>a</w:t>
      </w:r>
      <w:proofErr w:type="gramEnd"/>
      <w:r w:rsidRPr="00BE7E38">
        <w:rPr>
          <w:sz w:val="24"/>
          <w:szCs w:val="24"/>
        </w:rPr>
        <w:t xml:space="preserve"> elaboração de um indicador sintético composto por 35 variáveis distribuídas em cinco eixos: Gestão do SUAS (10), Proteção Social Básica (11), Proteção Social Especial (8), Controle Social (2) e Vulnerabilidade dos Municípios (4). A partir dos dados extraídos de sistemas nacionais e bases estaduais (</w:t>
      </w:r>
      <w:proofErr w:type="spellStart"/>
      <w:proofErr w:type="gramStart"/>
      <w:r w:rsidRPr="00BE7E38">
        <w:rPr>
          <w:sz w:val="24"/>
          <w:szCs w:val="24"/>
        </w:rPr>
        <w:t>CadSUAS</w:t>
      </w:r>
      <w:proofErr w:type="spellEnd"/>
      <w:proofErr w:type="gramEnd"/>
      <w:r w:rsidRPr="00BE7E38">
        <w:rPr>
          <w:sz w:val="24"/>
          <w:szCs w:val="24"/>
        </w:rPr>
        <w:t>, Censo SUAS, CECAD, SIGPBF, IBGE, PNUD, entre outros), cada município foi pontuado de 0 a 10 em cada eixo. A média dos eixos resultou em uma nota final, permitindo a classificação dos 167 municípios potiguares em cinco grupos de vulnerabilidade: muito baixa, baixa, média, alta e complexa.</w:t>
      </w:r>
    </w:p>
    <w:p w:rsidR="0018180D" w:rsidRPr="00BE7E38" w:rsidRDefault="0018180D" w:rsidP="0018180D">
      <w:pPr>
        <w:spacing w:line="360" w:lineRule="auto"/>
        <w:jc w:val="both"/>
        <w:rPr>
          <w:sz w:val="24"/>
          <w:szCs w:val="24"/>
        </w:rPr>
      </w:pPr>
    </w:p>
    <w:p w:rsidR="0018180D" w:rsidRPr="005A7FCA" w:rsidRDefault="0018180D" w:rsidP="0018180D">
      <w:pPr>
        <w:spacing w:line="240" w:lineRule="auto"/>
        <w:jc w:val="center"/>
        <w:rPr>
          <w:b/>
          <w:sz w:val="24"/>
          <w:szCs w:val="24"/>
        </w:rPr>
      </w:pPr>
      <w:r w:rsidRPr="005A7FCA">
        <w:rPr>
          <w:b/>
          <w:sz w:val="24"/>
          <w:szCs w:val="24"/>
        </w:rPr>
        <w:t xml:space="preserve">Gráfico 1 </w:t>
      </w:r>
      <w:r w:rsidRPr="005A7FCA">
        <w:rPr>
          <w:sz w:val="24"/>
          <w:szCs w:val="24"/>
        </w:rPr>
        <w:t>-</w:t>
      </w:r>
      <w:r w:rsidRPr="005A7FCA">
        <w:rPr>
          <w:b/>
          <w:sz w:val="24"/>
          <w:szCs w:val="24"/>
        </w:rPr>
        <w:t xml:space="preserve"> </w:t>
      </w:r>
      <w:r w:rsidRPr="005A7FCA">
        <w:rPr>
          <w:sz w:val="24"/>
          <w:szCs w:val="24"/>
        </w:rPr>
        <w:t xml:space="preserve">Municípios por Nível de Vulnerabilidade </w:t>
      </w:r>
    </w:p>
    <w:p w:rsidR="0018180D" w:rsidRPr="00F55B5F" w:rsidRDefault="0018180D" w:rsidP="0018180D">
      <w:pPr>
        <w:spacing w:line="360" w:lineRule="auto"/>
        <w:ind w:left="-2" w:firstLine="2"/>
        <w:jc w:val="center"/>
        <w:rPr>
          <w:sz w:val="24"/>
          <w:szCs w:val="24"/>
        </w:rPr>
      </w:pPr>
      <w:r w:rsidRPr="00F55B5F">
        <w:rPr>
          <w:noProof/>
          <w:sz w:val="24"/>
          <w:szCs w:val="24"/>
        </w:rPr>
        <w:lastRenderedPageBreak/>
        <w:drawing>
          <wp:inline distT="114300" distB="114300" distL="114300" distR="114300" wp14:anchorId="1B2BEB53" wp14:editId="7EEF8A0B">
            <wp:extent cx="5759775" cy="3530600"/>
            <wp:effectExtent l="0" t="0" r="0" b="0"/>
            <wp:docPr id="10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759775" cy="3530600"/>
                    </a:xfrm>
                    <a:prstGeom prst="rect">
                      <a:avLst/>
                    </a:prstGeom>
                    <a:ln/>
                  </pic:spPr>
                </pic:pic>
              </a:graphicData>
            </a:graphic>
          </wp:inline>
        </w:drawing>
      </w:r>
    </w:p>
    <w:p w:rsidR="0018180D" w:rsidRPr="005A7FCA" w:rsidRDefault="0018180D" w:rsidP="0018180D">
      <w:pPr>
        <w:spacing w:line="240" w:lineRule="auto"/>
        <w:jc w:val="center"/>
        <w:rPr>
          <w:b/>
          <w:sz w:val="20"/>
          <w:szCs w:val="20"/>
        </w:rPr>
      </w:pPr>
      <w:r w:rsidRPr="005A7FCA">
        <w:rPr>
          <w:b/>
          <w:sz w:val="20"/>
          <w:szCs w:val="20"/>
        </w:rPr>
        <w:t xml:space="preserve">Fonte: </w:t>
      </w:r>
      <w:r w:rsidRPr="005A7FCA">
        <w:rPr>
          <w:sz w:val="20"/>
          <w:szCs w:val="20"/>
        </w:rPr>
        <w:t>Elaboração Vigilância Socioassistencial/SETHAS/RN</w:t>
      </w:r>
    </w:p>
    <w:p w:rsidR="0018180D" w:rsidRPr="00F55B5F" w:rsidRDefault="0018180D" w:rsidP="0018180D">
      <w:pPr>
        <w:spacing w:line="360" w:lineRule="auto"/>
        <w:ind w:left="-2" w:firstLine="709"/>
        <w:jc w:val="both"/>
        <w:rPr>
          <w:sz w:val="24"/>
          <w:szCs w:val="24"/>
        </w:rPr>
      </w:pPr>
    </w:p>
    <w:p w:rsidR="0018180D" w:rsidRDefault="0018180D" w:rsidP="0018180D">
      <w:pPr>
        <w:spacing w:line="360" w:lineRule="auto"/>
        <w:ind w:firstLine="709"/>
        <w:jc w:val="both"/>
        <w:rPr>
          <w:sz w:val="24"/>
          <w:szCs w:val="24"/>
        </w:rPr>
      </w:pPr>
    </w:p>
    <w:p w:rsidR="0018180D" w:rsidRPr="00BE7E38" w:rsidRDefault="0018180D" w:rsidP="0018180D">
      <w:pPr>
        <w:spacing w:line="360" w:lineRule="auto"/>
        <w:ind w:firstLine="709"/>
        <w:jc w:val="both"/>
        <w:rPr>
          <w:sz w:val="24"/>
          <w:szCs w:val="24"/>
        </w:rPr>
      </w:pPr>
      <w:r w:rsidRPr="00BE7E38">
        <w:rPr>
          <w:sz w:val="24"/>
          <w:szCs w:val="24"/>
        </w:rPr>
        <w:t>Conforme o Plano (2022), a análise revelou um cenário preocupante: afinal, 82% dos municípios foram classificados nos grupos de vulnerabilidade alta (75%) ou complexa (7%), 18% em média nenhum atingiu o nível de vulnerabilidade baixa ou muito baixa, e apenas uma pequena parcela obteve desempenho satisfatório nos eixos de controle social e proteção especial. Em especial, o eixo da Proteção Social Especial obteve a menor média estadual (0,85), evidenciando lacunas na atenção a famílias em situação de violação de direitos, acompanhamento de medidas socioeducativas, e articulação das unidades de acolhimento e CREAS.</w:t>
      </w:r>
    </w:p>
    <w:p w:rsidR="0018180D" w:rsidRPr="00BE7E38" w:rsidRDefault="0018180D" w:rsidP="0018180D">
      <w:pPr>
        <w:spacing w:line="360" w:lineRule="auto"/>
        <w:ind w:firstLine="709"/>
        <w:jc w:val="both"/>
        <w:rPr>
          <w:sz w:val="24"/>
          <w:szCs w:val="24"/>
        </w:rPr>
      </w:pPr>
      <w:r w:rsidRPr="00BE7E38">
        <w:rPr>
          <w:sz w:val="24"/>
          <w:szCs w:val="24"/>
        </w:rPr>
        <w:t xml:space="preserve">Outro indicativo preocupante é que dentre a classificação proporcional dos municípios por território da cidadania, sete a dez territórios apresentaram municípios prioritários acima de 50% de composição, representando que no estado do RN 48% dos municípios foram classificados como pontos de atenção para apoios técnicos e </w:t>
      </w:r>
      <w:r w:rsidRPr="00BE7E38">
        <w:rPr>
          <w:sz w:val="24"/>
          <w:szCs w:val="24"/>
        </w:rPr>
        <w:lastRenderedPageBreak/>
        <w:t xml:space="preserve">acompanhamentos particularizados diante das fragilidades apresentadas pelos eixos de gestão e qualidade dos serviços, benefícios, programas </w:t>
      </w:r>
      <w:proofErr w:type="gramStart"/>
      <w:r w:rsidRPr="00BE7E38">
        <w:rPr>
          <w:sz w:val="24"/>
          <w:szCs w:val="24"/>
        </w:rPr>
        <w:t>do SUAS</w:t>
      </w:r>
      <w:proofErr w:type="gramEnd"/>
      <w:r w:rsidRPr="00BE7E38">
        <w:rPr>
          <w:sz w:val="24"/>
          <w:szCs w:val="24"/>
        </w:rPr>
        <w:t xml:space="preserve">. </w:t>
      </w:r>
    </w:p>
    <w:p w:rsidR="0018180D" w:rsidRPr="00BE7E38" w:rsidRDefault="0018180D" w:rsidP="0018180D">
      <w:pPr>
        <w:spacing w:line="360" w:lineRule="auto"/>
        <w:ind w:firstLine="709"/>
        <w:jc w:val="both"/>
        <w:rPr>
          <w:sz w:val="24"/>
          <w:szCs w:val="24"/>
        </w:rPr>
      </w:pPr>
      <w:r w:rsidRPr="00BE7E38">
        <w:rPr>
          <w:sz w:val="24"/>
          <w:szCs w:val="24"/>
        </w:rPr>
        <w:t xml:space="preserve">Com base o índice de vulnerabilidade menor que 4,0, inicialmente, foram definidos os 81 municípios prioritários para recebimento de apoio técnico em 2022, cuja intervenção incluiu visitas técnicas presenciais, reuniões remotas, emissão de diagnósticos situacionais, </w:t>
      </w:r>
      <w:proofErr w:type="spellStart"/>
      <w:r w:rsidRPr="00BE7E38">
        <w:rPr>
          <w:sz w:val="24"/>
          <w:szCs w:val="24"/>
        </w:rPr>
        <w:t>pactuação</w:t>
      </w:r>
      <w:proofErr w:type="spellEnd"/>
      <w:r w:rsidRPr="00BE7E38">
        <w:rPr>
          <w:sz w:val="24"/>
          <w:szCs w:val="24"/>
        </w:rPr>
        <w:t xml:space="preserve"> de planos de providência e o uso de instrumentais de monitoramento padronizados para os diversos tipos de unidades socioassistenciais.</w:t>
      </w:r>
    </w:p>
    <w:p w:rsidR="0018180D" w:rsidRPr="00BE7E38" w:rsidRDefault="0018180D" w:rsidP="0018180D">
      <w:pPr>
        <w:spacing w:line="360" w:lineRule="auto"/>
        <w:ind w:firstLine="709"/>
        <w:jc w:val="both"/>
        <w:rPr>
          <w:sz w:val="24"/>
          <w:szCs w:val="24"/>
        </w:rPr>
      </w:pPr>
      <w:r w:rsidRPr="00BE7E38">
        <w:rPr>
          <w:sz w:val="24"/>
          <w:szCs w:val="24"/>
        </w:rPr>
        <w:t xml:space="preserve">Contudo, a adesão dos municípios aos planos de providência foi significativamente baixa, o que se constituiu em um dos principais desafios enfrentados na execução do plano. Apesar da clareza metodológica e da oferta de subsídios técnicos, muitos municípios não formalizaram os instrumentos de </w:t>
      </w:r>
      <w:proofErr w:type="spellStart"/>
      <w:r w:rsidRPr="00BE7E38">
        <w:rPr>
          <w:sz w:val="24"/>
          <w:szCs w:val="24"/>
        </w:rPr>
        <w:t>pactuação</w:t>
      </w:r>
      <w:proofErr w:type="spellEnd"/>
      <w:r w:rsidRPr="00BE7E38">
        <w:rPr>
          <w:sz w:val="24"/>
          <w:szCs w:val="24"/>
        </w:rPr>
        <w:t xml:space="preserve">, o que comprometeu o monitoramento da efetividade das ações. As causas apontadas incluem a fragilidade da capacidade técnica local, a alta rotatividade das equipes, a interpretação equivocada do plano como mecanismo de controle punitivo, e a ausência de instâncias de controle </w:t>
      </w:r>
      <w:proofErr w:type="gramStart"/>
      <w:r w:rsidRPr="00BE7E38">
        <w:rPr>
          <w:sz w:val="24"/>
          <w:szCs w:val="24"/>
        </w:rPr>
        <w:t>social ativas</w:t>
      </w:r>
      <w:proofErr w:type="gramEnd"/>
      <w:r w:rsidRPr="00BE7E38">
        <w:rPr>
          <w:sz w:val="24"/>
          <w:szCs w:val="24"/>
        </w:rPr>
        <w:t xml:space="preserve"> ou qualificadas para acompanhar o processo.</w:t>
      </w:r>
    </w:p>
    <w:p w:rsidR="0018180D" w:rsidRPr="00BE7E38" w:rsidRDefault="0018180D" w:rsidP="0018180D">
      <w:pPr>
        <w:spacing w:line="360" w:lineRule="auto"/>
        <w:ind w:firstLine="709"/>
        <w:jc w:val="both"/>
        <w:rPr>
          <w:sz w:val="24"/>
          <w:szCs w:val="24"/>
        </w:rPr>
      </w:pPr>
      <w:r w:rsidRPr="00BE7E38">
        <w:rPr>
          <w:sz w:val="24"/>
          <w:szCs w:val="24"/>
        </w:rPr>
        <w:t>Apesar disso, a experiência proporcionou avanços significativos, pois fortaleceu o papel da vigilância socioassistencial como articuladora de informações estratégicas para o planejamento estadual, consolidou um modelo replicável de classificação e acompanhamento dos municípios e reforçou a articulação entre os setores internos da gestão estadual. Essa integração institucional é fundamental para dar concretude ao princípio da intersetorialidade e promover ações que considerem simultaneamente as necessidades técnicas, políticas e territoriais da política de assistência social (BEHRING; BOSCHETTI, 2008).</w:t>
      </w:r>
    </w:p>
    <w:p w:rsidR="0018180D" w:rsidRDefault="0018180D" w:rsidP="0018180D">
      <w:pPr>
        <w:spacing w:line="360" w:lineRule="auto"/>
        <w:ind w:firstLine="709"/>
        <w:jc w:val="both"/>
        <w:rPr>
          <w:sz w:val="24"/>
          <w:szCs w:val="24"/>
        </w:rPr>
      </w:pPr>
      <w:r w:rsidRPr="00BE7E38">
        <w:rPr>
          <w:sz w:val="24"/>
          <w:szCs w:val="24"/>
        </w:rPr>
        <w:t xml:space="preserve">Nesse sentido, o plano evidenciou que a indução técnica por parte do Estado é condição necessária, mas não suficiente para a transformação das práticas locais, pois é preciso aliar diagnóstico, acompanhamento e </w:t>
      </w:r>
      <w:proofErr w:type="spellStart"/>
      <w:r w:rsidRPr="00BE7E38">
        <w:rPr>
          <w:sz w:val="24"/>
          <w:szCs w:val="24"/>
        </w:rPr>
        <w:t>corresponsabilização</w:t>
      </w:r>
      <w:proofErr w:type="spellEnd"/>
      <w:r w:rsidRPr="00BE7E38">
        <w:rPr>
          <w:sz w:val="24"/>
          <w:szCs w:val="24"/>
        </w:rPr>
        <w:t xml:space="preserve"> com apoio técnico regular, escuta dos territórios e investimentos estruturantes. Como destaca </w:t>
      </w:r>
      <w:proofErr w:type="spellStart"/>
      <w:r w:rsidRPr="00BE7E38">
        <w:rPr>
          <w:sz w:val="24"/>
          <w:szCs w:val="24"/>
        </w:rPr>
        <w:lastRenderedPageBreak/>
        <w:t>Quijano</w:t>
      </w:r>
      <w:proofErr w:type="spellEnd"/>
      <w:r w:rsidRPr="00BE7E38">
        <w:rPr>
          <w:sz w:val="24"/>
          <w:szCs w:val="24"/>
        </w:rPr>
        <w:t xml:space="preserve"> (2005), os sistemas institucionais latino-americanos ainda operam sob os efeitos persistentes da </w:t>
      </w:r>
      <w:proofErr w:type="spellStart"/>
      <w:r w:rsidRPr="00BE7E38">
        <w:rPr>
          <w:sz w:val="24"/>
          <w:szCs w:val="24"/>
        </w:rPr>
        <w:t>colonialidade</w:t>
      </w:r>
      <w:proofErr w:type="spellEnd"/>
      <w:r w:rsidRPr="00BE7E38">
        <w:rPr>
          <w:sz w:val="24"/>
          <w:szCs w:val="24"/>
        </w:rPr>
        <w:t xml:space="preserve"> do poder, que naturaliza desigualdades e limita a agência de sujeitos e territórios periféricos.</w:t>
      </w:r>
    </w:p>
    <w:p w:rsidR="0018180D" w:rsidRPr="00BE7E38" w:rsidRDefault="0018180D" w:rsidP="0018180D">
      <w:pPr>
        <w:spacing w:line="360" w:lineRule="auto"/>
        <w:ind w:firstLine="709"/>
        <w:jc w:val="both"/>
        <w:rPr>
          <w:sz w:val="24"/>
          <w:szCs w:val="24"/>
        </w:rPr>
      </w:pPr>
    </w:p>
    <w:p w:rsidR="0018180D" w:rsidRDefault="0018180D" w:rsidP="0018180D">
      <w:pPr>
        <w:spacing w:line="360" w:lineRule="auto"/>
        <w:jc w:val="both"/>
        <w:rPr>
          <w:b/>
          <w:sz w:val="24"/>
          <w:szCs w:val="24"/>
        </w:rPr>
      </w:pPr>
      <w:bookmarkStart w:id="7" w:name="_heading=h.f70c4bgi3eo6" w:colFirst="0" w:colLast="0"/>
      <w:bookmarkEnd w:id="7"/>
      <w:proofErr w:type="gramStart"/>
      <w:r w:rsidRPr="00BE7E38">
        <w:rPr>
          <w:b/>
          <w:sz w:val="24"/>
          <w:szCs w:val="24"/>
        </w:rPr>
        <w:t>3</w:t>
      </w:r>
      <w:proofErr w:type="gramEnd"/>
      <w:r w:rsidRPr="00BE7E38">
        <w:rPr>
          <w:b/>
          <w:sz w:val="24"/>
          <w:szCs w:val="24"/>
        </w:rPr>
        <w:t xml:space="preserve"> CONCLUSÃO</w:t>
      </w:r>
    </w:p>
    <w:p w:rsidR="0018180D" w:rsidRPr="00BE7E38" w:rsidRDefault="0018180D" w:rsidP="0018180D">
      <w:pPr>
        <w:spacing w:line="360" w:lineRule="auto"/>
        <w:jc w:val="both"/>
        <w:rPr>
          <w:b/>
          <w:sz w:val="24"/>
          <w:szCs w:val="24"/>
        </w:rPr>
      </w:pPr>
    </w:p>
    <w:p w:rsidR="0018180D" w:rsidRPr="00BE7E38" w:rsidRDefault="0018180D" w:rsidP="0018180D">
      <w:pPr>
        <w:spacing w:line="360" w:lineRule="auto"/>
        <w:ind w:firstLine="709"/>
        <w:jc w:val="both"/>
        <w:rPr>
          <w:sz w:val="24"/>
          <w:szCs w:val="24"/>
        </w:rPr>
      </w:pPr>
      <w:r w:rsidRPr="00F55B5F">
        <w:rPr>
          <w:sz w:val="24"/>
          <w:szCs w:val="24"/>
        </w:rPr>
        <w:tab/>
      </w:r>
      <w:r w:rsidRPr="00BE7E38">
        <w:rPr>
          <w:sz w:val="24"/>
          <w:szCs w:val="24"/>
        </w:rPr>
        <w:t xml:space="preserve">Diante da análise exposta ao longo deste artigo, motivada pela execução das ações sistematizadas de apoio técnico presentes no PEAT, um instrumento que possibilita e concretiza a aproximação do Estado com os municípios e sua gestão, evidencia-se a existência de contextos desafiadores e de importância crucial na efetivação da integração e oferta dos serviços, programas e benefícios socioassistenciais nos municípios do Rio Grande do Norte. </w:t>
      </w:r>
    </w:p>
    <w:p w:rsidR="0018180D" w:rsidRPr="00BE7E38" w:rsidRDefault="0018180D" w:rsidP="0018180D">
      <w:pPr>
        <w:spacing w:line="360" w:lineRule="auto"/>
        <w:ind w:firstLine="709"/>
        <w:jc w:val="both"/>
        <w:rPr>
          <w:sz w:val="24"/>
          <w:szCs w:val="24"/>
        </w:rPr>
      </w:pPr>
      <w:r w:rsidRPr="00BE7E38">
        <w:rPr>
          <w:sz w:val="24"/>
          <w:szCs w:val="24"/>
        </w:rPr>
        <w:t>Por meio do PEAT, destaca-se a consolidação da construção de um diagnóstico territorial, reverberando na demonstração de dados concretos correspondentes às bases municipais onde a oferta da política é materializada por meio do Trabalho Social com Famílias e Territórios. A vista disso</w:t>
      </w:r>
      <w:proofErr w:type="gramStart"/>
      <w:r w:rsidRPr="00BE7E38">
        <w:rPr>
          <w:sz w:val="24"/>
          <w:szCs w:val="24"/>
        </w:rPr>
        <w:t>, comprova-se</w:t>
      </w:r>
      <w:proofErr w:type="gramEnd"/>
      <w:r w:rsidRPr="00BE7E38">
        <w:rPr>
          <w:sz w:val="24"/>
          <w:szCs w:val="24"/>
        </w:rPr>
        <w:t xml:space="preserve"> o papel fundamental da Vigilância Socioassistencial na qualificação das gestões dos dados e a integração com as proteções, objetivando um enfrentamento pontual das desproteções sociais persistentes nos territórios do Estado. </w:t>
      </w:r>
    </w:p>
    <w:p w:rsidR="0018180D" w:rsidRPr="00BE7E38" w:rsidRDefault="0018180D" w:rsidP="0018180D">
      <w:pPr>
        <w:spacing w:line="360" w:lineRule="auto"/>
        <w:ind w:firstLine="709"/>
        <w:jc w:val="both"/>
        <w:rPr>
          <w:sz w:val="24"/>
          <w:szCs w:val="24"/>
        </w:rPr>
      </w:pPr>
      <w:r w:rsidRPr="00BE7E38">
        <w:rPr>
          <w:sz w:val="24"/>
          <w:szCs w:val="24"/>
        </w:rPr>
        <w:t xml:space="preserve">Desse modo, reflete-se a importância da implementação da Vigilância em todos os municípios, procurando uma melhor qualificação dos registros, como o RMA e Cadastro Único, banco de dados de uso na prática diária dos trabalhadores </w:t>
      </w:r>
      <w:proofErr w:type="gramStart"/>
      <w:r w:rsidRPr="00BE7E38">
        <w:rPr>
          <w:sz w:val="24"/>
          <w:szCs w:val="24"/>
        </w:rPr>
        <w:t>do SUAS</w:t>
      </w:r>
      <w:proofErr w:type="gramEnd"/>
      <w:r w:rsidRPr="00BE7E38">
        <w:rPr>
          <w:sz w:val="24"/>
          <w:szCs w:val="24"/>
        </w:rPr>
        <w:t xml:space="preserve">, em prol da efetivação dos serviços executados pelas unidades socioassistenciais, impactando no território e nas famílias que nele vivem.  </w:t>
      </w:r>
    </w:p>
    <w:p w:rsidR="0018180D" w:rsidRPr="00BE7E38" w:rsidRDefault="0018180D" w:rsidP="0018180D">
      <w:pPr>
        <w:spacing w:line="360" w:lineRule="auto"/>
        <w:ind w:firstLine="709"/>
        <w:jc w:val="both"/>
        <w:rPr>
          <w:sz w:val="24"/>
          <w:szCs w:val="24"/>
        </w:rPr>
      </w:pPr>
      <w:r w:rsidRPr="00BE7E38">
        <w:rPr>
          <w:sz w:val="24"/>
          <w:szCs w:val="24"/>
        </w:rPr>
        <w:t xml:space="preserve">Por sua vez, o SUAS pelo RN como uma das ações e estratégias previstas no PEAT, reafirmou a necessidade do encontro e de uma articulação consolidada entre as esferas de trabalho, execução de serviços e controle social, uma vez que, os dados do diagnóstico apresentado revelam pontos de alertas, definindo um quantitativo significativo de municípios prioritários. Pontos esses que devem ser não </w:t>
      </w:r>
      <w:r w:rsidRPr="00BE7E38">
        <w:rPr>
          <w:sz w:val="24"/>
          <w:szCs w:val="24"/>
        </w:rPr>
        <w:lastRenderedPageBreak/>
        <w:t xml:space="preserve">somente analisados, mas desenvolvidos e trabalhados em consonância aos municípios que aderem aos planos de providência planejados, visando o desenvolvimento da política em nosso Estado. </w:t>
      </w:r>
    </w:p>
    <w:p w:rsidR="0018180D" w:rsidRPr="00BE7E38" w:rsidRDefault="0018180D" w:rsidP="0018180D">
      <w:pPr>
        <w:spacing w:line="360" w:lineRule="auto"/>
        <w:ind w:firstLine="709"/>
        <w:jc w:val="both"/>
        <w:rPr>
          <w:sz w:val="24"/>
          <w:szCs w:val="24"/>
        </w:rPr>
      </w:pPr>
      <w:r w:rsidRPr="00BE7E38">
        <w:rPr>
          <w:sz w:val="24"/>
          <w:szCs w:val="24"/>
        </w:rPr>
        <w:t xml:space="preserve">Logo, a experiência do RN aponta para os desafios da integração real e emancipatória entre serviços, programas e benefícios socioassistenciais, revelando que ela só será possível se acompanhada de estratégias que enfrentem as dimensões técnicas e políticas da dependência, da desigualdade e da reprodução da pobreza. </w:t>
      </w:r>
    </w:p>
    <w:p w:rsidR="0018180D" w:rsidRPr="00BE7E38" w:rsidRDefault="0018180D" w:rsidP="0018180D">
      <w:pPr>
        <w:spacing w:line="360" w:lineRule="auto"/>
        <w:jc w:val="both"/>
        <w:rPr>
          <w:sz w:val="24"/>
          <w:szCs w:val="24"/>
        </w:rPr>
      </w:pPr>
      <w:r w:rsidRPr="00BE7E38">
        <w:rPr>
          <w:sz w:val="24"/>
          <w:szCs w:val="24"/>
        </w:rPr>
        <w:br w:type="page"/>
      </w:r>
      <w:bookmarkStart w:id="8" w:name="_heading=h.kah4tp1bidhz" w:colFirst="0" w:colLast="0"/>
      <w:bookmarkEnd w:id="8"/>
      <w:r w:rsidRPr="00F55B5F">
        <w:rPr>
          <w:b/>
          <w:sz w:val="24"/>
          <w:szCs w:val="24"/>
        </w:rPr>
        <w:lastRenderedPageBreak/>
        <w:t>REFERÊNCIAS</w:t>
      </w:r>
    </w:p>
    <w:p w:rsidR="0018180D" w:rsidRPr="00BE7E38" w:rsidRDefault="0018180D" w:rsidP="0018180D">
      <w:pPr>
        <w:spacing w:line="240" w:lineRule="auto"/>
        <w:jc w:val="both"/>
        <w:rPr>
          <w:sz w:val="24"/>
          <w:szCs w:val="24"/>
        </w:rPr>
      </w:pPr>
    </w:p>
    <w:p w:rsidR="0018180D" w:rsidRDefault="0018180D" w:rsidP="0018180D">
      <w:pPr>
        <w:spacing w:line="240" w:lineRule="auto"/>
        <w:jc w:val="both"/>
        <w:rPr>
          <w:sz w:val="24"/>
          <w:szCs w:val="24"/>
        </w:rPr>
      </w:pPr>
      <w:r w:rsidRPr="00BE7E38">
        <w:rPr>
          <w:sz w:val="24"/>
          <w:szCs w:val="24"/>
        </w:rPr>
        <w:t xml:space="preserve">BEHRING, Elaine Rossetti; BOSCHETTI, Ivanete. </w:t>
      </w:r>
      <w:r w:rsidRPr="00BE7E38">
        <w:rPr>
          <w:b/>
          <w:sz w:val="24"/>
          <w:szCs w:val="24"/>
        </w:rPr>
        <w:t>Política social: fundamentos e história.</w:t>
      </w:r>
      <w:r w:rsidRPr="00BE7E38">
        <w:rPr>
          <w:sz w:val="24"/>
          <w:szCs w:val="24"/>
        </w:rPr>
        <w:t xml:space="preserve"> 5. </w:t>
      </w:r>
      <w:proofErr w:type="gramStart"/>
      <w:r w:rsidRPr="00BE7E38">
        <w:rPr>
          <w:sz w:val="24"/>
          <w:szCs w:val="24"/>
        </w:rPr>
        <w:t>ed.</w:t>
      </w:r>
      <w:proofErr w:type="gramEnd"/>
      <w:r w:rsidRPr="00BE7E38">
        <w:rPr>
          <w:sz w:val="24"/>
          <w:szCs w:val="24"/>
        </w:rPr>
        <w:t xml:space="preserve"> São Paulo: Cortez, 2008.</w:t>
      </w:r>
    </w:p>
    <w:p w:rsidR="0018180D" w:rsidRPr="00BE7E38" w:rsidRDefault="0018180D" w:rsidP="0018180D">
      <w:pPr>
        <w:spacing w:line="240" w:lineRule="auto"/>
        <w:jc w:val="both"/>
        <w:rPr>
          <w:sz w:val="24"/>
          <w:szCs w:val="24"/>
        </w:rPr>
      </w:pPr>
    </w:p>
    <w:p w:rsidR="0018180D" w:rsidRDefault="0018180D" w:rsidP="0018180D">
      <w:pPr>
        <w:spacing w:line="240" w:lineRule="auto"/>
        <w:jc w:val="both"/>
        <w:rPr>
          <w:sz w:val="24"/>
          <w:szCs w:val="24"/>
        </w:rPr>
      </w:pPr>
      <w:r w:rsidRPr="00BE7E38">
        <w:rPr>
          <w:sz w:val="24"/>
          <w:szCs w:val="24"/>
        </w:rPr>
        <w:t xml:space="preserve">BRASIL. </w:t>
      </w:r>
      <w:r w:rsidRPr="00BE7E38">
        <w:rPr>
          <w:b/>
          <w:sz w:val="24"/>
          <w:szCs w:val="24"/>
        </w:rPr>
        <w:t>Lei nº 8.742</w:t>
      </w:r>
      <w:r w:rsidRPr="00BE7E38">
        <w:rPr>
          <w:sz w:val="24"/>
          <w:szCs w:val="24"/>
        </w:rPr>
        <w:t xml:space="preserve">, de </w:t>
      </w:r>
      <w:proofErr w:type="gramStart"/>
      <w:r w:rsidRPr="00BE7E38">
        <w:rPr>
          <w:sz w:val="24"/>
          <w:szCs w:val="24"/>
        </w:rPr>
        <w:t>7</w:t>
      </w:r>
      <w:proofErr w:type="gramEnd"/>
      <w:r w:rsidRPr="00BE7E38">
        <w:rPr>
          <w:sz w:val="24"/>
          <w:szCs w:val="24"/>
        </w:rPr>
        <w:t xml:space="preserve"> de dezembro de 1993. Dispõe sobre a organização da Assistência Social e dá outras providências.</w:t>
      </w:r>
    </w:p>
    <w:p w:rsidR="0018180D" w:rsidRPr="00BE7E38" w:rsidRDefault="0018180D" w:rsidP="0018180D">
      <w:pPr>
        <w:spacing w:line="240" w:lineRule="auto"/>
        <w:jc w:val="both"/>
        <w:rPr>
          <w:sz w:val="24"/>
          <w:szCs w:val="24"/>
        </w:rPr>
      </w:pPr>
    </w:p>
    <w:p w:rsidR="0018180D" w:rsidRDefault="0018180D" w:rsidP="0018180D">
      <w:pPr>
        <w:spacing w:line="240" w:lineRule="auto"/>
        <w:jc w:val="both"/>
        <w:rPr>
          <w:sz w:val="24"/>
          <w:szCs w:val="24"/>
        </w:rPr>
      </w:pPr>
      <w:r w:rsidRPr="00BE7E38">
        <w:rPr>
          <w:sz w:val="24"/>
          <w:szCs w:val="24"/>
        </w:rPr>
        <w:t xml:space="preserve">BRASIL. </w:t>
      </w:r>
      <w:r w:rsidRPr="00BE7E38">
        <w:rPr>
          <w:b/>
          <w:sz w:val="24"/>
          <w:szCs w:val="24"/>
        </w:rPr>
        <w:t xml:space="preserve">Norma Operacional Básica </w:t>
      </w:r>
      <w:proofErr w:type="gramStart"/>
      <w:r w:rsidRPr="00BE7E38">
        <w:rPr>
          <w:b/>
          <w:sz w:val="24"/>
          <w:szCs w:val="24"/>
        </w:rPr>
        <w:t>do SUAS</w:t>
      </w:r>
      <w:proofErr w:type="gramEnd"/>
      <w:r w:rsidRPr="00BE7E38">
        <w:rPr>
          <w:b/>
          <w:sz w:val="24"/>
          <w:szCs w:val="24"/>
        </w:rPr>
        <w:t xml:space="preserve"> – NOB/SUAS 2012</w:t>
      </w:r>
      <w:r w:rsidRPr="00BE7E38">
        <w:rPr>
          <w:sz w:val="24"/>
          <w:szCs w:val="24"/>
        </w:rPr>
        <w:t>. Brasília: Ministério do Desenvolvimento Social, 2012.</w:t>
      </w:r>
    </w:p>
    <w:p w:rsidR="0018180D" w:rsidRPr="00BE7E38" w:rsidRDefault="0018180D" w:rsidP="0018180D">
      <w:pPr>
        <w:spacing w:line="240" w:lineRule="auto"/>
        <w:jc w:val="both"/>
        <w:rPr>
          <w:sz w:val="24"/>
          <w:szCs w:val="24"/>
        </w:rPr>
      </w:pPr>
    </w:p>
    <w:p w:rsidR="0018180D" w:rsidRDefault="0018180D" w:rsidP="0018180D">
      <w:pPr>
        <w:spacing w:line="240" w:lineRule="auto"/>
        <w:jc w:val="both"/>
        <w:rPr>
          <w:sz w:val="24"/>
          <w:szCs w:val="24"/>
        </w:rPr>
      </w:pPr>
      <w:r w:rsidRPr="00BE7E38">
        <w:rPr>
          <w:sz w:val="24"/>
          <w:szCs w:val="24"/>
        </w:rPr>
        <w:t xml:space="preserve">FERNANDES, Florestan. </w:t>
      </w:r>
      <w:r w:rsidRPr="00BE7E38">
        <w:rPr>
          <w:b/>
          <w:sz w:val="24"/>
          <w:szCs w:val="24"/>
        </w:rPr>
        <w:t>A revolução burguesa no Brasil: ensaio de interpretação sociológica</w:t>
      </w:r>
      <w:r w:rsidRPr="00BE7E38">
        <w:rPr>
          <w:sz w:val="24"/>
          <w:szCs w:val="24"/>
        </w:rPr>
        <w:t>. São Paulo: Globo, 2008.</w:t>
      </w:r>
    </w:p>
    <w:p w:rsidR="0018180D" w:rsidRPr="00BE7E38" w:rsidRDefault="0018180D" w:rsidP="0018180D">
      <w:pPr>
        <w:spacing w:line="240" w:lineRule="auto"/>
        <w:jc w:val="both"/>
        <w:rPr>
          <w:sz w:val="24"/>
          <w:szCs w:val="24"/>
        </w:rPr>
      </w:pPr>
    </w:p>
    <w:p w:rsidR="0018180D" w:rsidRDefault="0018180D" w:rsidP="0018180D">
      <w:pPr>
        <w:spacing w:line="240" w:lineRule="auto"/>
        <w:jc w:val="both"/>
        <w:rPr>
          <w:sz w:val="24"/>
          <w:szCs w:val="24"/>
        </w:rPr>
      </w:pPr>
      <w:r w:rsidRPr="00BE7E38">
        <w:rPr>
          <w:sz w:val="24"/>
          <w:szCs w:val="24"/>
        </w:rPr>
        <w:t xml:space="preserve">QUIJANO, Aníbal. </w:t>
      </w:r>
      <w:proofErr w:type="spellStart"/>
      <w:r w:rsidRPr="00BE7E38">
        <w:rPr>
          <w:sz w:val="24"/>
          <w:szCs w:val="24"/>
        </w:rPr>
        <w:t>Colonialidade</w:t>
      </w:r>
      <w:proofErr w:type="spellEnd"/>
      <w:r w:rsidRPr="00BE7E38">
        <w:rPr>
          <w:sz w:val="24"/>
          <w:szCs w:val="24"/>
        </w:rPr>
        <w:t xml:space="preserve"> do poder, </w:t>
      </w:r>
      <w:proofErr w:type="spellStart"/>
      <w:r w:rsidRPr="00BE7E38">
        <w:rPr>
          <w:sz w:val="24"/>
          <w:szCs w:val="24"/>
        </w:rPr>
        <w:t>eurocentrismo</w:t>
      </w:r>
      <w:proofErr w:type="spellEnd"/>
      <w:r w:rsidRPr="00BE7E38">
        <w:rPr>
          <w:sz w:val="24"/>
          <w:szCs w:val="24"/>
        </w:rPr>
        <w:t xml:space="preserve"> e América Latina. In: LANDER, E. (org.). </w:t>
      </w:r>
      <w:r w:rsidRPr="00BE7E38">
        <w:rPr>
          <w:b/>
          <w:sz w:val="24"/>
          <w:szCs w:val="24"/>
        </w:rPr>
        <w:t xml:space="preserve">A </w:t>
      </w:r>
      <w:proofErr w:type="spellStart"/>
      <w:r w:rsidRPr="00BE7E38">
        <w:rPr>
          <w:b/>
          <w:sz w:val="24"/>
          <w:szCs w:val="24"/>
        </w:rPr>
        <w:t>colonialidade</w:t>
      </w:r>
      <w:proofErr w:type="spellEnd"/>
      <w:r w:rsidRPr="00BE7E38">
        <w:rPr>
          <w:b/>
          <w:sz w:val="24"/>
          <w:szCs w:val="24"/>
        </w:rPr>
        <w:t xml:space="preserve"> do saber: </w:t>
      </w:r>
      <w:proofErr w:type="spellStart"/>
      <w:r w:rsidRPr="00BE7E38">
        <w:rPr>
          <w:b/>
          <w:sz w:val="24"/>
          <w:szCs w:val="24"/>
        </w:rPr>
        <w:t>eurocentrismo</w:t>
      </w:r>
      <w:proofErr w:type="spellEnd"/>
      <w:r w:rsidRPr="00BE7E38">
        <w:rPr>
          <w:b/>
          <w:sz w:val="24"/>
          <w:szCs w:val="24"/>
        </w:rPr>
        <w:t xml:space="preserve"> e ciências sociais.</w:t>
      </w:r>
      <w:r w:rsidRPr="00BE7E38">
        <w:rPr>
          <w:sz w:val="24"/>
          <w:szCs w:val="24"/>
        </w:rPr>
        <w:t xml:space="preserve"> Buenos Aires: CLACSO, 2005.</w:t>
      </w:r>
    </w:p>
    <w:p w:rsidR="0018180D" w:rsidRPr="00BE7E38" w:rsidRDefault="0018180D" w:rsidP="0018180D">
      <w:pPr>
        <w:spacing w:line="240" w:lineRule="auto"/>
        <w:jc w:val="both"/>
        <w:rPr>
          <w:sz w:val="24"/>
          <w:szCs w:val="24"/>
        </w:rPr>
      </w:pPr>
    </w:p>
    <w:p w:rsidR="0018180D" w:rsidRDefault="0018180D" w:rsidP="0018180D">
      <w:pPr>
        <w:spacing w:line="240" w:lineRule="auto"/>
        <w:jc w:val="both"/>
        <w:rPr>
          <w:sz w:val="24"/>
          <w:szCs w:val="24"/>
        </w:rPr>
      </w:pPr>
      <w:r w:rsidRPr="00BE7E38">
        <w:rPr>
          <w:sz w:val="24"/>
          <w:szCs w:val="24"/>
        </w:rPr>
        <w:t xml:space="preserve">RIO GRANDE DO NORTE. </w:t>
      </w:r>
      <w:r w:rsidRPr="00BE7E38">
        <w:rPr>
          <w:b/>
          <w:sz w:val="24"/>
          <w:szCs w:val="24"/>
        </w:rPr>
        <w:t>Plano Estadual de Apoio Técnico.</w:t>
      </w:r>
      <w:r w:rsidRPr="00BE7E38">
        <w:rPr>
          <w:sz w:val="24"/>
          <w:szCs w:val="24"/>
        </w:rPr>
        <w:t xml:space="preserve"> SETHAS/RN: Governo do Estado do Rio Grande do Norte, 2022.</w:t>
      </w:r>
    </w:p>
    <w:p w:rsidR="0018180D" w:rsidRPr="00BE7E38" w:rsidRDefault="0018180D" w:rsidP="0018180D">
      <w:pPr>
        <w:spacing w:line="240" w:lineRule="auto"/>
        <w:jc w:val="both"/>
        <w:rPr>
          <w:sz w:val="24"/>
          <w:szCs w:val="24"/>
        </w:rPr>
      </w:pPr>
    </w:p>
    <w:p w:rsidR="0018180D" w:rsidRPr="00BE7E38" w:rsidRDefault="0018180D" w:rsidP="0018180D">
      <w:pPr>
        <w:spacing w:line="240" w:lineRule="auto"/>
        <w:jc w:val="both"/>
        <w:rPr>
          <w:sz w:val="24"/>
          <w:szCs w:val="24"/>
        </w:rPr>
      </w:pPr>
      <w:r w:rsidRPr="00BE7E38">
        <w:rPr>
          <w:sz w:val="24"/>
          <w:szCs w:val="24"/>
        </w:rPr>
        <w:t xml:space="preserve">SANTOS, Milton. </w:t>
      </w:r>
      <w:r w:rsidRPr="00BE7E38">
        <w:rPr>
          <w:b/>
          <w:sz w:val="24"/>
          <w:szCs w:val="24"/>
        </w:rPr>
        <w:t xml:space="preserve">A urbanização brasileira. </w:t>
      </w:r>
      <w:r w:rsidRPr="00BE7E38">
        <w:rPr>
          <w:sz w:val="24"/>
          <w:szCs w:val="24"/>
        </w:rPr>
        <w:t>São Paulo: EDUSP, 2012.</w:t>
      </w:r>
    </w:p>
    <w:p w:rsidR="00193E6A" w:rsidRDefault="00193E6A" w:rsidP="0018180D">
      <w:pPr>
        <w:pStyle w:val="Ttulo1"/>
        <w:spacing w:line="360" w:lineRule="auto"/>
        <w:ind w:left="0" w:hanging="2"/>
        <w:rPr>
          <w:sz w:val="24"/>
          <w:szCs w:val="24"/>
        </w:rPr>
      </w:pPr>
    </w:p>
    <w:sectPr w:rsidR="00193E6A">
      <w:headerReference w:type="default" r:id="rId9"/>
      <w:pgSz w:w="11909" w:h="16834"/>
      <w:pgMar w:top="1701" w:right="1134" w:bottom="1134" w:left="1701" w:header="3401"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510A" w:rsidRDefault="00B4510A">
      <w:pPr>
        <w:spacing w:line="240" w:lineRule="auto"/>
      </w:pPr>
      <w:r>
        <w:separator/>
      </w:r>
    </w:p>
  </w:endnote>
  <w:endnote w:type="continuationSeparator" w:id="0">
    <w:p w:rsidR="00B4510A" w:rsidRDefault="00B451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510A" w:rsidRDefault="00B4510A">
      <w:pPr>
        <w:spacing w:line="240" w:lineRule="auto"/>
      </w:pPr>
      <w:r>
        <w:separator/>
      </w:r>
    </w:p>
  </w:footnote>
  <w:footnote w:type="continuationSeparator" w:id="0">
    <w:p w:rsidR="00B4510A" w:rsidRDefault="00B4510A">
      <w:pPr>
        <w:spacing w:line="240" w:lineRule="auto"/>
      </w:pPr>
      <w:r>
        <w:continuationSeparator/>
      </w:r>
    </w:p>
  </w:footnote>
  <w:footnote w:id="1">
    <w:p w:rsidR="00193E6A" w:rsidRDefault="00B4510A">
      <w:pPr>
        <w:spacing w:line="240" w:lineRule="auto"/>
        <w:rPr>
          <w:sz w:val="20"/>
          <w:szCs w:val="20"/>
        </w:rPr>
      </w:pPr>
      <w:r>
        <w:rPr>
          <w:vertAlign w:val="superscript"/>
        </w:rPr>
        <w:footnoteRef/>
      </w:r>
      <w:r>
        <w:rPr>
          <w:sz w:val="20"/>
          <w:szCs w:val="20"/>
        </w:rPr>
        <w:t xml:space="preserve"> Pesquisadora SETHAS/FUNCITERN. Especialista em Serviço Social e Assistência Social na Saúde. Graduada em Serviço Social pela UFRN. </w:t>
      </w:r>
      <w:proofErr w:type="spellStart"/>
      <w:r>
        <w:rPr>
          <w:sz w:val="20"/>
          <w:szCs w:val="20"/>
        </w:rPr>
        <w:t>Email</w:t>
      </w:r>
      <w:proofErr w:type="spellEnd"/>
      <w:r>
        <w:rPr>
          <w:sz w:val="20"/>
          <w:szCs w:val="20"/>
        </w:rPr>
        <w:t xml:space="preserve">: </w:t>
      </w:r>
      <w:hyperlink r:id="rId1">
        <w:r>
          <w:rPr>
            <w:color w:val="1155CC"/>
            <w:sz w:val="20"/>
            <w:szCs w:val="20"/>
            <w:u w:val="single"/>
          </w:rPr>
          <w:t>brunasuas@gmail.com</w:t>
        </w:r>
      </w:hyperlink>
    </w:p>
    <w:p w:rsidR="00193E6A" w:rsidRDefault="00193E6A">
      <w:pPr>
        <w:spacing w:line="240" w:lineRule="auto"/>
        <w:rPr>
          <w:sz w:val="20"/>
          <w:szCs w:val="20"/>
        </w:rPr>
      </w:pPr>
    </w:p>
  </w:footnote>
  <w:footnote w:id="2">
    <w:p w:rsidR="00193E6A" w:rsidRDefault="00B4510A">
      <w:pPr>
        <w:spacing w:line="240" w:lineRule="auto"/>
        <w:rPr>
          <w:sz w:val="20"/>
          <w:szCs w:val="20"/>
        </w:rPr>
      </w:pPr>
      <w:r>
        <w:rPr>
          <w:vertAlign w:val="superscript"/>
        </w:rPr>
        <w:footnoteRef/>
      </w:r>
      <w:r>
        <w:rPr>
          <w:sz w:val="20"/>
          <w:szCs w:val="20"/>
        </w:rPr>
        <w:t xml:space="preserve"> Pesquisador SETHAS/FUNCITERN. Especialista em Gestão de Política Pública. Graduado em Serviço Social pela FACEX. </w:t>
      </w:r>
      <w:proofErr w:type="spellStart"/>
      <w:r>
        <w:rPr>
          <w:sz w:val="20"/>
          <w:szCs w:val="20"/>
        </w:rPr>
        <w:t>Email</w:t>
      </w:r>
      <w:proofErr w:type="spellEnd"/>
      <w:r>
        <w:rPr>
          <w:sz w:val="20"/>
          <w:szCs w:val="20"/>
        </w:rPr>
        <w:t xml:space="preserve">: </w:t>
      </w:r>
      <w:hyperlink r:id="rId2">
        <w:r>
          <w:rPr>
            <w:color w:val="1155CC"/>
            <w:sz w:val="20"/>
            <w:szCs w:val="20"/>
            <w:u w:val="single"/>
          </w:rPr>
          <w:t>janpierresoares@gmail.com</w:t>
        </w:r>
      </w:hyperlink>
    </w:p>
    <w:p w:rsidR="00193E6A" w:rsidRDefault="00193E6A">
      <w:pPr>
        <w:spacing w:line="240" w:lineRule="auto"/>
        <w:rPr>
          <w:sz w:val="20"/>
          <w:szCs w:val="20"/>
        </w:rPr>
      </w:pPr>
    </w:p>
  </w:footnote>
  <w:footnote w:id="3">
    <w:p w:rsidR="00193E6A" w:rsidRDefault="00B4510A">
      <w:pPr>
        <w:spacing w:line="240" w:lineRule="auto"/>
        <w:rPr>
          <w:sz w:val="20"/>
          <w:szCs w:val="20"/>
        </w:rPr>
      </w:pPr>
      <w:r>
        <w:rPr>
          <w:vertAlign w:val="superscript"/>
        </w:rPr>
        <w:footnoteRef/>
      </w:r>
      <w:r>
        <w:rPr>
          <w:sz w:val="20"/>
          <w:szCs w:val="20"/>
        </w:rPr>
        <w:t xml:space="preserve"> Pesquisa</w:t>
      </w:r>
      <w:r>
        <w:rPr>
          <w:sz w:val="20"/>
          <w:szCs w:val="20"/>
        </w:rPr>
        <w:t xml:space="preserve">dora SETHAS/FUNCITERN. Especialista em Educação Infantil e Anos Iniciais. Graduada em Pedagogia pela UFRN. </w:t>
      </w:r>
      <w:proofErr w:type="spellStart"/>
      <w:r>
        <w:rPr>
          <w:sz w:val="20"/>
          <w:szCs w:val="20"/>
        </w:rPr>
        <w:t>Email</w:t>
      </w:r>
      <w:proofErr w:type="spellEnd"/>
      <w:r>
        <w:rPr>
          <w:sz w:val="20"/>
          <w:szCs w:val="20"/>
        </w:rPr>
        <w:t xml:space="preserve">: </w:t>
      </w:r>
      <w:hyperlink r:id="rId3">
        <w:r>
          <w:rPr>
            <w:color w:val="1155CC"/>
            <w:sz w:val="20"/>
            <w:szCs w:val="20"/>
            <w:u w:val="single"/>
          </w:rPr>
          <w:t>mgabrielllaufrn@gmail.com</w:t>
        </w:r>
      </w:hyperlink>
    </w:p>
    <w:p w:rsidR="00193E6A" w:rsidRDefault="00193E6A">
      <w:pPr>
        <w:spacing w:line="240" w:lineRule="auto"/>
        <w:rPr>
          <w:sz w:val="20"/>
          <w:szCs w:val="20"/>
        </w:rPr>
      </w:pPr>
    </w:p>
  </w:footnote>
  <w:footnote w:id="4">
    <w:p w:rsidR="00193E6A" w:rsidRDefault="00B4510A">
      <w:pPr>
        <w:spacing w:line="240" w:lineRule="auto"/>
        <w:rPr>
          <w:sz w:val="20"/>
          <w:szCs w:val="20"/>
        </w:rPr>
      </w:pPr>
      <w:r>
        <w:rPr>
          <w:vertAlign w:val="superscript"/>
        </w:rPr>
        <w:footnoteRef/>
      </w:r>
      <w:r>
        <w:rPr>
          <w:sz w:val="20"/>
          <w:szCs w:val="20"/>
        </w:rPr>
        <w:t xml:space="preserve"> Pesquisadora SETHAS/FUNCITERN. Graduada em Serviço Social pela UFRN. </w:t>
      </w:r>
      <w:proofErr w:type="spellStart"/>
      <w:r>
        <w:rPr>
          <w:sz w:val="20"/>
          <w:szCs w:val="20"/>
        </w:rPr>
        <w:t>Email</w:t>
      </w:r>
      <w:proofErr w:type="spellEnd"/>
      <w:r>
        <w:rPr>
          <w:sz w:val="20"/>
          <w:szCs w:val="20"/>
        </w:rPr>
        <w:t xml:space="preserve">: </w:t>
      </w:r>
      <w:hyperlink r:id="rId4">
        <w:r>
          <w:rPr>
            <w:color w:val="1155CC"/>
            <w:sz w:val="20"/>
            <w:szCs w:val="20"/>
            <w:u w:val="single"/>
          </w:rPr>
          <w:t>fassanaronaline.pro@gmail.com</w:t>
        </w:r>
      </w:hyperlink>
    </w:p>
    <w:p w:rsidR="00193E6A" w:rsidRDefault="00193E6A">
      <w:pPr>
        <w:spacing w:line="240" w:lineRule="auto"/>
        <w:rPr>
          <w:sz w:val="20"/>
          <w:szCs w:val="20"/>
        </w:rPr>
      </w:pPr>
    </w:p>
  </w:footnote>
  <w:footnote w:id="5">
    <w:p w:rsidR="00193E6A" w:rsidRDefault="00B4510A">
      <w:pPr>
        <w:spacing w:line="240" w:lineRule="auto"/>
        <w:rPr>
          <w:sz w:val="20"/>
          <w:szCs w:val="20"/>
        </w:rPr>
      </w:pPr>
      <w:r>
        <w:rPr>
          <w:vertAlign w:val="superscript"/>
        </w:rPr>
        <w:footnoteRef/>
      </w:r>
      <w:r>
        <w:rPr>
          <w:sz w:val="20"/>
          <w:szCs w:val="20"/>
        </w:rPr>
        <w:t xml:space="preserve"> Pesquisadora SETHAS/FUNCITERN. Mestranda do PPGSS/FRN. Graduada em Serviço Social pela UFR</w:t>
      </w:r>
      <w:r>
        <w:rPr>
          <w:sz w:val="20"/>
          <w:szCs w:val="20"/>
        </w:rPr>
        <w:t xml:space="preserve">N. </w:t>
      </w:r>
      <w:proofErr w:type="spellStart"/>
      <w:r>
        <w:rPr>
          <w:sz w:val="20"/>
          <w:szCs w:val="20"/>
        </w:rPr>
        <w:t>Email</w:t>
      </w:r>
      <w:proofErr w:type="spellEnd"/>
      <w:r>
        <w:rPr>
          <w:sz w:val="20"/>
          <w:szCs w:val="20"/>
        </w:rPr>
        <w:t xml:space="preserve">: </w:t>
      </w:r>
      <w:hyperlink r:id="rId5" w:history="1">
        <w:r w:rsidR="0018180D" w:rsidRPr="00AD3223">
          <w:rPr>
            <w:rStyle w:val="Hyperlink"/>
            <w:sz w:val="20"/>
            <w:szCs w:val="20"/>
          </w:rPr>
          <w:t>roberta.cavv@gmail.com</w:t>
        </w:r>
      </w:hyperlink>
    </w:p>
    <w:p w:rsidR="0018180D" w:rsidRDefault="0018180D">
      <w:pPr>
        <w:spacing w:line="240" w:lineRule="auto"/>
        <w:rPr>
          <w:sz w:val="20"/>
          <w:szCs w:val="20"/>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E6A" w:rsidRDefault="00B4510A">
    <w:r>
      <w:rPr>
        <w:noProof/>
      </w:rPr>
      <w:drawing>
        <wp:anchor distT="0" distB="0" distL="0" distR="0" simplePos="0" relativeHeight="251658240" behindDoc="1" locked="0" layoutInCell="1" hidden="0" allowOverlap="1">
          <wp:simplePos x="0" y="0"/>
          <wp:positionH relativeFrom="page">
            <wp:posOffset>0</wp:posOffset>
          </wp:positionH>
          <wp:positionV relativeFrom="page">
            <wp:posOffset>6985</wp:posOffset>
          </wp:positionV>
          <wp:extent cx="7563485" cy="10727690"/>
          <wp:effectExtent l="0" t="0" r="0" b="0"/>
          <wp:wrapNone/>
          <wp:docPr id="10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3485" cy="1072769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193E6A"/>
    <w:rsid w:val="0018180D"/>
    <w:rsid w:val="00193E6A"/>
    <w:rsid w:val="00B4510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uppressAutoHyphens/>
      <w:spacing w:before="400" w:after="120"/>
      <w:ind w:leftChars="-1" w:left="-1" w:hangingChars="1" w:hanging="1"/>
      <w:textDirection w:val="btLr"/>
      <w:textAlignment w:val="top"/>
      <w:outlineLvl w:val="0"/>
    </w:pPr>
    <w:rPr>
      <w:position w:val="-1"/>
      <w:sz w:val="40"/>
      <w:szCs w:val="40"/>
    </w:rPr>
  </w:style>
  <w:style w:type="paragraph" w:styleId="Ttulo2">
    <w:name w:val="heading 2"/>
    <w:basedOn w:val="Normal"/>
    <w:next w:val="Normal"/>
    <w:qFormat/>
    <w:pPr>
      <w:keepNext/>
      <w:keepLines/>
      <w:suppressAutoHyphens/>
      <w:spacing w:before="360" w:after="120"/>
      <w:ind w:leftChars="-1" w:left="-1" w:hangingChars="1" w:hanging="1"/>
      <w:textDirection w:val="btLr"/>
      <w:textAlignment w:val="top"/>
      <w:outlineLvl w:val="1"/>
    </w:pPr>
    <w:rPr>
      <w:position w:val="-1"/>
      <w:sz w:val="32"/>
      <w:szCs w:val="32"/>
    </w:rPr>
  </w:style>
  <w:style w:type="paragraph" w:styleId="Ttulo3">
    <w:name w:val="heading 3"/>
    <w:basedOn w:val="Normal"/>
    <w:next w:val="Normal"/>
    <w:qFormat/>
    <w:pPr>
      <w:keepNext/>
      <w:keepLines/>
      <w:suppressAutoHyphens/>
      <w:spacing w:before="320" w:after="80"/>
      <w:ind w:leftChars="-1" w:left="-1" w:hangingChars="1" w:hanging="1"/>
      <w:textDirection w:val="btLr"/>
      <w:textAlignment w:val="top"/>
      <w:outlineLvl w:val="2"/>
    </w:pPr>
    <w:rPr>
      <w:color w:val="434343"/>
      <w:position w:val="-1"/>
      <w:sz w:val="28"/>
      <w:szCs w:val="28"/>
    </w:rPr>
  </w:style>
  <w:style w:type="paragraph" w:styleId="Ttulo4">
    <w:name w:val="heading 4"/>
    <w:basedOn w:val="Normal"/>
    <w:next w:val="Normal"/>
    <w:qFormat/>
    <w:pPr>
      <w:keepNext/>
      <w:keepLines/>
      <w:suppressAutoHyphens/>
      <w:spacing w:before="280" w:after="80"/>
      <w:ind w:leftChars="-1" w:left="-1" w:hangingChars="1" w:hanging="1"/>
      <w:textDirection w:val="btLr"/>
      <w:textAlignment w:val="top"/>
      <w:outlineLvl w:val="3"/>
    </w:pPr>
    <w:rPr>
      <w:color w:val="666666"/>
      <w:position w:val="-1"/>
      <w:sz w:val="24"/>
      <w:szCs w:val="24"/>
    </w:rPr>
  </w:style>
  <w:style w:type="paragraph" w:styleId="Ttulo5">
    <w:name w:val="heading 5"/>
    <w:basedOn w:val="Normal"/>
    <w:next w:val="Normal"/>
    <w:qFormat/>
    <w:pPr>
      <w:keepNext/>
      <w:keepLines/>
      <w:suppressAutoHyphens/>
      <w:spacing w:before="240" w:after="80"/>
      <w:ind w:leftChars="-1" w:left="-1" w:hangingChars="1" w:hanging="1"/>
      <w:textDirection w:val="btLr"/>
      <w:textAlignment w:val="top"/>
      <w:outlineLvl w:val="4"/>
    </w:pPr>
    <w:rPr>
      <w:color w:val="666666"/>
      <w:position w:val="-1"/>
    </w:rPr>
  </w:style>
  <w:style w:type="paragraph" w:styleId="Ttulo6">
    <w:name w:val="heading 6"/>
    <w:basedOn w:val="Normal"/>
    <w:next w:val="Normal"/>
    <w:qFormat/>
    <w:pPr>
      <w:keepNext/>
      <w:keepLines/>
      <w:suppressAutoHyphens/>
      <w:spacing w:before="240" w:after="80"/>
      <w:ind w:leftChars="-1" w:left="-1" w:hangingChars="1" w:hanging="1"/>
      <w:textDirection w:val="btLr"/>
      <w:textAlignment w:val="top"/>
      <w:outlineLvl w:val="5"/>
    </w:pPr>
    <w:rPr>
      <w:i/>
      <w:color w:val="666666"/>
      <w:position w:val="-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pPr>
      <w:keepNext/>
      <w:keepLines/>
      <w:suppressAutoHyphens/>
      <w:spacing w:after="60"/>
      <w:ind w:leftChars="-1" w:left="-1" w:hangingChars="1" w:hanging="1"/>
      <w:textDirection w:val="btLr"/>
      <w:textAlignment w:val="top"/>
      <w:outlineLvl w:val="0"/>
    </w:pPr>
    <w:rPr>
      <w:position w:val="-1"/>
      <w:sz w:val="52"/>
      <w:szCs w:val="5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next w:val="TableNormal0"/>
    <w:pPr>
      <w:suppressAutoHyphens/>
      <w:ind w:leftChars="-1" w:left="-1" w:hangingChars="1" w:hanging="1"/>
      <w:textDirection w:val="btLr"/>
      <w:textAlignment w:val="top"/>
      <w:outlineLvl w:val="0"/>
    </w:pPr>
    <w:rPr>
      <w:position w:val="-1"/>
    </w:rPr>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Cabealho">
    <w:name w:val="header"/>
    <w:basedOn w:val="Normal"/>
    <w:qFormat/>
    <w:pPr>
      <w:tabs>
        <w:tab w:val="center" w:pos="4252"/>
        <w:tab w:val="right" w:pos="8504"/>
      </w:tabs>
      <w:suppressAutoHyphens/>
      <w:spacing w:line="240" w:lineRule="auto"/>
      <w:ind w:leftChars="-1" w:left="-1" w:hangingChars="1" w:hanging="1"/>
      <w:textDirection w:val="btLr"/>
      <w:textAlignment w:val="top"/>
      <w:outlineLvl w:val="0"/>
    </w:pPr>
    <w:rPr>
      <w:position w:val="-1"/>
    </w:rPr>
  </w:style>
  <w:style w:type="character" w:customStyle="1" w:styleId="CabealhoChar">
    <w:name w:val="Cabeçalho Char"/>
    <w:basedOn w:val="Fontepargpadro"/>
    <w:rPr>
      <w:w w:val="100"/>
      <w:position w:val="-1"/>
      <w:effect w:val="none"/>
      <w:vertAlign w:val="baseline"/>
      <w:cs w:val="0"/>
      <w:em w:val="none"/>
    </w:rPr>
  </w:style>
  <w:style w:type="paragraph" w:styleId="Rodap">
    <w:name w:val="footer"/>
    <w:basedOn w:val="Normal"/>
    <w:qFormat/>
    <w:pPr>
      <w:tabs>
        <w:tab w:val="center" w:pos="4252"/>
        <w:tab w:val="right" w:pos="8504"/>
      </w:tabs>
      <w:suppressAutoHyphens/>
      <w:spacing w:line="240" w:lineRule="auto"/>
      <w:ind w:leftChars="-1" w:left="-1" w:hangingChars="1" w:hanging="1"/>
      <w:textDirection w:val="btLr"/>
      <w:textAlignment w:val="top"/>
      <w:outlineLvl w:val="0"/>
    </w:pPr>
    <w:rPr>
      <w:position w:val="-1"/>
    </w:rPr>
  </w:style>
  <w:style w:type="character" w:customStyle="1" w:styleId="RodapChar">
    <w:name w:val="Rodapé Char"/>
    <w:basedOn w:val="Fontepargpadro"/>
    <w:rPr>
      <w:w w:val="100"/>
      <w:position w:val="-1"/>
      <w:effect w:val="none"/>
      <w:vertAlign w:val="baseline"/>
      <w:cs w:val="0"/>
      <w:em w:val="none"/>
    </w:rPr>
  </w:style>
  <w:style w:type="paragraph" w:styleId="Textodebalo">
    <w:name w:val="Balloon Text"/>
    <w:basedOn w:val="Normal"/>
    <w:link w:val="TextodebaloChar"/>
    <w:uiPriority w:val="99"/>
    <w:semiHidden/>
    <w:unhideWhenUsed/>
    <w:rsid w:val="0018180D"/>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8180D"/>
    <w:rPr>
      <w:rFonts w:ascii="Tahoma" w:hAnsi="Tahoma" w:cs="Tahoma"/>
      <w:sz w:val="16"/>
      <w:szCs w:val="16"/>
    </w:rPr>
  </w:style>
  <w:style w:type="character" w:styleId="Hyperlink">
    <w:name w:val="Hyperlink"/>
    <w:basedOn w:val="Fontepargpadro"/>
    <w:uiPriority w:val="99"/>
    <w:unhideWhenUsed/>
    <w:rsid w:val="0018180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uppressAutoHyphens/>
      <w:spacing w:before="400" w:after="120"/>
      <w:ind w:leftChars="-1" w:left="-1" w:hangingChars="1" w:hanging="1"/>
      <w:textDirection w:val="btLr"/>
      <w:textAlignment w:val="top"/>
      <w:outlineLvl w:val="0"/>
    </w:pPr>
    <w:rPr>
      <w:position w:val="-1"/>
      <w:sz w:val="40"/>
      <w:szCs w:val="40"/>
    </w:rPr>
  </w:style>
  <w:style w:type="paragraph" w:styleId="Ttulo2">
    <w:name w:val="heading 2"/>
    <w:basedOn w:val="Normal"/>
    <w:next w:val="Normal"/>
    <w:qFormat/>
    <w:pPr>
      <w:keepNext/>
      <w:keepLines/>
      <w:suppressAutoHyphens/>
      <w:spacing w:before="360" w:after="120"/>
      <w:ind w:leftChars="-1" w:left="-1" w:hangingChars="1" w:hanging="1"/>
      <w:textDirection w:val="btLr"/>
      <w:textAlignment w:val="top"/>
      <w:outlineLvl w:val="1"/>
    </w:pPr>
    <w:rPr>
      <w:position w:val="-1"/>
      <w:sz w:val="32"/>
      <w:szCs w:val="32"/>
    </w:rPr>
  </w:style>
  <w:style w:type="paragraph" w:styleId="Ttulo3">
    <w:name w:val="heading 3"/>
    <w:basedOn w:val="Normal"/>
    <w:next w:val="Normal"/>
    <w:qFormat/>
    <w:pPr>
      <w:keepNext/>
      <w:keepLines/>
      <w:suppressAutoHyphens/>
      <w:spacing w:before="320" w:after="80"/>
      <w:ind w:leftChars="-1" w:left="-1" w:hangingChars="1" w:hanging="1"/>
      <w:textDirection w:val="btLr"/>
      <w:textAlignment w:val="top"/>
      <w:outlineLvl w:val="2"/>
    </w:pPr>
    <w:rPr>
      <w:color w:val="434343"/>
      <w:position w:val="-1"/>
      <w:sz w:val="28"/>
      <w:szCs w:val="28"/>
    </w:rPr>
  </w:style>
  <w:style w:type="paragraph" w:styleId="Ttulo4">
    <w:name w:val="heading 4"/>
    <w:basedOn w:val="Normal"/>
    <w:next w:val="Normal"/>
    <w:qFormat/>
    <w:pPr>
      <w:keepNext/>
      <w:keepLines/>
      <w:suppressAutoHyphens/>
      <w:spacing w:before="280" w:after="80"/>
      <w:ind w:leftChars="-1" w:left="-1" w:hangingChars="1" w:hanging="1"/>
      <w:textDirection w:val="btLr"/>
      <w:textAlignment w:val="top"/>
      <w:outlineLvl w:val="3"/>
    </w:pPr>
    <w:rPr>
      <w:color w:val="666666"/>
      <w:position w:val="-1"/>
      <w:sz w:val="24"/>
      <w:szCs w:val="24"/>
    </w:rPr>
  </w:style>
  <w:style w:type="paragraph" w:styleId="Ttulo5">
    <w:name w:val="heading 5"/>
    <w:basedOn w:val="Normal"/>
    <w:next w:val="Normal"/>
    <w:qFormat/>
    <w:pPr>
      <w:keepNext/>
      <w:keepLines/>
      <w:suppressAutoHyphens/>
      <w:spacing w:before="240" w:after="80"/>
      <w:ind w:leftChars="-1" w:left="-1" w:hangingChars="1" w:hanging="1"/>
      <w:textDirection w:val="btLr"/>
      <w:textAlignment w:val="top"/>
      <w:outlineLvl w:val="4"/>
    </w:pPr>
    <w:rPr>
      <w:color w:val="666666"/>
      <w:position w:val="-1"/>
    </w:rPr>
  </w:style>
  <w:style w:type="paragraph" w:styleId="Ttulo6">
    <w:name w:val="heading 6"/>
    <w:basedOn w:val="Normal"/>
    <w:next w:val="Normal"/>
    <w:qFormat/>
    <w:pPr>
      <w:keepNext/>
      <w:keepLines/>
      <w:suppressAutoHyphens/>
      <w:spacing w:before="240" w:after="80"/>
      <w:ind w:leftChars="-1" w:left="-1" w:hangingChars="1" w:hanging="1"/>
      <w:textDirection w:val="btLr"/>
      <w:textAlignment w:val="top"/>
      <w:outlineLvl w:val="5"/>
    </w:pPr>
    <w:rPr>
      <w:i/>
      <w:color w:val="666666"/>
      <w:position w:val="-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pPr>
      <w:keepNext/>
      <w:keepLines/>
      <w:suppressAutoHyphens/>
      <w:spacing w:after="60"/>
      <w:ind w:leftChars="-1" w:left="-1" w:hangingChars="1" w:hanging="1"/>
      <w:textDirection w:val="btLr"/>
      <w:textAlignment w:val="top"/>
      <w:outlineLvl w:val="0"/>
    </w:pPr>
    <w:rPr>
      <w:position w:val="-1"/>
      <w:sz w:val="52"/>
      <w:szCs w:val="5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next w:val="TableNormal0"/>
    <w:pPr>
      <w:suppressAutoHyphens/>
      <w:ind w:leftChars="-1" w:left="-1" w:hangingChars="1" w:hanging="1"/>
      <w:textDirection w:val="btLr"/>
      <w:textAlignment w:val="top"/>
      <w:outlineLvl w:val="0"/>
    </w:pPr>
    <w:rPr>
      <w:position w:val="-1"/>
    </w:rPr>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Cabealho">
    <w:name w:val="header"/>
    <w:basedOn w:val="Normal"/>
    <w:qFormat/>
    <w:pPr>
      <w:tabs>
        <w:tab w:val="center" w:pos="4252"/>
        <w:tab w:val="right" w:pos="8504"/>
      </w:tabs>
      <w:suppressAutoHyphens/>
      <w:spacing w:line="240" w:lineRule="auto"/>
      <w:ind w:leftChars="-1" w:left="-1" w:hangingChars="1" w:hanging="1"/>
      <w:textDirection w:val="btLr"/>
      <w:textAlignment w:val="top"/>
      <w:outlineLvl w:val="0"/>
    </w:pPr>
    <w:rPr>
      <w:position w:val="-1"/>
    </w:rPr>
  </w:style>
  <w:style w:type="character" w:customStyle="1" w:styleId="CabealhoChar">
    <w:name w:val="Cabeçalho Char"/>
    <w:basedOn w:val="Fontepargpadro"/>
    <w:rPr>
      <w:w w:val="100"/>
      <w:position w:val="-1"/>
      <w:effect w:val="none"/>
      <w:vertAlign w:val="baseline"/>
      <w:cs w:val="0"/>
      <w:em w:val="none"/>
    </w:rPr>
  </w:style>
  <w:style w:type="paragraph" w:styleId="Rodap">
    <w:name w:val="footer"/>
    <w:basedOn w:val="Normal"/>
    <w:qFormat/>
    <w:pPr>
      <w:tabs>
        <w:tab w:val="center" w:pos="4252"/>
        <w:tab w:val="right" w:pos="8504"/>
      </w:tabs>
      <w:suppressAutoHyphens/>
      <w:spacing w:line="240" w:lineRule="auto"/>
      <w:ind w:leftChars="-1" w:left="-1" w:hangingChars="1" w:hanging="1"/>
      <w:textDirection w:val="btLr"/>
      <w:textAlignment w:val="top"/>
      <w:outlineLvl w:val="0"/>
    </w:pPr>
    <w:rPr>
      <w:position w:val="-1"/>
    </w:rPr>
  </w:style>
  <w:style w:type="character" w:customStyle="1" w:styleId="RodapChar">
    <w:name w:val="Rodapé Char"/>
    <w:basedOn w:val="Fontepargpadro"/>
    <w:rPr>
      <w:w w:val="100"/>
      <w:position w:val="-1"/>
      <w:effect w:val="none"/>
      <w:vertAlign w:val="baseline"/>
      <w:cs w:val="0"/>
      <w:em w:val="none"/>
    </w:rPr>
  </w:style>
  <w:style w:type="paragraph" w:styleId="Textodebalo">
    <w:name w:val="Balloon Text"/>
    <w:basedOn w:val="Normal"/>
    <w:link w:val="TextodebaloChar"/>
    <w:uiPriority w:val="99"/>
    <w:semiHidden/>
    <w:unhideWhenUsed/>
    <w:rsid w:val="0018180D"/>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8180D"/>
    <w:rPr>
      <w:rFonts w:ascii="Tahoma" w:hAnsi="Tahoma" w:cs="Tahoma"/>
      <w:sz w:val="16"/>
      <w:szCs w:val="16"/>
    </w:rPr>
  </w:style>
  <w:style w:type="character" w:styleId="Hyperlink">
    <w:name w:val="Hyperlink"/>
    <w:basedOn w:val="Fontepargpadro"/>
    <w:uiPriority w:val="99"/>
    <w:unhideWhenUsed/>
    <w:rsid w:val="0018180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mailto:mgabrielllaufrn@gmail.com" TargetMode="External"/><Relationship Id="rId2" Type="http://schemas.openxmlformats.org/officeDocument/2006/relationships/hyperlink" Target="mailto:janpierresoares@gmail.com" TargetMode="External"/><Relationship Id="rId1" Type="http://schemas.openxmlformats.org/officeDocument/2006/relationships/hyperlink" Target="mailto:brunasuas@gmail.com" TargetMode="External"/><Relationship Id="rId5" Type="http://schemas.openxmlformats.org/officeDocument/2006/relationships/hyperlink" Target="mailto:roberta.cavv@gmail.com" TargetMode="External"/><Relationship Id="rId4" Type="http://schemas.openxmlformats.org/officeDocument/2006/relationships/hyperlink" Target="mailto:fassanaronaline.pro@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WLz4CTYekfTZJVpKVuiPx3c+w==">CgMxLjAyDmguZ2k4ZGNjemZ1dGcyMg5oLnE5emdhMmFrYWs4bzIOaC5mOGE5d21kb3FpdmcyDmguamZmcHQ4cWdhcGlpMg5oLnUzaWVnYWpibGozdzIOaC5vZmVmNXlxZGN3NzYyDmguZjcwYzRiZ2kzZW82Mg5oLmthaDR0cDFiaWRoejgAciExMzQzMEp5QmU0MnBPSXJ4MEd4bnE3VXhYWUd4eUJjZjI=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2856</Words>
  <Characters>15424</Characters>
  <Application>Microsoft Office Word</Application>
  <DocSecurity>0</DocSecurity>
  <Lines>128</Lines>
  <Paragraphs>36</Paragraphs>
  <ScaleCrop>false</ScaleCrop>
  <Company/>
  <LinksUpToDate>false</LinksUpToDate>
  <CharactersWithSpaces>18244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SETHAS-SUAS</cp:lastModifiedBy>
  <cp:revision>2</cp:revision>
  <dcterms:created xsi:type="dcterms:W3CDTF">2025-02-17T16:43:00Z</dcterms:created>
  <dcterms:modified xsi:type="dcterms:W3CDTF">2025-07-01T14:11:00Z</dcterms:modified>
</cp:coreProperties>
</file>