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209A2C" w14:textId="36505FE8" w:rsidR="00432F48" w:rsidRPr="00305711" w:rsidRDefault="00432F48" w:rsidP="002F3DB5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305711">
        <w:rPr>
          <w:rFonts w:ascii="Arial" w:hAnsi="Arial" w:cs="Arial"/>
          <w:b/>
          <w:bCs/>
        </w:rPr>
        <w:t>ENTRE O VÁCUO NORMATIVO E A JUDICIALIZAÇÃO: A EQUIPARAÇÃO DA LGBTFOBIA AO RACISMO NO BRASIL E OS LIMITES DO JUDICIÁRIO</w:t>
      </w:r>
    </w:p>
    <w:p w14:paraId="1B89D85A" w14:textId="77777777" w:rsidR="00414DE3" w:rsidRPr="00CA6881" w:rsidRDefault="00414DE3" w:rsidP="00414DE3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</w:p>
    <w:p w14:paraId="123DC3D3" w14:textId="77777777" w:rsidR="00414DE3" w:rsidRPr="00CA6881" w:rsidRDefault="00414DE3" w:rsidP="00414DE3">
      <w:pPr>
        <w:spacing w:after="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</w:rPr>
      </w:pPr>
      <w:r w:rsidRPr="00CA6881">
        <w:rPr>
          <w:rFonts w:ascii="Arial" w:eastAsia="Times New Roman" w:hAnsi="Arial" w:cs="Arial"/>
          <w:sz w:val="20"/>
          <w:szCs w:val="20"/>
        </w:rPr>
        <w:t>Cesar Veiga Arruda</w:t>
      </w:r>
      <w:r w:rsidRPr="00CA6881">
        <w:rPr>
          <w:rStyle w:val="Refdenotaderodap"/>
          <w:rFonts w:ascii="Arial" w:eastAsia="Times New Roman" w:hAnsi="Arial" w:cs="Arial"/>
          <w:sz w:val="20"/>
          <w:szCs w:val="20"/>
        </w:rPr>
        <w:footnoteReference w:id="1"/>
      </w:r>
    </w:p>
    <w:p w14:paraId="668E21EF" w14:textId="77777777" w:rsidR="00414DE3" w:rsidRPr="00CA6881" w:rsidRDefault="00414DE3" w:rsidP="00414DE3">
      <w:pPr>
        <w:spacing w:after="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</w:rPr>
      </w:pPr>
      <w:r w:rsidRPr="00CA6881">
        <w:rPr>
          <w:rFonts w:ascii="Arial" w:eastAsia="Times New Roman" w:hAnsi="Arial" w:cs="Arial"/>
          <w:i/>
          <w:iCs/>
          <w:sz w:val="20"/>
          <w:szCs w:val="20"/>
        </w:rPr>
        <w:t>Mestrando em Direito</w:t>
      </w:r>
    </w:p>
    <w:p w14:paraId="75B8B513" w14:textId="77777777" w:rsidR="00414DE3" w:rsidRPr="00CA6881" w:rsidRDefault="00414DE3" w:rsidP="00414DE3">
      <w:pPr>
        <w:spacing w:after="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</w:rPr>
      </w:pPr>
      <w:r w:rsidRPr="00CA6881">
        <w:rPr>
          <w:rFonts w:ascii="Arial" w:eastAsia="Times New Roman" w:hAnsi="Arial" w:cs="Arial"/>
          <w:i/>
          <w:iCs/>
          <w:sz w:val="20"/>
          <w:szCs w:val="20"/>
        </w:rPr>
        <w:t>arrudaveiga@gmail.com</w:t>
      </w:r>
    </w:p>
    <w:p w14:paraId="4A077F48" w14:textId="77777777" w:rsidR="00414DE3" w:rsidRPr="00CA6881" w:rsidRDefault="00414DE3" w:rsidP="00414DE3">
      <w:pPr>
        <w:spacing w:after="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</w:rPr>
      </w:pPr>
      <w:r w:rsidRPr="00CA6881">
        <w:rPr>
          <w:rFonts w:ascii="Arial" w:eastAsia="Times New Roman" w:hAnsi="Arial" w:cs="Arial"/>
          <w:i/>
          <w:iCs/>
          <w:sz w:val="20"/>
          <w:szCs w:val="20"/>
        </w:rPr>
        <w:t xml:space="preserve">Universidade </w:t>
      </w:r>
      <w:proofErr w:type="spellStart"/>
      <w:r w:rsidRPr="00CA6881">
        <w:rPr>
          <w:rFonts w:ascii="Arial" w:eastAsia="Times New Roman" w:hAnsi="Arial" w:cs="Arial"/>
          <w:i/>
          <w:iCs/>
          <w:sz w:val="20"/>
          <w:szCs w:val="20"/>
        </w:rPr>
        <w:t>Ceuma</w:t>
      </w:r>
      <w:proofErr w:type="spellEnd"/>
    </w:p>
    <w:p w14:paraId="1CAABDDB" w14:textId="77777777" w:rsidR="00414DE3" w:rsidRPr="00CA6881" w:rsidRDefault="00414DE3" w:rsidP="00414DE3">
      <w:pPr>
        <w:spacing w:after="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</w:rPr>
      </w:pPr>
    </w:p>
    <w:p w14:paraId="5D424616" w14:textId="77777777" w:rsidR="00414DE3" w:rsidRPr="00CA6881" w:rsidRDefault="00414DE3" w:rsidP="00414DE3">
      <w:pPr>
        <w:spacing w:after="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</w:rPr>
      </w:pPr>
      <w:r w:rsidRPr="00CA6881">
        <w:rPr>
          <w:rFonts w:ascii="Arial" w:eastAsia="Times New Roman" w:hAnsi="Arial" w:cs="Arial"/>
          <w:i/>
          <w:iCs/>
          <w:sz w:val="20"/>
          <w:szCs w:val="20"/>
        </w:rPr>
        <w:t>Fabiano Ferreira de Aragão</w:t>
      </w:r>
      <w:r w:rsidRPr="00CA6881">
        <w:rPr>
          <w:rStyle w:val="Refdenotaderodap"/>
          <w:rFonts w:ascii="Arial" w:eastAsia="Times New Roman" w:hAnsi="Arial" w:cs="Arial"/>
          <w:sz w:val="20"/>
          <w:szCs w:val="20"/>
        </w:rPr>
        <w:footnoteReference w:id="2"/>
      </w:r>
    </w:p>
    <w:p w14:paraId="5287976D" w14:textId="77777777" w:rsidR="00414DE3" w:rsidRPr="00CA6881" w:rsidRDefault="00414DE3" w:rsidP="00414DE3">
      <w:pPr>
        <w:spacing w:after="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</w:rPr>
      </w:pPr>
      <w:r w:rsidRPr="00CA6881">
        <w:rPr>
          <w:rFonts w:ascii="Arial" w:eastAsia="Times New Roman" w:hAnsi="Arial" w:cs="Arial"/>
          <w:i/>
          <w:iCs/>
          <w:sz w:val="20"/>
          <w:szCs w:val="20"/>
        </w:rPr>
        <w:t>Mestrando em Direito</w:t>
      </w:r>
    </w:p>
    <w:p w14:paraId="36C91DD8" w14:textId="77777777" w:rsidR="00414DE3" w:rsidRPr="00CA6881" w:rsidRDefault="00414DE3" w:rsidP="00414DE3">
      <w:pPr>
        <w:spacing w:after="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</w:rPr>
      </w:pPr>
      <w:r w:rsidRPr="00CA6881">
        <w:rPr>
          <w:rFonts w:ascii="Arial" w:eastAsia="Times New Roman" w:hAnsi="Arial" w:cs="Arial"/>
          <w:i/>
          <w:iCs/>
          <w:sz w:val="20"/>
          <w:szCs w:val="20"/>
        </w:rPr>
        <w:t>fabianoaragao@gmail.com</w:t>
      </w:r>
    </w:p>
    <w:p w14:paraId="5C8ABADD" w14:textId="77777777" w:rsidR="00414DE3" w:rsidRPr="00CA6881" w:rsidRDefault="00414DE3" w:rsidP="00414DE3">
      <w:pPr>
        <w:spacing w:after="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</w:rPr>
      </w:pPr>
      <w:r w:rsidRPr="00CA6881">
        <w:rPr>
          <w:rFonts w:ascii="Arial" w:eastAsia="Times New Roman" w:hAnsi="Arial" w:cs="Arial"/>
          <w:i/>
          <w:iCs/>
          <w:sz w:val="20"/>
          <w:szCs w:val="20"/>
        </w:rPr>
        <w:t xml:space="preserve">Universidade </w:t>
      </w:r>
      <w:proofErr w:type="spellStart"/>
      <w:r w:rsidRPr="00CA6881">
        <w:rPr>
          <w:rFonts w:ascii="Arial" w:eastAsia="Times New Roman" w:hAnsi="Arial" w:cs="Arial"/>
          <w:i/>
          <w:iCs/>
          <w:sz w:val="20"/>
          <w:szCs w:val="20"/>
        </w:rPr>
        <w:t>Ceuma</w:t>
      </w:r>
      <w:proofErr w:type="spellEnd"/>
    </w:p>
    <w:p w14:paraId="512F907E" w14:textId="77777777" w:rsidR="00414DE3" w:rsidRPr="00CA6881" w:rsidRDefault="00414DE3" w:rsidP="00414DE3">
      <w:pPr>
        <w:spacing w:after="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</w:rPr>
      </w:pPr>
    </w:p>
    <w:p w14:paraId="7B856B8C" w14:textId="77777777" w:rsidR="00414DE3" w:rsidRPr="00CA6881" w:rsidRDefault="00414DE3" w:rsidP="00414DE3">
      <w:pPr>
        <w:spacing w:after="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</w:rPr>
      </w:pPr>
      <w:bookmarkStart w:id="0" w:name="_GoBack"/>
      <w:bookmarkEnd w:id="0"/>
    </w:p>
    <w:p w14:paraId="1FB7F3D6" w14:textId="2AF70313" w:rsidR="00464220" w:rsidRPr="00CA6881" w:rsidRDefault="00464220" w:rsidP="0048479C">
      <w:pPr>
        <w:spacing w:after="0" w:line="240" w:lineRule="auto"/>
        <w:ind w:left="2835"/>
        <w:rPr>
          <w:rFonts w:ascii="Arial" w:hAnsi="Arial" w:cs="Arial"/>
          <w:b/>
          <w:bCs/>
          <w:sz w:val="20"/>
          <w:szCs w:val="20"/>
        </w:rPr>
      </w:pPr>
      <w:r w:rsidRPr="00CA6881">
        <w:rPr>
          <w:rFonts w:ascii="Arial" w:hAnsi="Arial" w:cs="Arial"/>
          <w:b/>
          <w:bCs/>
          <w:sz w:val="20"/>
          <w:szCs w:val="20"/>
        </w:rPr>
        <w:t>R</w:t>
      </w:r>
      <w:r w:rsidR="0048479C" w:rsidRPr="00CA6881">
        <w:rPr>
          <w:rFonts w:ascii="Arial" w:hAnsi="Arial" w:cs="Arial"/>
          <w:b/>
          <w:bCs/>
          <w:sz w:val="20"/>
          <w:szCs w:val="20"/>
        </w:rPr>
        <w:t>esumo</w:t>
      </w:r>
    </w:p>
    <w:p w14:paraId="4B6E44EE" w14:textId="5EC9C803" w:rsidR="00A64CA8" w:rsidRPr="00A535A1" w:rsidRDefault="005D1550" w:rsidP="0048479C">
      <w:pPr>
        <w:spacing w:after="0" w:line="240" w:lineRule="auto"/>
        <w:ind w:left="2835"/>
        <w:jc w:val="both"/>
        <w:rPr>
          <w:rFonts w:ascii="Arial" w:hAnsi="Arial" w:cs="Arial"/>
          <w:sz w:val="20"/>
          <w:szCs w:val="20"/>
        </w:rPr>
      </w:pPr>
      <w:r w:rsidRPr="00CA6881">
        <w:rPr>
          <w:rFonts w:ascii="Arial" w:hAnsi="Arial" w:cs="Arial"/>
          <w:sz w:val="20"/>
          <w:szCs w:val="20"/>
        </w:rPr>
        <w:t>A partir da omissão legislativa na criminalização de condutas</w:t>
      </w:r>
      <w:r w:rsidRPr="00A535A1">
        <w:rPr>
          <w:rFonts w:ascii="Arial" w:hAnsi="Arial" w:cs="Arial"/>
          <w:sz w:val="20"/>
          <w:szCs w:val="20"/>
        </w:rPr>
        <w:t xml:space="preserve"> LGBTfóbicas, o Supremo Tribunal Federal decidiu, nas ações ADO 26/DF e MI 4.733/DF, equiparar tais práticas ao crime de racismo. O presente estudo analisa criticamente essa atuação judicial à luz dos limites constitucionais do ativismo em matéria penal. Parte-se da hipótese de que, embora voltada à proteção de direitos fundamentais, a decisão tensiona o princípio da legalidade penal e pode configurar uma jurisdição simbólica de baixa efetividade prática. O objetivo é examinar os fundamentos da decisão, os seus impactos normativos e os riscos institucionais que dela decorrem. Adota-se abordagem indutiva, com método de procedimento sociojurídico crítico e diagnóstico institucional. A pesquisa utiliza técnicas bibliográfica e documental, com base em obras jurídicas, acórdãos e documentos institucionais, permitindo uma triangulação de fontes que qualifica a análise e fortalece as conclusões do estudo</w:t>
      </w:r>
      <w:r w:rsidR="0048479C" w:rsidRPr="00A535A1">
        <w:rPr>
          <w:rFonts w:ascii="Arial" w:hAnsi="Arial" w:cs="Arial"/>
          <w:sz w:val="20"/>
          <w:szCs w:val="20"/>
        </w:rPr>
        <w:t>.</w:t>
      </w:r>
    </w:p>
    <w:p w14:paraId="723D70C0" w14:textId="5A1B0E09" w:rsidR="00464220" w:rsidRPr="00A535A1" w:rsidRDefault="00464220" w:rsidP="0048479C">
      <w:pPr>
        <w:spacing w:after="0" w:line="240" w:lineRule="auto"/>
        <w:ind w:left="2835"/>
        <w:jc w:val="both"/>
        <w:rPr>
          <w:rFonts w:ascii="Arial" w:hAnsi="Arial" w:cs="Arial"/>
          <w:sz w:val="20"/>
          <w:szCs w:val="20"/>
        </w:rPr>
      </w:pPr>
      <w:r w:rsidRPr="00A535A1">
        <w:rPr>
          <w:rFonts w:ascii="Arial" w:hAnsi="Arial" w:cs="Arial"/>
          <w:b/>
          <w:bCs/>
          <w:sz w:val="20"/>
          <w:szCs w:val="20"/>
        </w:rPr>
        <w:t>P</w:t>
      </w:r>
      <w:r w:rsidR="0048479C" w:rsidRPr="00A535A1">
        <w:rPr>
          <w:rFonts w:ascii="Arial" w:hAnsi="Arial" w:cs="Arial"/>
          <w:b/>
          <w:bCs/>
          <w:sz w:val="20"/>
          <w:szCs w:val="20"/>
        </w:rPr>
        <w:t>alavras</w:t>
      </w:r>
      <w:r w:rsidRPr="00A535A1">
        <w:rPr>
          <w:rFonts w:ascii="Arial" w:hAnsi="Arial" w:cs="Arial"/>
          <w:b/>
          <w:bCs/>
          <w:sz w:val="20"/>
          <w:szCs w:val="20"/>
        </w:rPr>
        <w:t>-</w:t>
      </w:r>
      <w:r w:rsidR="008C7AFF">
        <w:rPr>
          <w:rFonts w:ascii="Arial" w:hAnsi="Arial" w:cs="Arial"/>
          <w:b/>
          <w:bCs/>
          <w:sz w:val="20"/>
          <w:szCs w:val="20"/>
        </w:rPr>
        <w:t>c</w:t>
      </w:r>
      <w:r w:rsidR="0048479C" w:rsidRPr="00A535A1">
        <w:rPr>
          <w:rFonts w:ascii="Arial" w:hAnsi="Arial" w:cs="Arial"/>
          <w:b/>
          <w:bCs/>
          <w:sz w:val="20"/>
          <w:szCs w:val="20"/>
        </w:rPr>
        <w:t>have</w:t>
      </w:r>
      <w:r w:rsidRPr="00A535A1">
        <w:rPr>
          <w:rFonts w:ascii="Arial" w:hAnsi="Arial" w:cs="Arial"/>
          <w:b/>
          <w:bCs/>
          <w:sz w:val="20"/>
          <w:szCs w:val="20"/>
        </w:rPr>
        <w:t xml:space="preserve">: </w:t>
      </w:r>
      <w:r w:rsidR="0082389A" w:rsidRPr="00A535A1">
        <w:rPr>
          <w:rFonts w:ascii="Arial" w:hAnsi="Arial" w:cs="Arial"/>
          <w:sz w:val="20"/>
          <w:szCs w:val="20"/>
        </w:rPr>
        <w:t>homotransfobia; racismo; ativismo judicial.</w:t>
      </w:r>
    </w:p>
    <w:p w14:paraId="6A82506E" w14:textId="77777777" w:rsidR="00963EA1" w:rsidRPr="00A535A1" w:rsidRDefault="00963EA1" w:rsidP="0048479C">
      <w:pPr>
        <w:spacing w:after="0" w:line="240" w:lineRule="auto"/>
        <w:ind w:left="2835"/>
        <w:jc w:val="both"/>
        <w:rPr>
          <w:rFonts w:ascii="Arial" w:hAnsi="Arial" w:cs="Arial"/>
          <w:sz w:val="20"/>
          <w:szCs w:val="20"/>
        </w:rPr>
      </w:pPr>
    </w:p>
    <w:p w14:paraId="5633D6B3" w14:textId="6819BC33" w:rsidR="00963EA1" w:rsidRPr="00A535A1" w:rsidRDefault="00963EA1" w:rsidP="0048479C">
      <w:pPr>
        <w:spacing w:after="0" w:line="240" w:lineRule="auto"/>
        <w:ind w:left="2835"/>
        <w:jc w:val="both"/>
        <w:rPr>
          <w:rFonts w:ascii="Arial" w:hAnsi="Arial" w:cs="Arial"/>
          <w:b/>
          <w:bCs/>
          <w:sz w:val="20"/>
          <w:szCs w:val="20"/>
        </w:rPr>
      </w:pPr>
      <w:r w:rsidRPr="00A535A1">
        <w:rPr>
          <w:rFonts w:ascii="Arial" w:hAnsi="Arial" w:cs="Arial"/>
          <w:b/>
          <w:bCs/>
          <w:sz w:val="20"/>
          <w:szCs w:val="20"/>
        </w:rPr>
        <w:t>A</w:t>
      </w:r>
      <w:r w:rsidR="0048479C" w:rsidRPr="00A535A1">
        <w:rPr>
          <w:rFonts w:ascii="Arial" w:hAnsi="Arial" w:cs="Arial"/>
          <w:b/>
          <w:bCs/>
          <w:sz w:val="20"/>
          <w:szCs w:val="20"/>
        </w:rPr>
        <w:t>bstract</w:t>
      </w:r>
    </w:p>
    <w:p w14:paraId="385A2E9B" w14:textId="3606FBC3" w:rsidR="00963EA1" w:rsidRPr="00A535A1" w:rsidRDefault="00963EA1" w:rsidP="0048479C">
      <w:pPr>
        <w:spacing w:after="0" w:line="240" w:lineRule="auto"/>
        <w:ind w:left="2835"/>
        <w:jc w:val="both"/>
        <w:rPr>
          <w:rFonts w:ascii="Arial" w:hAnsi="Arial" w:cs="Arial"/>
          <w:sz w:val="20"/>
          <w:szCs w:val="20"/>
        </w:rPr>
      </w:pPr>
      <w:proofErr w:type="spellStart"/>
      <w:r w:rsidRPr="00A535A1">
        <w:rPr>
          <w:rFonts w:ascii="Arial" w:hAnsi="Arial" w:cs="Arial"/>
          <w:sz w:val="20"/>
          <w:szCs w:val="20"/>
        </w:rPr>
        <w:t>Due</w:t>
      </w:r>
      <w:proofErr w:type="spellEnd"/>
      <w:r w:rsidRPr="00A535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35A1">
        <w:rPr>
          <w:rFonts w:ascii="Arial" w:hAnsi="Arial" w:cs="Arial"/>
          <w:sz w:val="20"/>
          <w:szCs w:val="20"/>
        </w:rPr>
        <w:t>to</w:t>
      </w:r>
      <w:proofErr w:type="spellEnd"/>
      <w:r w:rsidRPr="00A535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35A1">
        <w:rPr>
          <w:rFonts w:ascii="Arial" w:hAnsi="Arial" w:cs="Arial"/>
          <w:sz w:val="20"/>
          <w:szCs w:val="20"/>
        </w:rPr>
        <w:t>the</w:t>
      </w:r>
      <w:proofErr w:type="spellEnd"/>
      <w:r w:rsidRPr="00A535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35A1">
        <w:rPr>
          <w:rFonts w:ascii="Arial" w:hAnsi="Arial" w:cs="Arial"/>
          <w:sz w:val="20"/>
          <w:szCs w:val="20"/>
        </w:rPr>
        <w:t>legislative</w:t>
      </w:r>
      <w:proofErr w:type="spellEnd"/>
      <w:r w:rsidRPr="00A535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35A1">
        <w:rPr>
          <w:rFonts w:ascii="Arial" w:hAnsi="Arial" w:cs="Arial"/>
          <w:sz w:val="20"/>
          <w:szCs w:val="20"/>
        </w:rPr>
        <w:t>omission</w:t>
      </w:r>
      <w:proofErr w:type="spellEnd"/>
      <w:r w:rsidRPr="00A535A1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A535A1">
        <w:rPr>
          <w:rFonts w:ascii="Arial" w:hAnsi="Arial" w:cs="Arial"/>
          <w:sz w:val="20"/>
          <w:szCs w:val="20"/>
        </w:rPr>
        <w:t>criminalizing</w:t>
      </w:r>
      <w:proofErr w:type="spellEnd"/>
      <w:r w:rsidRPr="00A535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35A1">
        <w:rPr>
          <w:rFonts w:ascii="Arial" w:hAnsi="Arial" w:cs="Arial"/>
          <w:sz w:val="20"/>
          <w:szCs w:val="20"/>
        </w:rPr>
        <w:t>LGBTphobic</w:t>
      </w:r>
      <w:proofErr w:type="spellEnd"/>
      <w:r w:rsidRPr="00A535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35A1">
        <w:rPr>
          <w:rFonts w:ascii="Arial" w:hAnsi="Arial" w:cs="Arial"/>
          <w:sz w:val="20"/>
          <w:szCs w:val="20"/>
        </w:rPr>
        <w:t>behavior</w:t>
      </w:r>
      <w:proofErr w:type="spellEnd"/>
      <w:r w:rsidRPr="00A535A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535A1">
        <w:rPr>
          <w:rFonts w:ascii="Arial" w:hAnsi="Arial" w:cs="Arial"/>
          <w:sz w:val="20"/>
          <w:szCs w:val="20"/>
        </w:rPr>
        <w:t>the</w:t>
      </w:r>
      <w:proofErr w:type="spellEnd"/>
      <w:r w:rsidRPr="00A535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35A1">
        <w:rPr>
          <w:rFonts w:ascii="Arial" w:hAnsi="Arial" w:cs="Arial"/>
          <w:sz w:val="20"/>
          <w:szCs w:val="20"/>
        </w:rPr>
        <w:t>Supreme</w:t>
      </w:r>
      <w:proofErr w:type="spellEnd"/>
      <w:r w:rsidRPr="00A535A1">
        <w:rPr>
          <w:rFonts w:ascii="Arial" w:hAnsi="Arial" w:cs="Arial"/>
          <w:sz w:val="20"/>
          <w:szCs w:val="20"/>
        </w:rPr>
        <w:t xml:space="preserve"> Federal </w:t>
      </w:r>
      <w:proofErr w:type="spellStart"/>
      <w:r w:rsidRPr="00A535A1">
        <w:rPr>
          <w:rFonts w:ascii="Arial" w:hAnsi="Arial" w:cs="Arial"/>
          <w:sz w:val="20"/>
          <w:szCs w:val="20"/>
        </w:rPr>
        <w:t>Court</w:t>
      </w:r>
      <w:proofErr w:type="spellEnd"/>
      <w:r w:rsidRPr="00A535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35A1">
        <w:rPr>
          <w:rFonts w:ascii="Arial" w:hAnsi="Arial" w:cs="Arial"/>
          <w:sz w:val="20"/>
          <w:szCs w:val="20"/>
        </w:rPr>
        <w:t>decided</w:t>
      </w:r>
      <w:proofErr w:type="spellEnd"/>
      <w:r w:rsidRPr="00A535A1">
        <w:rPr>
          <w:rFonts w:ascii="Arial" w:hAnsi="Arial" w:cs="Arial"/>
          <w:sz w:val="20"/>
          <w:szCs w:val="20"/>
        </w:rPr>
        <w:t xml:space="preserve">, in </w:t>
      </w:r>
      <w:proofErr w:type="spellStart"/>
      <w:r w:rsidRPr="00A535A1">
        <w:rPr>
          <w:rFonts w:ascii="Arial" w:hAnsi="Arial" w:cs="Arial"/>
          <w:sz w:val="20"/>
          <w:szCs w:val="20"/>
        </w:rPr>
        <w:t>actions</w:t>
      </w:r>
      <w:proofErr w:type="spellEnd"/>
      <w:r w:rsidRPr="00A535A1">
        <w:rPr>
          <w:rFonts w:ascii="Arial" w:hAnsi="Arial" w:cs="Arial"/>
          <w:sz w:val="20"/>
          <w:szCs w:val="20"/>
        </w:rPr>
        <w:t xml:space="preserve"> ADO 26/DF </w:t>
      </w:r>
      <w:proofErr w:type="spellStart"/>
      <w:r w:rsidRPr="00A535A1">
        <w:rPr>
          <w:rFonts w:ascii="Arial" w:hAnsi="Arial" w:cs="Arial"/>
          <w:sz w:val="20"/>
          <w:szCs w:val="20"/>
        </w:rPr>
        <w:t>and</w:t>
      </w:r>
      <w:proofErr w:type="spellEnd"/>
      <w:r w:rsidRPr="00A535A1">
        <w:rPr>
          <w:rFonts w:ascii="Arial" w:hAnsi="Arial" w:cs="Arial"/>
          <w:sz w:val="20"/>
          <w:szCs w:val="20"/>
        </w:rPr>
        <w:t xml:space="preserve"> MI 4.733/DF, </w:t>
      </w:r>
      <w:proofErr w:type="spellStart"/>
      <w:r w:rsidRPr="00A535A1">
        <w:rPr>
          <w:rFonts w:ascii="Arial" w:hAnsi="Arial" w:cs="Arial"/>
          <w:sz w:val="20"/>
          <w:szCs w:val="20"/>
        </w:rPr>
        <w:t>to</w:t>
      </w:r>
      <w:proofErr w:type="spellEnd"/>
      <w:r w:rsidRPr="00A535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35A1">
        <w:rPr>
          <w:rFonts w:ascii="Arial" w:hAnsi="Arial" w:cs="Arial"/>
          <w:sz w:val="20"/>
          <w:szCs w:val="20"/>
        </w:rPr>
        <w:t>equate</w:t>
      </w:r>
      <w:proofErr w:type="spellEnd"/>
      <w:r w:rsidRPr="00A535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35A1">
        <w:rPr>
          <w:rFonts w:ascii="Arial" w:hAnsi="Arial" w:cs="Arial"/>
          <w:sz w:val="20"/>
          <w:szCs w:val="20"/>
        </w:rPr>
        <w:t>such</w:t>
      </w:r>
      <w:proofErr w:type="spellEnd"/>
      <w:r w:rsidRPr="00A535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35A1">
        <w:rPr>
          <w:rFonts w:ascii="Arial" w:hAnsi="Arial" w:cs="Arial"/>
          <w:sz w:val="20"/>
          <w:szCs w:val="20"/>
        </w:rPr>
        <w:t>practices</w:t>
      </w:r>
      <w:proofErr w:type="spellEnd"/>
      <w:r w:rsidRPr="00A535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35A1">
        <w:rPr>
          <w:rFonts w:ascii="Arial" w:hAnsi="Arial" w:cs="Arial"/>
          <w:sz w:val="20"/>
          <w:szCs w:val="20"/>
        </w:rPr>
        <w:t>with</w:t>
      </w:r>
      <w:proofErr w:type="spellEnd"/>
      <w:r w:rsidRPr="00A535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35A1">
        <w:rPr>
          <w:rFonts w:ascii="Arial" w:hAnsi="Arial" w:cs="Arial"/>
          <w:sz w:val="20"/>
          <w:szCs w:val="20"/>
        </w:rPr>
        <w:t>the</w:t>
      </w:r>
      <w:proofErr w:type="spellEnd"/>
      <w:r w:rsidRPr="00A535A1">
        <w:rPr>
          <w:rFonts w:ascii="Arial" w:hAnsi="Arial" w:cs="Arial"/>
          <w:sz w:val="20"/>
          <w:szCs w:val="20"/>
        </w:rPr>
        <w:t xml:space="preserve"> crime </w:t>
      </w:r>
      <w:proofErr w:type="spellStart"/>
      <w:r w:rsidRPr="00A535A1">
        <w:rPr>
          <w:rFonts w:ascii="Arial" w:hAnsi="Arial" w:cs="Arial"/>
          <w:sz w:val="20"/>
          <w:szCs w:val="20"/>
        </w:rPr>
        <w:t>of</w:t>
      </w:r>
      <w:proofErr w:type="spellEnd"/>
      <w:r w:rsidRPr="00A535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35A1">
        <w:rPr>
          <w:rFonts w:ascii="Arial" w:hAnsi="Arial" w:cs="Arial"/>
          <w:sz w:val="20"/>
          <w:szCs w:val="20"/>
        </w:rPr>
        <w:t>racism</w:t>
      </w:r>
      <w:proofErr w:type="spellEnd"/>
      <w:r w:rsidRPr="00A535A1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A535A1">
        <w:rPr>
          <w:rFonts w:ascii="Arial" w:hAnsi="Arial" w:cs="Arial"/>
          <w:sz w:val="20"/>
          <w:szCs w:val="20"/>
        </w:rPr>
        <w:t>This</w:t>
      </w:r>
      <w:proofErr w:type="spellEnd"/>
      <w:r w:rsidRPr="00A535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35A1">
        <w:rPr>
          <w:rFonts w:ascii="Arial" w:hAnsi="Arial" w:cs="Arial"/>
          <w:sz w:val="20"/>
          <w:szCs w:val="20"/>
        </w:rPr>
        <w:t>study</w:t>
      </w:r>
      <w:proofErr w:type="spellEnd"/>
      <w:r w:rsidRPr="00A535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35A1">
        <w:rPr>
          <w:rFonts w:ascii="Arial" w:hAnsi="Arial" w:cs="Arial"/>
          <w:sz w:val="20"/>
          <w:szCs w:val="20"/>
        </w:rPr>
        <w:t>critically</w:t>
      </w:r>
      <w:proofErr w:type="spellEnd"/>
      <w:r w:rsidRPr="00A535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35A1">
        <w:rPr>
          <w:rFonts w:ascii="Arial" w:hAnsi="Arial" w:cs="Arial"/>
          <w:sz w:val="20"/>
          <w:szCs w:val="20"/>
        </w:rPr>
        <w:t>analyzes</w:t>
      </w:r>
      <w:proofErr w:type="spellEnd"/>
      <w:r w:rsidRPr="00A535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35A1">
        <w:rPr>
          <w:rFonts w:ascii="Arial" w:hAnsi="Arial" w:cs="Arial"/>
          <w:sz w:val="20"/>
          <w:szCs w:val="20"/>
        </w:rPr>
        <w:t>this</w:t>
      </w:r>
      <w:proofErr w:type="spellEnd"/>
      <w:r w:rsidRPr="00A535A1">
        <w:rPr>
          <w:rFonts w:ascii="Arial" w:hAnsi="Arial" w:cs="Arial"/>
          <w:sz w:val="20"/>
          <w:szCs w:val="20"/>
        </w:rPr>
        <w:t xml:space="preserve"> judicial </w:t>
      </w:r>
      <w:proofErr w:type="spellStart"/>
      <w:r w:rsidRPr="00A535A1">
        <w:rPr>
          <w:rFonts w:ascii="Arial" w:hAnsi="Arial" w:cs="Arial"/>
          <w:sz w:val="20"/>
          <w:szCs w:val="20"/>
        </w:rPr>
        <w:t>action</w:t>
      </w:r>
      <w:proofErr w:type="spellEnd"/>
      <w:r w:rsidRPr="00A535A1">
        <w:rPr>
          <w:rFonts w:ascii="Arial" w:hAnsi="Arial" w:cs="Arial"/>
          <w:sz w:val="20"/>
          <w:szCs w:val="20"/>
        </w:rPr>
        <w:t xml:space="preserve"> in light </w:t>
      </w:r>
      <w:proofErr w:type="spellStart"/>
      <w:r w:rsidRPr="00A535A1">
        <w:rPr>
          <w:rFonts w:ascii="Arial" w:hAnsi="Arial" w:cs="Arial"/>
          <w:sz w:val="20"/>
          <w:szCs w:val="20"/>
        </w:rPr>
        <w:t>of</w:t>
      </w:r>
      <w:proofErr w:type="spellEnd"/>
      <w:r w:rsidRPr="00A535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35A1">
        <w:rPr>
          <w:rFonts w:ascii="Arial" w:hAnsi="Arial" w:cs="Arial"/>
          <w:sz w:val="20"/>
          <w:szCs w:val="20"/>
        </w:rPr>
        <w:t>the</w:t>
      </w:r>
      <w:proofErr w:type="spellEnd"/>
      <w:r w:rsidRPr="00A535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35A1">
        <w:rPr>
          <w:rFonts w:ascii="Arial" w:hAnsi="Arial" w:cs="Arial"/>
          <w:sz w:val="20"/>
          <w:szCs w:val="20"/>
        </w:rPr>
        <w:t>constitutional</w:t>
      </w:r>
      <w:proofErr w:type="spellEnd"/>
      <w:r w:rsidRPr="00A535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35A1">
        <w:rPr>
          <w:rFonts w:ascii="Arial" w:hAnsi="Arial" w:cs="Arial"/>
          <w:sz w:val="20"/>
          <w:szCs w:val="20"/>
        </w:rPr>
        <w:t>limits</w:t>
      </w:r>
      <w:proofErr w:type="spellEnd"/>
      <w:r w:rsidRPr="00A535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35A1">
        <w:rPr>
          <w:rFonts w:ascii="Arial" w:hAnsi="Arial" w:cs="Arial"/>
          <w:sz w:val="20"/>
          <w:szCs w:val="20"/>
        </w:rPr>
        <w:t>of</w:t>
      </w:r>
      <w:proofErr w:type="spellEnd"/>
      <w:r w:rsidRPr="00A535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35A1">
        <w:rPr>
          <w:rFonts w:ascii="Arial" w:hAnsi="Arial" w:cs="Arial"/>
          <w:sz w:val="20"/>
          <w:szCs w:val="20"/>
        </w:rPr>
        <w:t>activism</w:t>
      </w:r>
      <w:proofErr w:type="spellEnd"/>
      <w:r w:rsidRPr="00A535A1">
        <w:rPr>
          <w:rFonts w:ascii="Arial" w:hAnsi="Arial" w:cs="Arial"/>
          <w:sz w:val="20"/>
          <w:szCs w:val="20"/>
        </w:rPr>
        <w:t xml:space="preserve"> in criminal </w:t>
      </w:r>
      <w:proofErr w:type="spellStart"/>
      <w:r w:rsidRPr="00A535A1">
        <w:rPr>
          <w:rFonts w:ascii="Arial" w:hAnsi="Arial" w:cs="Arial"/>
          <w:sz w:val="20"/>
          <w:szCs w:val="20"/>
        </w:rPr>
        <w:t>matters</w:t>
      </w:r>
      <w:proofErr w:type="spellEnd"/>
      <w:r w:rsidRPr="00A535A1">
        <w:rPr>
          <w:rFonts w:ascii="Arial" w:hAnsi="Arial" w:cs="Arial"/>
          <w:sz w:val="20"/>
          <w:szCs w:val="20"/>
        </w:rPr>
        <w:t xml:space="preserve">. It </w:t>
      </w:r>
      <w:proofErr w:type="spellStart"/>
      <w:r w:rsidRPr="00A535A1">
        <w:rPr>
          <w:rFonts w:ascii="Arial" w:hAnsi="Arial" w:cs="Arial"/>
          <w:sz w:val="20"/>
          <w:szCs w:val="20"/>
        </w:rPr>
        <w:t>is</w:t>
      </w:r>
      <w:proofErr w:type="spellEnd"/>
      <w:r w:rsidRPr="00A535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35A1">
        <w:rPr>
          <w:rFonts w:ascii="Arial" w:hAnsi="Arial" w:cs="Arial"/>
          <w:sz w:val="20"/>
          <w:szCs w:val="20"/>
        </w:rPr>
        <w:t>based</w:t>
      </w:r>
      <w:proofErr w:type="spellEnd"/>
      <w:r w:rsidRPr="00A535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35A1">
        <w:rPr>
          <w:rFonts w:ascii="Arial" w:hAnsi="Arial" w:cs="Arial"/>
          <w:sz w:val="20"/>
          <w:szCs w:val="20"/>
        </w:rPr>
        <w:t>on</w:t>
      </w:r>
      <w:proofErr w:type="spellEnd"/>
      <w:r w:rsidRPr="00A535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35A1">
        <w:rPr>
          <w:rFonts w:ascii="Arial" w:hAnsi="Arial" w:cs="Arial"/>
          <w:sz w:val="20"/>
          <w:szCs w:val="20"/>
        </w:rPr>
        <w:t>the</w:t>
      </w:r>
      <w:proofErr w:type="spellEnd"/>
      <w:r w:rsidRPr="00A535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35A1">
        <w:rPr>
          <w:rFonts w:ascii="Arial" w:hAnsi="Arial" w:cs="Arial"/>
          <w:sz w:val="20"/>
          <w:szCs w:val="20"/>
        </w:rPr>
        <w:t>hypothesis</w:t>
      </w:r>
      <w:proofErr w:type="spellEnd"/>
      <w:r w:rsidRPr="00A535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35A1">
        <w:rPr>
          <w:rFonts w:ascii="Arial" w:hAnsi="Arial" w:cs="Arial"/>
          <w:sz w:val="20"/>
          <w:szCs w:val="20"/>
        </w:rPr>
        <w:t>that</w:t>
      </w:r>
      <w:proofErr w:type="spellEnd"/>
      <w:r w:rsidRPr="00A535A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535A1">
        <w:rPr>
          <w:rFonts w:ascii="Arial" w:hAnsi="Arial" w:cs="Arial"/>
          <w:sz w:val="20"/>
          <w:szCs w:val="20"/>
        </w:rPr>
        <w:t>although</w:t>
      </w:r>
      <w:proofErr w:type="spellEnd"/>
      <w:r w:rsidRPr="00A535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35A1">
        <w:rPr>
          <w:rFonts w:ascii="Arial" w:hAnsi="Arial" w:cs="Arial"/>
          <w:sz w:val="20"/>
          <w:szCs w:val="20"/>
        </w:rPr>
        <w:t>aimed</w:t>
      </w:r>
      <w:proofErr w:type="spellEnd"/>
      <w:r w:rsidRPr="00A535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35A1">
        <w:rPr>
          <w:rFonts w:ascii="Arial" w:hAnsi="Arial" w:cs="Arial"/>
          <w:sz w:val="20"/>
          <w:szCs w:val="20"/>
        </w:rPr>
        <w:t>at</w:t>
      </w:r>
      <w:proofErr w:type="spellEnd"/>
      <w:r w:rsidRPr="00A535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35A1">
        <w:rPr>
          <w:rFonts w:ascii="Arial" w:hAnsi="Arial" w:cs="Arial"/>
          <w:sz w:val="20"/>
          <w:szCs w:val="20"/>
        </w:rPr>
        <w:t>protecting</w:t>
      </w:r>
      <w:proofErr w:type="spellEnd"/>
      <w:r w:rsidRPr="00A535A1">
        <w:rPr>
          <w:rFonts w:ascii="Arial" w:hAnsi="Arial" w:cs="Arial"/>
          <w:sz w:val="20"/>
          <w:szCs w:val="20"/>
        </w:rPr>
        <w:t xml:space="preserve"> fundamental </w:t>
      </w:r>
      <w:proofErr w:type="spellStart"/>
      <w:r w:rsidRPr="00A535A1">
        <w:rPr>
          <w:rFonts w:ascii="Arial" w:hAnsi="Arial" w:cs="Arial"/>
          <w:sz w:val="20"/>
          <w:szCs w:val="20"/>
        </w:rPr>
        <w:t>rights</w:t>
      </w:r>
      <w:proofErr w:type="spellEnd"/>
      <w:r w:rsidRPr="00A535A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535A1">
        <w:rPr>
          <w:rFonts w:ascii="Arial" w:hAnsi="Arial" w:cs="Arial"/>
          <w:sz w:val="20"/>
          <w:szCs w:val="20"/>
        </w:rPr>
        <w:t>the</w:t>
      </w:r>
      <w:proofErr w:type="spellEnd"/>
      <w:r w:rsidRPr="00A535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35A1">
        <w:rPr>
          <w:rFonts w:ascii="Arial" w:hAnsi="Arial" w:cs="Arial"/>
          <w:sz w:val="20"/>
          <w:szCs w:val="20"/>
        </w:rPr>
        <w:t>decision</w:t>
      </w:r>
      <w:proofErr w:type="spellEnd"/>
      <w:r w:rsidRPr="00A535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35A1">
        <w:rPr>
          <w:rFonts w:ascii="Arial" w:hAnsi="Arial" w:cs="Arial"/>
          <w:sz w:val="20"/>
          <w:szCs w:val="20"/>
        </w:rPr>
        <w:t>strains</w:t>
      </w:r>
      <w:proofErr w:type="spellEnd"/>
      <w:r w:rsidRPr="00A535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35A1">
        <w:rPr>
          <w:rFonts w:ascii="Arial" w:hAnsi="Arial" w:cs="Arial"/>
          <w:sz w:val="20"/>
          <w:szCs w:val="20"/>
        </w:rPr>
        <w:t>the</w:t>
      </w:r>
      <w:proofErr w:type="spellEnd"/>
      <w:r w:rsidRPr="00A535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35A1">
        <w:rPr>
          <w:rFonts w:ascii="Arial" w:hAnsi="Arial" w:cs="Arial"/>
          <w:sz w:val="20"/>
          <w:szCs w:val="20"/>
        </w:rPr>
        <w:t>principle</w:t>
      </w:r>
      <w:proofErr w:type="spellEnd"/>
      <w:r w:rsidRPr="00A535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35A1">
        <w:rPr>
          <w:rFonts w:ascii="Arial" w:hAnsi="Arial" w:cs="Arial"/>
          <w:sz w:val="20"/>
          <w:szCs w:val="20"/>
        </w:rPr>
        <w:t>of</w:t>
      </w:r>
      <w:proofErr w:type="spellEnd"/>
      <w:r w:rsidRPr="00A535A1">
        <w:rPr>
          <w:rFonts w:ascii="Arial" w:hAnsi="Arial" w:cs="Arial"/>
          <w:sz w:val="20"/>
          <w:szCs w:val="20"/>
        </w:rPr>
        <w:t xml:space="preserve"> criminal </w:t>
      </w:r>
      <w:proofErr w:type="spellStart"/>
      <w:r w:rsidRPr="00A535A1">
        <w:rPr>
          <w:rFonts w:ascii="Arial" w:hAnsi="Arial" w:cs="Arial"/>
          <w:sz w:val="20"/>
          <w:szCs w:val="20"/>
        </w:rPr>
        <w:t>legality</w:t>
      </w:r>
      <w:proofErr w:type="spellEnd"/>
      <w:r w:rsidRPr="00A535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35A1">
        <w:rPr>
          <w:rFonts w:ascii="Arial" w:hAnsi="Arial" w:cs="Arial"/>
          <w:sz w:val="20"/>
          <w:szCs w:val="20"/>
        </w:rPr>
        <w:t>and</w:t>
      </w:r>
      <w:proofErr w:type="spellEnd"/>
      <w:r w:rsidRPr="00A535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35A1">
        <w:rPr>
          <w:rFonts w:ascii="Arial" w:hAnsi="Arial" w:cs="Arial"/>
          <w:sz w:val="20"/>
          <w:szCs w:val="20"/>
        </w:rPr>
        <w:t>may</w:t>
      </w:r>
      <w:proofErr w:type="spellEnd"/>
      <w:r w:rsidRPr="00A535A1">
        <w:rPr>
          <w:rFonts w:ascii="Arial" w:hAnsi="Arial" w:cs="Arial"/>
          <w:sz w:val="20"/>
          <w:szCs w:val="20"/>
        </w:rPr>
        <w:t xml:space="preserve"> configure a </w:t>
      </w:r>
      <w:proofErr w:type="spellStart"/>
      <w:r w:rsidRPr="00A535A1">
        <w:rPr>
          <w:rFonts w:ascii="Arial" w:hAnsi="Arial" w:cs="Arial"/>
          <w:sz w:val="20"/>
          <w:szCs w:val="20"/>
        </w:rPr>
        <w:t>symbolic</w:t>
      </w:r>
      <w:proofErr w:type="spellEnd"/>
      <w:r w:rsidRPr="00A535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35A1">
        <w:rPr>
          <w:rFonts w:ascii="Arial" w:hAnsi="Arial" w:cs="Arial"/>
          <w:sz w:val="20"/>
          <w:szCs w:val="20"/>
        </w:rPr>
        <w:t>jurisdiction</w:t>
      </w:r>
      <w:proofErr w:type="spellEnd"/>
      <w:r w:rsidRPr="00A535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35A1">
        <w:rPr>
          <w:rFonts w:ascii="Arial" w:hAnsi="Arial" w:cs="Arial"/>
          <w:sz w:val="20"/>
          <w:szCs w:val="20"/>
        </w:rPr>
        <w:t>of</w:t>
      </w:r>
      <w:proofErr w:type="spellEnd"/>
      <w:r w:rsidRPr="00A535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35A1">
        <w:rPr>
          <w:rFonts w:ascii="Arial" w:hAnsi="Arial" w:cs="Arial"/>
          <w:sz w:val="20"/>
          <w:szCs w:val="20"/>
        </w:rPr>
        <w:t>low</w:t>
      </w:r>
      <w:proofErr w:type="spellEnd"/>
      <w:r w:rsidRPr="00A535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35A1">
        <w:rPr>
          <w:rFonts w:ascii="Arial" w:hAnsi="Arial" w:cs="Arial"/>
          <w:sz w:val="20"/>
          <w:szCs w:val="20"/>
        </w:rPr>
        <w:t>practical</w:t>
      </w:r>
      <w:proofErr w:type="spellEnd"/>
      <w:r w:rsidRPr="00A535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35A1">
        <w:rPr>
          <w:rFonts w:ascii="Arial" w:hAnsi="Arial" w:cs="Arial"/>
          <w:sz w:val="20"/>
          <w:szCs w:val="20"/>
        </w:rPr>
        <w:t>effectiveness</w:t>
      </w:r>
      <w:proofErr w:type="spellEnd"/>
      <w:r w:rsidRPr="00A535A1">
        <w:rPr>
          <w:rFonts w:ascii="Arial" w:hAnsi="Arial" w:cs="Arial"/>
          <w:sz w:val="20"/>
          <w:szCs w:val="20"/>
        </w:rPr>
        <w:t xml:space="preserve">. The </w:t>
      </w:r>
      <w:proofErr w:type="spellStart"/>
      <w:r w:rsidRPr="00A535A1">
        <w:rPr>
          <w:rFonts w:ascii="Arial" w:hAnsi="Arial" w:cs="Arial"/>
          <w:sz w:val="20"/>
          <w:szCs w:val="20"/>
        </w:rPr>
        <w:t>objective</w:t>
      </w:r>
      <w:proofErr w:type="spellEnd"/>
      <w:r w:rsidRPr="00A535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35A1">
        <w:rPr>
          <w:rFonts w:ascii="Arial" w:hAnsi="Arial" w:cs="Arial"/>
          <w:sz w:val="20"/>
          <w:szCs w:val="20"/>
        </w:rPr>
        <w:t>is</w:t>
      </w:r>
      <w:proofErr w:type="spellEnd"/>
      <w:r w:rsidRPr="00A535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35A1">
        <w:rPr>
          <w:rFonts w:ascii="Arial" w:hAnsi="Arial" w:cs="Arial"/>
          <w:sz w:val="20"/>
          <w:szCs w:val="20"/>
        </w:rPr>
        <w:t>to</w:t>
      </w:r>
      <w:proofErr w:type="spellEnd"/>
      <w:r w:rsidRPr="00A535A1">
        <w:rPr>
          <w:rFonts w:ascii="Arial" w:hAnsi="Arial" w:cs="Arial"/>
          <w:sz w:val="20"/>
          <w:szCs w:val="20"/>
        </w:rPr>
        <w:t xml:space="preserve"> examine </w:t>
      </w:r>
      <w:proofErr w:type="spellStart"/>
      <w:r w:rsidRPr="00A535A1">
        <w:rPr>
          <w:rFonts w:ascii="Arial" w:hAnsi="Arial" w:cs="Arial"/>
          <w:sz w:val="20"/>
          <w:szCs w:val="20"/>
        </w:rPr>
        <w:t>the</w:t>
      </w:r>
      <w:proofErr w:type="spellEnd"/>
      <w:r w:rsidRPr="00A535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35A1">
        <w:rPr>
          <w:rFonts w:ascii="Arial" w:hAnsi="Arial" w:cs="Arial"/>
          <w:sz w:val="20"/>
          <w:szCs w:val="20"/>
        </w:rPr>
        <w:t>grounds</w:t>
      </w:r>
      <w:proofErr w:type="spellEnd"/>
      <w:r w:rsidRPr="00A535A1">
        <w:rPr>
          <w:rFonts w:ascii="Arial" w:hAnsi="Arial" w:cs="Arial"/>
          <w:sz w:val="20"/>
          <w:szCs w:val="20"/>
        </w:rPr>
        <w:t xml:space="preserve"> for </w:t>
      </w:r>
      <w:proofErr w:type="spellStart"/>
      <w:r w:rsidRPr="00A535A1">
        <w:rPr>
          <w:rFonts w:ascii="Arial" w:hAnsi="Arial" w:cs="Arial"/>
          <w:sz w:val="20"/>
          <w:szCs w:val="20"/>
        </w:rPr>
        <w:t>the</w:t>
      </w:r>
      <w:proofErr w:type="spellEnd"/>
      <w:r w:rsidRPr="00A535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35A1">
        <w:rPr>
          <w:rFonts w:ascii="Arial" w:hAnsi="Arial" w:cs="Arial"/>
          <w:sz w:val="20"/>
          <w:szCs w:val="20"/>
        </w:rPr>
        <w:t>decision</w:t>
      </w:r>
      <w:proofErr w:type="spellEnd"/>
      <w:r w:rsidRPr="00A535A1">
        <w:rPr>
          <w:rFonts w:ascii="Arial" w:hAnsi="Arial" w:cs="Arial"/>
          <w:sz w:val="20"/>
          <w:szCs w:val="20"/>
        </w:rPr>
        <w:t xml:space="preserve">, its </w:t>
      </w:r>
      <w:proofErr w:type="spellStart"/>
      <w:r w:rsidRPr="00A535A1">
        <w:rPr>
          <w:rFonts w:ascii="Arial" w:hAnsi="Arial" w:cs="Arial"/>
          <w:sz w:val="20"/>
          <w:szCs w:val="20"/>
        </w:rPr>
        <w:t>normative</w:t>
      </w:r>
      <w:proofErr w:type="spellEnd"/>
      <w:r w:rsidRPr="00A535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35A1">
        <w:rPr>
          <w:rFonts w:ascii="Arial" w:hAnsi="Arial" w:cs="Arial"/>
          <w:sz w:val="20"/>
          <w:szCs w:val="20"/>
        </w:rPr>
        <w:t>impacts</w:t>
      </w:r>
      <w:proofErr w:type="spellEnd"/>
      <w:r w:rsidRPr="00A535A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535A1">
        <w:rPr>
          <w:rFonts w:ascii="Arial" w:hAnsi="Arial" w:cs="Arial"/>
          <w:sz w:val="20"/>
          <w:szCs w:val="20"/>
        </w:rPr>
        <w:t>and</w:t>
      </w:r>
      <w:proofErr w:type="spellEnd"/>
      <w:r w:rsidRPr="00A535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35A1">
        <w:rPr>
          <w:rFonts w:ascii="Arial" w:hAnsi="Arial" w:cs="Arial"/>
          <w:sz w:val="20"/>
          <w:szCs w:val="20"/>
        </w:rPr>
        <w:t>the</w:t>
      </w:r>
      <w:proofErr w:type="spellEnd"/>
      <w:r w:rsidRPr="00A535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35A1">
        <w:rPr>
          <w:rFonts w:ascii="Arial" w:hAnsi="Arial" w:cs="Arial"/>
          <w:sz w:val="20"/>
          <w:szCs w:val="20"/>
        </w:rPr>
        <w:t>institutional</w:t>
      </w:r>
      <w:proofErr w:type="spellEnd"/>
      <w:r w:rsidRPr="00A535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35A1">
        <w:rPr>
          <w:rFonts w:ascii="Arial" w:hAnsi="Arial" w:cs="Arial"/>
          <w:sz w:val="20"/>
          <w:szCs w:val="20"/>
        </w:rPr>
        <w:t>risks</w:t>
      </w:r>
      <w:proofErr w:type="spellEnd"/>
      <w:r w:rsidRPr="00A535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35A1">
        <w:rPr>
          <w:rFonts w:ascii="Arial" w:hAnsi="Arial" w:cs="Arial"/>
          <w:sz w:val="20"/>
          <w:szCs w:val="20"/>
        </w:rPr>
        <w:t>arising</w:t>
      </w:r>
      <w:proofErr w:type="spellEnd"/>
      <w:r w:rsidRPr="00A535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35A1">
        <w:rPr>
          <w:rFonts w:ascii="Arial" w:hAnsi="Arial" w:cs="Arial"/>
          <w:sz w:val="20"/>
          <w:szCs w:val="20"/>
        </w:rPr>
        <w:t>from</w:t>
      </w:r>
      <w:proofErr w:type="spellEnd"/>
      <w:r w:rsidRPr="00A535A1">
        <w:rPr>
          <w:rFonts w:ascii="Arial" w:hAnsi="Arial" w:cs="Arial"/>
          <w:sz w:val="20"/>
          <w:szCs w:val="20"/>
        </w:rPr>
        <w:t xml:space="preserve"> it. </w:t>
      </w:r>
      <w:proofErr w:type="spellStart"/>
      <w:r w:rsidRPr="00A535A1">
        <w:rPr>
          <w:rFonts w:ascii="Arial" w:hAnsi="Arial" w:cs="Arial"/>
          <w:sz w:val="20"/>
          <w:szCs w:val="20"/>
        </w:rPr>
        <w:t>An</w:t>
      </w:r>
      <w:proofErr w:type="spellEnd"/>
      <w:r w:rsidRPr="00A535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35A1">
        <w:rPr>
          <w:rFonts w:ascii="Arial" w:hAnsi="Arial" w:cs="Arial"/>
          <w:sz w:val="20"/>
          <w:szCs w:val="20"/>
        </w:rPr>
        <w:t>inductive</w:t>
      </w:r>
      <w:proofErr w:type="spellEnd"/>
      <w:r w:rsidRPr="00A535A1">
        <w:rPr>
          <w:rFonts w:ascii="Arial" w:hAnsi="Arial" w:cs="Arial"/>
          <w:sz w:val="20"/>
          <w:szCs w:val="20"/>
        </w:rPr>
        <w:t xml:space="preserve"> approach </w:t>
      </w:r>
      <w:proofErr w:type="spellStart"/>
      <w:r w:rsidRPr="00A535A1">
        <w:rPr>
          <w:rFonts w:ascii="Arial" w:hAnsi="Arial" w:cs="Arial"/>
          <w:sz w:val="20"/>
          <w:szCs w:val="20"/>
        </w:rPr>
        <w:t>is</w:t>
      </w:r>
      <w:proofErr w:type="spellEnd"/>
      <w:r w:rsidRPr="00A535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35A1">
        <w:rPr>
          <w:rFonts w:ascii="Arial" w:hAnsi="Arial" w:cs="Arial"/>
          <w:sz w:val="20"/>
          <w:szCs w:val="20"/>
        </w:rPr>
        <w:t>adopted</w:t>
      </w:r>
      <w:proofErr w:type="spellEnd"/>
      <w:r w:rsidRPr="00A535A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535A1">
        <w:rPr>
          <w:rFonts w:ascii="Arial" w:hAnsi="Arial" w:cs="Arial"/>
          <w:sz w:val="20"/>
          <w:szCs w:val="20"/>
        </w:rPr>
        <w:t>with</w:t>
      </w:r>
      <w:proofErr w:type="spellEnd"/>
      <w:r w:rsidRPr="00A535A1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A535A1">
        <w:rPr>
          <w:rFonts w:ascii="Arial" w:hAnsi="Arial" w:cs="Arial"/>
          <w:sz w:val="20"/>
          <w:szCs w:val="20"/>
        </w:rPr>
        <w:t>method</w:t>
      </w:r>
      <w:proofErr w:type="spellEnd"/>
      <w:r w:rsidRPr="00A535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35A1">
        <w:rPr>
          <w:rFonts w:ascii="Arial" w:hAnsi="Arial" w:cs="Arial"/>
          <w:sz w:val="20"/>
          <w:szCs w:val="20"/>
        </w:rPr>
        <w:t>of</w:t>
      </w:r>
      <w:proofErr w:type="spellEnd"/>
      <w:r w:rsidRPr="00A535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35A1">
        <w:rPr>
          <w:rFonts w:ascii="Arial" w:hAnsi="Arial" w:cs="Arial"/>
          <w:sz w:val="20"/>
          <w:szCs w:val="20"/>
        </w:rPr>
        <w:t>critical</w:t>
      </w:r>
      <w:proofErr w:type="spellEnd"/>
      <w:r w:rsidRPr="00A535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35A1">
        <w:rPr>
          <w:rFonts w:ascii="Arial" w:hAnsi="Arial" w:cs="Arial"/>
          <w:sz w:val="20"/>
          <w:szCs w:val="20"/>
        </w:rPr>
        <w:t>socio</w:t>
      </w:r>
      <w:proofErr w:type="spellEnd"/>
      <w:r w:rsidRPr="00A535A1">
        <w:rPr>
          <w:rFonts w:ascii="Arial" w:hAnsi="Arial" w:cs="Arial"/>
          <w:sz w:val="20"/>
          <w:szCs w:val="20"/>
        </w:rPr>
        <w:t xml:space="preserve">-legal procedure </w:t>
      </w:r>
      <w:proofErr w:type="spellStart"/>
      <w:r w:rsidRPr="00A535A1">
        <w:rPr>
          <w:rFonts w:ascii="Arial" w:hAnsi="Arial" w:cs="Arial"/>
          <w:sz w:val="20"/>
          <w:szCs w:val="20"/>
        </w:rPr>
        <w:t>and</w:t>
      </w:r>
      <w:proofErr w:type="spellEnd"/>
      <w:r w:rsidRPr="00A535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35A1">
        <w:rPr>
          <w:rFonts w:ascii="Arial" w:hAnsi="Arial" w:cs="Arial"/>
          <w:sz w:val="20"/>
          <w:szCs w:val="20"/>
        </w:rPr>
        <w:t>institutional</w:t>
      </w:r>
      <w:proofErr w:type="spellEnd"/>
      <w:r w:rsidRPr="00A535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35A1">
        <w:rPr>
          <w:rFonts w:ascii="Arial" w:hAnsi="Arial" w:cs="Arial"/>
          <w:sz w:val="20"/>
          <w:szCs w:val="20"/>
        </w:rPr>
        <w:t>diagnosis</w:t>
      </w:r>
      <w:proofErr w:type="spellEnd"/>
      <w:r w:rsidRPr="00A535A1">
        <w:rPr>
          <w:rFonts w:ascii="Arial" w:hAnsi="Arial" w:cs="Arial"/>
          <w:sz w:val="20"/>
          <w:szCs w:val="20"/>
        </w:rPr>
        <w:t xml:space="preserve">. The </w:t>
      </w:r>
      <w:proofErr w:type="spellStart"/>
      <w:r w:rsidRPr="00A535A1">
        <w:rPr>
          <w:rFonts w:ascii="Arial" w:hAnsi="Arial" w:cs="Arial"/>
          <w:sz w:val="20"/>
          <w:szCs w:val="20"/>
        </w:rPr>
        <w:t>research</w:t>
      </w:r>
      <w:proofErr w:type="spellEnd"/>
      <w:r w:rsidRPr="00A535A1">
        <w:rPr>
          <w:rFonts w:ascii="Arial" w:hAnsi="Arial" w:cs="Arial"/>
          <w:sz w:val="20"/>
          <w:szCs w:val="20"/>
        </w:rPr>
        <w:t xml:space="preserve"> uses </w:t>
      </w:r>
      <w:proofErr w:type="spellStart"/>
      <w:r w:rsidRPr="00A535A1">
        <w:rPr>
          <w:rFonts w:ascii="Arial" w:hAnsi="Arial" w:cs="Arial"/>
          <w:sz w:val="20"/>
          <w:szCs w:val="20"/>
        </w:rPr>
        <w:t>bibliographic</w:t>
      </w:r>
      <w:proofErr w:type="spellEnd"/>
      <w:r w:rsidRPr="00A535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35A1">
        <w:rPr>
          <w:rFonts w:ascii="Arial" w:hAnsi="Arial" w:cs="Arial"/>
          <w:sz w:val="20"/>
          <w:szCs w:val="20"/>
        </w:rPr>
        <w:t>and</w:t>
      </w:r>
      <w:proofErr w:type="spellEnd"/>
      <w:r w:rsidRPr="00A535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35A1">
        <w:rPr>
          <w:rFonts w:ascii="Arial" w:hAnsi="Arial" w:cs="Arial"/>
          <w:sz w:val="20"/>
          <w:szCs w:val="20"/>
        </w:rPr>
        <w:t>documentary</w:t>
      </w:r>
      <w:proofErr w:type="spellEnd"/>
      <w:r w:rsidRPr="00A535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35A1">
        <w:rPr>
          <w:rFonts w:ascii="Arial" w:hAnsi="Arial" w:cs="Arial"/>
          <w:sz w:val="20"/>
          <w:szCs w:val="20"/>
        </w:rPr>
        <w:t>techniques</w:t>
      </w:r>
      <w:proofErr w:type="spellEnd"/>
      <w:r w:rsidRPr="00A535A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535A1">
        <w:rPr>
          <w:rFonts w:ascii="Arial" w:hAnsi="Arial" w:cs="Arial"/>
          <w:sz w:val="20"/>
          <w:szCs w:val="20"/>
        </w:rPr>
        <w:t>based</w:t>
      </w:r>
      <w:proofErr w:type="spellEnd"/>
      <w:r w:rsidRPr="00A535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35A1">
        <w:rPr>
          <w:rFonts w:ascii="Arial" w:hAnsi="Arial" w:cs="Arial"/>
          <w:sz w:val="20"/>
          <w:szCs w:val="20"/>
        </w:rPr>
        <w:t>on</w:t>
      </w:r>
      <w:proofErr w:type="spellEnd"/>
      <w:r w:rsidRPr="00A535A1">
        <w:rPr>
          <w:rFonts w:ascii="Arial" w:hAnsi="Arial" w:cs="Arial"/>
          <w:sz w:val="20"/>
          <w:szCs w:val="20"/>
        </w:rPr>
        <w:t xml:space="preserve"> legal </w:t>
      </w:r>
      <w:proofErr w:type="spellStart"/>
      <w:r w:rsidRPr="00A535A1">
        <w:rPr>
          <w:rFonts w:ascii="Arial" w:hAnsi="Arial" w:cs="Arial"/>
          <w:sz w:val="20"/>
          <w:szCs w:val="20"/>
        </w:rPr>
        <w:t>works</w:t>
      </w:r>
      <w:proofErr w:type="spellEnd"/>
      <w:r w:rsidRPr="00A535A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535A1">
        <w:rPr>
          <w:rFonts w:ascii="Arial" w:hAnsi="Arial" w:cs="Arial"/>
          <w:sz w:val="20"/>
          <w:szCs w:val="20"/>
        </w:rPr>
        <w:t>judgments</w:t>
      </w:r>
      <w:proofErr w:type="spellEnd"/>
      <w:r w:rsidRPr="00A535A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535A1">
        <w:rPr>
          <w:rFonts w:ascii="Arial" w:hAnsi="Arial" w:cs="Arial"/>
          <w:sz w:val="20"/>
          <w:szCs w:val="20"/>
        </w:rPr>
        <w:t>and</w:t>
      </w:r>
      <w:proofErr w:type="spellEnd"/>
      <w:r w:rsidRPr="00A535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35A1">
        <w:rPr>
          <w:rFonts w:ascii="Arial" w:hAnsi="Arial" w:cs="Arial"/>
          <w:sz w:val="20"/>
          <w:szCs w:val="20"/>
        </w:rPr>
        <w:t>institutional</w:t>
      </w:r>
      <w:proofErr w:type="spellEnd"/>
      <w:r w:rsidRPr="00A535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35A1">
        <w:rPr>
          <w:rFonts w:ascii="Arial" w:hAnsi="Arial" w:cs="Arial"/>
          <w:sz w:val="20"/>
          <w:szCs w:val="20"/>
        </w:rPr>
        <w:t>documents</w:t>
      </w:r>
      <w:proofErr w:type="spellEnd"/>
      <w:r w:rsidRPr="00A535A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535A1">
        <w:rPr>
          <w:rFonts w:ascii="Arial" w:hAnsi="Arial" w:cs="Arial"/>
          <w:sz w:val="20"/>
          <w:szCs w:val="20"/>
        </w:rPr>
        <w:t>allowing</w:t>
      </w:r>
      <w:proofErr w:type="spellEnd"/>
      <w:r w:rsidRPr="00A535A1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A535A1">
        <w:rPr>
          <w:rFonts w:ascii="Arial" w:hAnsi="Arial" w:cs="Arial"/>
          <w:sz w:val="20"/>
          <w:szCs w:val="20"/>
        </w:rPr>
        <w:t>triangulation</w:t>
      </w:r>
      <w:proofErr w:type="spellEnd"/>
      <w:r w:rsidRPr="00A535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35A1">
        <w:rPr>
          <w:rFonts w:ascii="Arial" w:hAnsi="Arial" w:cs="Arial"/>
          <w:sz w:val="20"/>
          <w:szCs w:val="20"/>
        </w:rPr>
        <w:t>of</w:t>
      </w:r>
      <w:proofErr w:type="spellEnd"/>
      <w:r w:rsidRPr="00A535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35A1">
        <w:rPr>
          <w:rFonts w:ascii="Arial" w:hAnsi="Arial" w:cs="Arial"/>
          <w:sz w:val="20"/>
          <w:szCs w:val="20"/>
        </w:rPr>
        <w:t>sources</w:t>
      </w:r>
      <w:proofErr w:type="spellEnd"/>
      <w:r w:rsidRPr="00A535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35A1">
        <w:rPr>
          <w:rFonts w:ascii="Arial" w:hAnsi="Arial" w:cs="Arial"/>
          <w:sz w:val="20"/>
          <w:szCs w:val="20"/>
        </w:rPr>
        <w:t>that</w:t>
      </w:r>
      <w:proofErr w:type="spellEnd"/>
      <w:r w:rsidRPr="00A535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35A1">
        <w:rPr>
          <w:rFonts w:ascii="Arial" w:hAnsi="Arial" w:cs="Arial"/>
          <w:sz w:val="20"/>
          <w:szCs w:val="20"/>
        </w:rPr>
        <w:t>qualifies</w:t>
      </w:r>
      <w:proofErr w:type="spellEnd"/>
      <w:r w:rsidRPr="00A535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35A1">
        <w:rPr>
          <w:rFonts w:ascii="Arial" w:hAnsi="Arial" w:cs="Arial"/>
          <w:sz w:val="20"/>
          <w:szCs w:val="20"/>
        </w:rPr>
        <w:t>the</w:t>
      </w:r>
      <w:proofErr w:type="spellEnd"/>
      <w:r w:rsidRPr="00A535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35A1">
        <w:rPr>
          <w:rFonts w:ascii="Arial" w:hAnsi="Arial" w:cs="Arial"/>
          <w:sz w:val="20"/>
          <w:szCs w:val="20"/>
        </w:rPr>
        <w:t>analysis</w:t>
      </w:r>
      <w:proofErr w:type="spellEnd"/>
      <w:r w:rsidRPr="00A535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35A1">
        <w:rPr>
          <w:rFonts w:ascii="Arial" w:hAnsi="Arial" w:cs="Arial"/>
          <w:sz w:val="20"/>
          <w:szCs w:val="20"/>
        </w:rPr>
        <w:t>and</w:t>
      </w:r>
      <w:proofErr w:type="spellEnd"/>
      <w:r w:rsidRPr="00A535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35A1">
        <w:rPr>
          <w:rFonts w:ascii="Arial" w:hAnsi="Arial" w:cs="Arial"/>
          <w:sz w:val="20"/>
          <w:szCs w:val="20"/>
        </w:rPr>
        <w:t>strengthens</w:t>
      </w:r>
      <w:proofErr w:type="spellEnd"/>
      <w:r w:rsidRPr="00A535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35A1">
        <w:rPr>
          <w:rFonts w:ascii="Arial" w:hAnsi="Arial" w:cs="Arial"/>
          <w:sz w:val="20"/>
          <w:szCs w:val="20"/>
        </w:rPr>
        <w:t>the</w:t>
      </w:r>
      <w:proofErr w:type="spellEnd"/>
      <w:r w:rsidRPr="00A535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35A1">
        <w:rPr>
          <w:rFonts w:ascii="Arial" w:hAnsi="Arial" w:cs="Arial"/>
          <w:sz w:val="20"/>
          <w:szCs w:val="20"/>
        </w:rPr>
        <w:t>conclusions</w:t>
      </w:r>
      <w:proofErr w:type="spellEnd"/>
      <w:r w:rsidRPr="00A535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35A1">
        <w:rPr>
          <w:rFonts w:ascii="Arial" w:hAnsi="Arial" w:cs="Arial"/>
          <w:sz w:val="20"/>
          <w:szCs w:val="20"/>
        </w:rPr>
        <w:t>of</w:t>
      </w:r>
      <w:proofErr w:type="spellEnd"/>
      <w:r w:rsidRPr="00A535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35A1">
        <w:rPr>
          <w:rFonts w:ascii="Arial" w:hAnsi="Arial" w:cs="Arial"/>
          <w:sz w:val="20"/>
          <w:szCs w:val="20"/>
        </w:rPr>
        <w:t>the</w:t>
      </w:r>
      <w:proofErr w:type="spellEnd"/>
      <w:r w:rsidRPr="00A535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35A1">
        <w:rPr>
          <w:rFonts w:ascii="Arial" w:hAnsi="Arial" w:cs="Arial"/>
          <w:sz w:val="20"/>
          <w:szCs w:val="20"/>
        </w:rPr>
        <w:t>study</w:t>
      </w:r>
      <w:proofErr w:type="spellEnd"/>
      <w:r w:rsidRPr="00A535A1">
        <w:rPr>
          <w:rFonts w:ascii="Arial" w:hAnsi="Arial" w:cs="Arial"/>
          <w:sz w:val="20"/>
          <w:szCs w:val="20"/>
        </w:rPr>
        <w:t>.</w:t>
      </w:r>
    </w:p>
    <w:p w14:paraId="0E33756A" w14:textId="56A39312" w:rsidR="00963EA1" w:rsidRPr="00A535A1" w:rsidRDefault="00963EA1" w:rsidP="0048479C">
      <w:pPr>
        <w:spacing w:after="0" w:line="240" w:lineRule="auto"/>
        <w:ind w:left="2835"/>
        <w:jc w:val="both"/>
        <w:rPr>
          <w:rFonts w:ascii="Arial" w:hAnsi="Arial" w:cs="Arial"/>
          <w:b/>
          <w:bCs/>
          <w:sz w:val="20"/>
          <w:szCs w:val="20"/>
        </w:rPr>
      </w:pPr>
      <w:proofErr w:type="spellStart"/>
      <w:r w:rsidRPr="00A535A1">
        <w:rPr>
          <w:rFonts w:ascii="Arial" w:eastAsia="Times New Roman" w:hAnsi="Arial" w:cs="Arial"/>
          <w:b/>
          <w:bCs/>
          <w:sz w:val="20"/>
          <w:szCs w:val="20"/>
        </w:rPr>
        <w:t>K</w:t>
      </w:r>
      <w:r w:rsidR="0048479C" w:rsidRPr="00A535A1">
        <w:rPr>
          <w:rFonts w:ascii="Arial" w:eastAsia="Times New Roman" w:hAnsi="Arial" w:cs="Arial"/>
          <w:b/>
          <w:bCs/>
          <w:sz w:val="20"/>
          <w:szCs w:val="20"/>
        </w:rPr>
        <w:t>eywords</w:t>
      </w:r>
      <w:proofErr w:type="spellEnd"/>
      <w:r w:rsidRPr="00A535A1">
        <w:rPr>
          <w:rFonts w:ascii="Arial" w:eastAsia="Times New Roman" w:hAnsi="Arial" w:cs="Arial"/>
          <w:b/>
          <w:bCs/>
          <w:sz w:val="20"/>
          <w:szCs w:val="20"/>
        </w:rPr>
        <w:t xml:space="preserve">: </w:t>
      </w:r>
      <w:proofErr w:type="spellStart"/>
      <w:r w:rsidRPr="00A535A1">
        <w:rPr>
          <w:rFonts w:ascii="Arial" w:eastAsia="Times New Roman" w:hAnsi="Arial" w:cs="Arial"/>
          <w:sz w:val="20"/>
          <w:szCs w:val="20"/>
        </w:rPr>
        <w:t>homophobia</w:t>
      </w:r>
      <w:proofErr w:type="spellEnd"/>
      <w:r w:rsidRPr="00A535A1">
        <w:rPr>
          <w:rFonts w:ascii="Arial" w:eastAsia="Times New Roman" w:hAnsi="Arial" w:cs="Arial"/>
          <w:sz w:val="20"/>
          <w:szCs w:val="20"/>
        </w:rPr>
        <w:t xml:space="preserve">; </w:t>
      </w:r>
      <w:proofErr w:type="spellStart"/>
      <w:r w:rsidRPr="00A535A1">
        <w:rPr>
          <w:rFonts w:ascii="Arial" w:eastAsia="Times New Roman" w:hAnsi="Arial" w:cs="Arial"/>
          <w:sz w:val="20"/>
          <w:szCs w:val="20"/>
        </w:rPr>
        <w:t>racism</w:t>
      </w:r>
      <w:proofErr w:type="spellEnd"/>
      <w:r w:rsidRPr="00A535A1">
        <w:rPr>
          <w:rFonts w:ascii="Arial" w:eastAsia="Times New Roman" w:hAnsi="Arial" w:cs="Arial"/>
          <w:sz w:val="20"/>
          <w:szCs w:val="20"/>
        </w:rPr>
        <w:t xml:space="preserve">; judicial </w:t>
      </w:r>
      <w:proofErr w:type="spellStart"/>
      <w:r w:rsidRPr="00A535A1">
        <w:rPr>
          <w:rFonts w:ascii="Arial" w:eastAsia="Times New Roman" w:hAnsi="Arial" w:cs="Arial"/>
          <w:sz w:val="20"/>
          <w:szCs w:val="20"/>
        </w:rPr>
        <w:t>activism</w:t>
      </w:r>
      <w:proofErr w:type="spellEnd"/>
    </w:p>
    <w:p w14:paraId="3CD648A2" w14:textId="77777777" w:rsidR="00963EA1" w:rsidRDefault="00963EA1" w:rsidP="002F3DB5">
      <w:pPr>
        <w:spacing w:after="0" w:line="360" w:lineRule="auto"/>
        <w:jc w:val="both"/>
        <w:rPr>
          <w:rFonts w:ascii="Arial" w:eastAsia="Times New Roman" w:hAnsi="Arial" w:cs="Arial"/>
          <w:bCs/>
        </w:rPr>
      </w:pPr>
    </w:p>
    <w:p w14:paraId="16980AFD" w14:textId="77777777" w:rsidR="00963EA1" w:rsidRDefault="00963EA1" w:rsidP="002F3DB5">
      <w:pPr>
        <w:spacing w:after="0" w:line="360" w:lineRule="auto"/>
        <w:jc w:val="both"/>
        <w:rPr>
          <w:rFonts w:ascii="Arial" w:eastAsia="Times New Roman" w:hAnsi="Arial" w:cs="Arial"/>
          <w:b/>
        </w:rPr>
      </w:pPr>
      <w:r w:rsidRPr="00305711">
        <w:rPr>
          <w:rFonts w:ascii="Arial" w:eastAsia="Times New Roman" w:hAnsi="Arial" w:cs="Arial"/>
          <w:b/>
        </w:rPr>
        <w:t>1. INTRODUÇÃO</w:t>
      </w:r>
    </w:p>
    <w:p w14:paraId="2FCF5351" w14:textId="77777777" w:rsidR="002D7200" w:rsidRPr="00305711" w:rsidRDefault="002D7200" w:rsidP="002F3DB5">
      <w:pPr>
        <w:spacing w:after="0" w:line="360" w:lineRule="auto"/>
        <w:jc w:val="both"/>
        <w:rPr>
          <w:rFonts w:ascii="Arial" w:eastAsia="Times New Roman" w:hAnsi="Arial" w:cs="Arial"/>
          <w:b/>
        </w:rPr>
      </w:pPr>
    </w:p>
    <w:p w14:paraId="34885448" w14:textId="0AD07318" w:rsidR="00206AF0" w:rsidRPr="00305711" w:rsidRDefault="008159A1" w:rsidP="002F3DB5">
      <w:pPr>
        <w:spacing w:after="0" w:line="360" w:lineRule="auto"/>
        <w:ind w:firstLine="851"/>
        <w:jc w:val="both"/>
        <w:rPr>
          <w:rFonts w:ascii="Arial" w:eastAsia="Times New Roman" w:hAnsi="Arial" w:cs="Arial"/>
        </w:rPr>
      </w:pPr>
      <w:r w:rsidRPr="008159A1">
        <w:rPr>
          <w:rFonts w:ascii="Arial" w:eastAsia="Times New Roman" w:hAnsi="Arial" w:cs="Arial"/>
        </w:rPr>
        <w:t>A criminalização da LGBTfobia ganhou destaque jurídico e político com o julgamento conjunto da ADO nº 26 e do MI nº 4.733, em 2019. Diante da omissão legislativa em tipificar penalmente condutas discriminatórias por orientação sexual ou identidade de gênero, o STF equiparou essas práticas ao crime de racismo, aplicando a Lei nº 7.716/1989. A decisão, de forte impacto simbólico e normativo, visou garantir proteção penal imediata à população LGBTQIA+, historicamente marginalizada</w:t>
      </w:r>
      <w:r w:rsidR="00206AF0" w:rsidRPr="00305711">
        <w:rPr>
          <w:rFonts w:ascii="Arial" w:eastAsia="Times New Roman" w:hAnsi="Arial" w:cs="Arial"/>
        </w:rPr>
        <w:t>.</w:t>
      </w:r>
    </w:p>
    <w:p w14:paraId="6D162957" w14:textId="77777777" w:rsidR="00206AF0" w:rsidRPr="00305711" w:rsidRDefault="00206AF0" w:rsidP="002F3DB5">
      <w:pPr>
        <w:spacing w:after="0" w:line="360" w:lineRule="auto"/>
        <w:ind w:firstLine="851"/>
        <w:jc w:val="both"/>
        <w:rPr>
          <w:rFonts w:ascii="Arial" w:eastAsia="Times New Roman" w:hAnsi="Arial" w:cs="Arial"/>
        </w:rPr>
      </w:pPr>
      <w:r w:rsidRPr="00305711">
        <w:rPr>
          <w:rFonts w:ascii="Arial" w:eastAsia="Times New Roman" w:hAnsi="Arial" w:cs="Arial"/>
        </w:rPr>
        <w:t xml:space="preserve">Todavia, ao exercer esse protagonismo em matéria penal, a Corte Suprema acabou por tensionar os limites constitucionais da jurisdição, especialmente os princípios da legalidade estrita (art. 5º, XXXIX, CF/88) e da separação de poderes (art. 2º, CF/88). Isso suscitou uma indagação fundamental: </w:t>
      </w:r>
      <w:r w:rsidRPr="00305711">
        <w:rPr>
          <w:rFonts w:ascii="Arial" w:eastAsia="Times New Roman" w:hAnsi="Arial" w:cs="Arial"/>
          <w:b/>
          <w:bCs/>
        </w:rPr>
        <w:t>de que maneira a decisão do STF, ao criminalizar a LGBTfobia por analogia, impacta os marcos normativos e institucionais do Estado Democrático de Direito?</w:t>
      </w:r>
    </w:p>
    <w:p w14:paraId="063CF0FC" w14:textId="77777777" w:rsidR="00206AF0" w:rsidRPr="00305711" w:rsidRDefault="00206AF0" w:rsidP="002F3DB5">
      <w:pPr>
        <w:spacing w:after="0" w:line="360" w:lineRule="auto"/>
        <w:ind w:firstLine="851"/>
        <w:jc w:val="both"/>
        <w:rPr>
          <w:rFonts w:ascii="Arial" w:eastAsia="Times New Roman" w:hAnsi="Arial" w:cs="Arial"/>
        </w:rPr>
      </w:pPr>
      <w:r w:rsidRPr="00305711">
        <w:rPr>
          <w:rFonts w:ascii="Arial" w:eastAsia="Times New Roman" w:hAnsi="Arial" w:cs="Arial"/>
        </w:rPr>
        <w:t xml:space="preserve">Parte-se da </w:t>
      </w:r>
      <w:r w:rsidRPr="00305711">
        <w:rPr>
          <w:rFonts w:ascii="Arial" w:eastAsia="Times New Roman" w:hAnsi="Arial" w:cs="Arial"/>
          <w:b/>
          <w:bCs/>
        </w:rPr>
        <w:t>hipótese de que o julgamento, embora voltado à proteção de direitos fundamentais, configura uma forma de ativismo judicial simbólico</w:t>
      </w:r>
      <w:r w:rsidRPr="00305711">
        <w:rPr>
          <w:rFonts w:ascii="Arial" w:eastAsia="Times New Roman" w:hAnsi="Arial" w:cs="Arial"/>
        </w:rPr>
        <w:t>, com eficácia prática limitada e elevado custo institucional. Busca-se compreender se tal atuação judicial contribui efetivamente para a transformação da realidade de violência que atinge a população LGBTQIA+ ou se permanece circunscrita ao plano retórico.</w:t>
      </w:r>
    </w:p>
    <w:p w14:paraId="40A792DE" w14:textId="77777777" w:rsidR="00206AF0" w:rsidRPr="00305711" w:rsidRDefault="00206AF0" w:rsidP="002F3DB5">
      <w:pPr>
        <w:spacing w:after="0" w:line="360" w:lineRule="auto"/>
        <w:ind w:firstLine="851"/>
        <w:jc w:val="both"/>
        <w:rPr>
          <w:rFonts w:ascii="Arial" w:eastAsia="Times New Roman" w:hAnsi="Arial" w:cs="Arial"/>
        </w:rPr>
      </w:pPr>
      <w:r w:rsidRPr="00305711">
        <w:rPr>
          <w:rFonts w:ascii="Arial" w:eastAsia="Times New Roman" w:hAnsi="Arial" w:cs="Arial"/>
        </w:rPr>
        <w:t xml:space="preserve">Diante disso, o </w:t>
      </w:r>
      <w:r w:rsidRPr="00305711">
        <w:rPr>
          <w:rFonts w:ascii="Arial" w:eastAsia="Times New Roman" w:hAnsi="Arial" w:cs="Arial"/>
          <w:b/>
          <w:bCs/>
        </w:rPr>
        <w:t>objetivo geral</w:t>
      </w:r>
      <w:r w:rsidRPr="00305711">
        <w:rPr>
          <w:rFonts w:ascii="Arial" w:eastAsia="Times New Roman" w:hAnsi="Arial" w:cs="Arial"/>
        </w:rPr>
        <w:t xml:space="preserve"> deste estudo é </w:t>
      </w:r>
      <w:r w:rsidRPr="00305711">
        <w:rPr>
          <w:rFonts w:ascii="Arial" w:eastAsia="Times New Roman" w:hAnsi="Arial" w:cs="Arial"/>
          <w:b/>
          <w:bCs/>
        </w:rPr>
        <w:t>analisar criticamente os fundamentos, os impactos e os limites constitucionais da decisão proferida pelo STF nas ações ADO 26/DF e MI 4.733/DF</w:t>
      </w:r>
      <w:r w:rsidRPr="00305711">
        <w:rPr>
          <w:rFonts w:ascii="Arial" w:eastAsia="Times New Roman" w:hAnsi="Arial" w:cs="Arial"/>
        </w:rPr>
        <w:t xml:space="preserve">. Para tanto, estabelecem-se como </w:t>
      </w:r>
      <w:r w:rsidRPr="00305711">
        <w:rPr>
          <w:rFonts w:ascii="Arial" w:eastAsia="Times New Roman" w:hAnsi="Arial" w:cs="Arial"/>
          <w:b/>
          <w:bCs/>
        </w:rPr>
        <w:t>objetivos específicos</w:t>
      </w:r>
      <w:r w:rsidRPr="00305711">
        <w:rPr>
          <w:rFonts w:ascii="Arial" w:eastAsia="Times New Roman" w:hAnsi="Arial" w:cs="Arial"/>
        </w:rPr>
        <w:t>, em consonância com os capítulos do artigo:</w:t>
      </w:r>
    </w:p>
    <w:p w14:paraId="76CD54CC" w14:textId="77777777" w:rsidR="00206AF0" w:rsidRPr="00305711" w:rsidRDefault="00206AF0" w:rsidP="002F3DB5">
      <w:pPr>
        <w:spacing w:after="0" w:line="360" w:lineRule="auto"/>
        <w:ind w:firstLine="851"/>
        <w:jc w:val="both"/>
        <w:rPr>
          <w:rFonts w:ascii="Arial" w:eastAsia="Times New Roman" w:hAnsi="Arial" w:cs="Arial"/>
        </w:rPr>
      </w:pPr>
      <w:r w:rsidRPr="00305711">
        <w:rPr>
          <w:rFonts w:ascii="Arial" w:eastAsia="Times New Roman" w:hAnsi="Arial" w:cs="Arial"/>
        </w:rPr>
        <w:t>1. Investigar a lógica do pensamento heterossexual enquanto estrutura excludente, identificando como ela contribui para a omissão legislativa e a violência institucional contra pessoas LGBTQIA+;</w:t>
      </w:r>
    </w:p>
    <w:p w14:paraId="0C66FAEE" w14:textId="77777777" w:rsidR="00206AF0" w:rsidRPr="00305711" w:rsidRDefault="00206AF0" w:rsidP="002F3DB5">
      <w:pPr>
        <w:spacing w:after="0" w:line="360" w:lineRule="auto"/>
        <w:ind w:firstLine="851"/>
        <w:jc w:val="both"/>
        <w:rPr>
          <w:rFonts w:ascii="Arial" w:eastAsia="Times New Roman" w:hAnsi="Arial" w:cs="Arial"/>
        </w:rPr>
      </w:pPr>
      <w:r w:rsidRPr="00305711">
        <w:rPr>
          <w:rFonts w:ascii="Arial" w:eastAsia="Times New Roman" w:hAnsi="Arial" w:cs="Arial"/>
        </w:rPr>
        <w:t>2. Examinar os fundamentos jurídicos e constitucionais da decisão do STF, bem como as controvérsias doutrinárias e dogmáticas que ela suscita no campo penal;</w:t>
      </w:r>
    </w:p>
    <w:p w14:paraId="42EBB820" w14:textId="77777777" w:rsidR="002555C6" w:rsidRPr="00305711" w:rsidRDefault="00206AF0" w:rsidP="002F3DB5">
      <w:pPr>
        <w:spacing w:after="0" w:line="360" w:lineRule="auto"/>
        <w:ind w:firstLine="851"/>
        <w:jc w:val="both"/>
        <w:rPr>
          <w:rFonts w:ascii="Arial" w:eastAsia="Times New Roman" w:hAnsi="Arial" w:cs="Arial"/>
        </w:rPr>
      </w:pPr>
      <w:r w:rsidRPr="00305711">
        <w:rPr>
          <w:rFonts w:ascii="Arial" w:eastAsia="Times New Roman" w:hAnsi="Arial" w:cs="Arial"/>
        </w:rPr>
        <w:t xml:space="preserve">3. Avaliar os impactos normativos e simbólicos da decisão, discutindo em que medida ela pode contribuir para a redução da violência </w:t>
      </w:r>
      <w:proofErr w:type="spellStart"/>
      <w:r w:rsidRPr="00305711">
        <w:rPr>
          <w:rFonts w:ascii="Arial" w:eastAsia="Times New Roman" w:hAnsi="Arial" w:cs="Arial"/>
        </w:rPr>
        <w:t>homotransfóbica</w:t>
      </w:r>
      <w:proofErr w:type="spellEnd"/>
      <w:r w:rsidRPr="00305711">
        <w:rPr>
          <w:rFonts w:ascii="Arial" w:eastAsia="Times New Roman" w:hAnsi="Arial" w:cs="Arial"/>
        </w:rPr>
        <w:t xml:space="preserve"> no Brasil;</w:t>
      </w:r>
    </w:p>
    <w:p w14:paraId="52FC56A7" w14:textId="3C1591DF" w:rsidR="00206AF0" w:rsidRPr="00305711" w:rsidRDefault="002555C6" w:rsidP="002F3DB5">
      <w:pPr>
        <w:spacing w:after="0" w:line="360" w:lineRule="auto"/>
        <w:ind w:firstLine="851"/>
        <w:jc w:val="both"/>
        <w:rPr>
          <w:rFonts w:ascii="Arial" w:eastAsia="Times New Roman" w:hAnsi="Arial" w:cs="Arial"/>
        </w:rPr>
      </w:pPr>
      <w:r w:rsidRPr="00305711">
        <w:rPr>
          <w:rFonts w:ascii="Arial" w:eastAsia="Times New Roman" w:hAnsi="Arial" w:cs="Arial"/>
        </w:rPr>
        <w:t xml:space="preserve">4. </w:t>
      </w:r>
      <w:r w:rsidR="00206AF0" w:rsidRPr="00305711">
        <w:rPr>
          <w:rFonts w:ascii="Arial" w:eastAsia="Times New Roman" w:hAnsi="Arial" w:cs="Arial"/>
        </w:rPr>
        <w:t>Analisar a efetividade das políticas públicas implementadas a partir dos julgados, com ênfase nos programas estruturados pelo Governo Federal e nos efeitos materiais da decisão judicial no campo administrativo.</w:t>
      </w:r>
    </w:p>
    <w:p w14:paraId="3595391C" w14:textId="3AA3BEF6" w:rsidR="00206AF0" w:rsidRPr="00305711" w:rsidRDefault="00C80CFC" w:rsidP="002F3DB5">
      <w:pPr>
        <w:spacing w:after="0" w:line="360" w:lineRule="auto"/>
        <w:ind w:firstLine="851"/>
        <w:jc w:val="both"/>
        <w:rPr>
          <w:rFonts w:ascii="Arial" w:eastAsia="Times New Roman" w:hAnsi="Arial" w:cs="Arial"/>
        </w:rPr>
      </w:pPr>
      <w:r w:rsidRPr="00305711">
        <w:rPr>
          <w:rFonts w:ascii="Arial" w:eastAsia="Times New Roman" w:hAnsi="Arial" w:cs="Arial"/>
        </w:rPr>
        <w:t xml:space="preserve">A relevância do tema decorre da atualidade e gravidade da violência e dos discursos de ódio contra minorias sexuais e de gênero. Diante desse cenário, refletir </w:t>
      </w:r>
      <w:r w:rsidRPr="00305711">
        <w:rPr>
          <w:rFonts w:ascii="Arial" w:eastAsia="Times New Roman" w:hAnsi="Arial" w:cs="Arial"/>
        </w:rPr>
        <w:lastRenderedPageBreak/>
        <w:t>sobre os limites e possibilidades da atuação do Judiciário é fundamental para fortalecer uma cultura jurídica voltada à dignidade humana e à efetivação da igualdade</w:t>
      </w:r>
      <w:r w:rsidR="00206AF0" w:rsidRPr="00305711">
        <w:rPr>
          <w:rFonts w:ascii="Arial" w:eastAsia="Times New Roman" w:hAnsi="Arial" w:cs="Arial"/>
        </w:rPr>
        <w:t>.</w:t>
      </w:r>
    </w:p>
    <w:p w14:paraId="38BCA4FD" w14:textId="77777777" w:rsidR="00206AF0" w:rsidRPr="00305711" w:rsidRDefault="00206AF0" w:rsidP="002F3DB5">
      <w:pPr>
        <w:spacing w:after="0" w:line="360" w:lineRule="auto"/>
        <w:ind w:firstLine="851"/>
        <w:jc w:val="both"/>
        <w:rPr>
          <w:rFonts w:ascii="Arial" w:eastAsia="Times New Roman" w:hAnsi="Arial" w:cs="Arial"/>
        </w:rPr>
      </w:pPr>
      <w:r w:rsidRPr="00305711">
        <w:rPr>
          <w:rFonts w:ascii="Arial" w:eastAsia="Times New Roman" w:hAnsi="Arial" w:cs="Arial"/>
        </w:rPr>
        <w:t xml:space="preserve">Metodologicamente, o estudo adota uma abordagem </w:t>
      </w:r>
      <w:r w:rsidRPr="00305711">
        <w:rPr>
          <w:rFonts w:ascii="Arial" w:eastAsia="Times New Roman" w:hAnsi="Arial" w:cs="Arial"/>
          <w:b/>
          <w:bCs/>
        </w:rPr>
        <w:t>indutiva</w:t>
      </w:r>
      <w:r w:rsidRPr="00305711">
        <w:rPr>
          <w:rFonts w:ascii="Arial" w:eastAsia="Times New Roman" w:hAnsi="Arial" w:cs="Arial"/>
        </w:rPr>
        <w:t xml:space="preserve">, partindo do caso concreto dos julgados para refletir sobre os marcos constitucionais da atuação judicial em matéria penal. O </w:t>
      </w:r>
      <w:r w:rsidRPr="00305711">
        <w:rPr>
          <w:rFonts w:ascii="Arial" w:eastAsia="Times New Roman" w:hAnsi="Arial" w:cs="Arial"/>
          <w:b/>
          <w:bCs/>
        </w:rPr>
        <w:t>método de procedimento é sociojurídico crítico</w:t>
      </w:r>
      <w:r w:rsidRPr="00305711">
        <w:rPr>
          <w:rFonts w:ascii="Arial" w:eastAsia="Times New Roman" w:hAnsi="Arial" w:cs="Arial"/>
        </w:rPr>
        <w:t xml:space="preserve">, o que permite compreender o Direito como fenômeno atravessado por disputas simbólicas e estruturado por relações de poder. A </w:t>
      </w:r>
      <w:r w:rsidRPr="00305711">
        <w:rPr>
          <w:rFonts w:ascii="Arial" w:eastAsia="Times New Roman" w:hAnsi="Arial" w:cs="Arial"/>
          <w:b/>
          <w:bCs/>
        </w:rPr>
        <w:t>técnica utilizada é bibliográfica e documental</w:t>
      </w:r>
      <w:r w:rsidRPr="00305711">
        <w:rPr>
          <w:rFonts w:ascii="Arial" w:eastAsia="Times New Roman" w:hAnsi="Arial" w:cs="Arial"/>
        </w:rPr>
        <w:t>, com apoio em doutrina especializada, acórdãos judiciais, legislações e documentos oficiais, promovendo uma triangulação entre fontes jurídicas, empíricas e institucionais.</w:t>
      </w:r>
    </w:p>
    <w:p w14:paraId="38125221" w14:textId="77777777" w:rsidR="00206AF0" w:rsidRPr="00305711" w:rsidRDefault="00206AF0" w:rsidP="002F3DB5">
      <w:pPr>
        <w:spacing w:after="0" w:line="360" w:lineRule="auto"/>
        <w:ind w:firstLine="851"/>
        <w:jc w:val="both"/>
        <w:rPr>
          <w:rFonts w:ascii="Arial" w:eastAsia="Times New Roman" w:hAnsi="Arial" w:cs="Arial"/>
        </w:rPr>
      </w:pPr>
      <w:r w:rsidRPr="00305711">
        <w:rPr>
          <w:rFonts w:ascii="Arial" w:eastAsia="Times New Roman" w:hAnsi="Arial" w:cs="Arial"/>
        </w:rPr>
        <w:t>O referencial teórico ancora-se em quatro eixos: (i) a crítica à omissão legislativa e à estrutura do pensamento heterossexual como vetor de exclusão (Oliveira, 2022; Neto &amp; Vieira, 2022); (</w:t>
      </w:r>
      <w:proofErr w:type="spellStart"/>
      <w:r w:rsidRPr="00305711">
        <w:rPr>
          <w:rFonts w:ascii="Arial" w:eastAsia="Times New Roman" w:hAnsi="Arial" w:cs="Arial"/>
        </w:rPr>
        <w:t>ii</w:t>
      </w:r>
      <w:proofErr w:type="spellEnd"/>
      <w:r w:rsidRPr="00305711">
        <w:rPr>
          <w:rFonts w:ascii="Arial" w:eastAsia="Times New Roman" w:hAnsi="Arial" w:cs="Arial"/>
        </w:rPr>
        <w:t>) os riscos jurídicos da analogia penal in malam partem e do ativismo judicial desmedido (Braga, 2019; Medeiros &amp; Andrade, 2020); (</w:t>
      </w:r>
      <w:proofErr w:type="spellStart"/>
      <w:r w:rsidRPr="00305711">
        <w:rPr>
          <w:rFonts w:ascii="Arial" w:eastAsia="Times New Roman" w:hAnsi="Arial" w:cs="Arial"/>
        </w:rPr>
        <w:t>iii</w:t>
      </w:r>
      <w:proofErr w:type="spellEnd"/>
      <w:r w:rsidRPr="00305711">
        <w:rPr>
          <w:rFonts w:ascii="Arial" w:eastAsia="Times New Roman" w:hAnsi="Arial" w:cs="Arial"/>
        </w:rPr>
        <w:t>) os efeitos simbólicos e a limitação prática da decisão (Flores, 2024); e (</w:t>
      </w:r>
      <w:proofErr w:type="spellStart"/>
      <w:r w:rsidRPr="00305711">
        <w:rPr>
          <w:rFonts w:ascii="Arial" w:eastAsia="Times New Roman" w:hAnsi="Arial" w:cs="Arial"/>
        </w:rPr>
        <w:t>iv</w:t>
      </w:r>
      <w:proofErr w:type="spellEnd"/>
      <w:r w:rsidRPr="00305711">
        <w:rPr>
          <w:rFonts w:ascii="Arial" w:eastAsia="Times New Roman" w:hAnsi="Arial" w:cs="Arial"/>
        </w:rPr>
        <w:t>) a crítica institucional ao ativismo descontextualizado, que transforma o STF em personagem ideológico (Abboud, 2025).</w:t>
      </w:r>
    </w:p>
    <w:p w14:paraId="3C356529" w14:textId="7A793466" w:rsidR="00055648" w:rsidRPr="00305711" w:rsidRDefault="00F3371F" w:rsidP="002F3DB5">
      <w:pPr>
        <w:spacing w:after="0" w:line="360" w:lineRule="auto"/>
        <w:ind w:firstLine="851"/>
        <w:jc w:val="both"/>
        <w:rPr>
          <w:rFonts w:ascii="Arial" w:eastAsia="Times New Roman" w:hAnsi="Arial" w:cs="Arial"/>
        </w:rPr>
      </w:pPr>
      <w:r w:rsidRPr="00305711">
        <w:rPr>
          <w:rFonts w:ascii="Arial" w:eastAsia="Times New Roman" w:hAnsi="Arial" w:cs="Arial"/>
        </w:rPr>
        <w:t>Assim, este trabalho situa-se na confluência entre teoria constitucional, direito penal e políticas públicas, propondo uma análise crítica da atuação do Supremo Tribunal Federal frente à omissão legislativa e à vulnerabilidade estrutural. O desafio é conceber a jurisdição constitucional não apenas como instância declaratória de direitos, mas como espaço de formulação de respostas juridicamente legítimas, democraticamente fundamentadas e socialmente eficazes</w:t>
      </w:r>
      <w:r w:rsidR="00991055" w:rsidRPr="00305711">
        <w:rPr>
          <w:rFonts w:ascii="Arial" w:hAnsi="Arial" w:cs="Arial"/>
        </w:rPr>
        <w:t>.</w:t>
      </w:r>
    </w:p>
    <w:p w14:paraId="4DEA805C" w14:textId="77777777" w:rsidR="00055648" w:rsidRPr="00305711" w:rsidRDefault="00055648" w:rsidP="002F3DB5">
      <w:pPr>
        <w:spacing w:after="0" w:line="360" w:lineRule="auto"/>
        <w:jc w:val="both"/>
        <w:rPr>
          <w:rFonts w:ascii="Arial" w:hAnsi="Arial" w:cs="Arial"/>
        </w:rPr>
      </w:pPr>
    </w:p>
    <w:p w14:paraId="74461D81" w14:textId="79B7D1E6" w:rsidR="00963EA1" w:rsidRDefault="00060527" w:rsidP="002F3DB5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305711">
        <w:rPr>
          <w:rFonts w:ascii="Arial" w:hAnsi="Arial" w:cs="Arial"/>
          <w:b/>
          <w:bCs/>
        </w:rPr>
        <w:t>2</w:t>
      </w:r>
      <w:r w:rsidR="001760DB" w:rsidRPr="00305711">
        <w:rPr>
          <w:rFonts w:ascii="Arial" w:hAnsi="Arial" w:cs="Arial"/>
          <w:b/>
          <w:bCs/>
        </w:rPr>
        <w:t xml:space="preserve">. </w:t>
      </w:r>
      <w:r w:rsidR="00963EA1" w:rsidRPr="00305711">
        <w:rPr>
          <w:rFonts w:ascii="Arial" w:hAnsi="Arial" w:cs="Arial"/>
          <w:b/>
          <w:bCs/>
        </w:rPr>
        <w:t>O PENSAMENTO HETEROSSEXUAL COMO EXCLUDENTE DA POPULAÇÃO LGBTQIA</w:t>
      </w:r>
      <w:r w:rsidR="001760DB" w:rsidRPr="00305711">
        <w:rPr>
          <w:rFonts w:ascii="Arial" w:hAnsi="Arial" w:cs="Arial"/>
          <w:b/>
          <w:bCs/>
        </w:rPr>
        <w:t>+</w:t>
      </w:r>
    </w:p>
    <w:p w14:paraId="7CEFB336" w14:textId="77777777" w:rsidR="00DE0B82" w:rsidRPr="00305711" w:rsidRDefault="00DE0B82" w:rsidP="002F3DB5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619FB5C1" w14:textId="77777777" w:rsidR="00963EA1" w:rsidRPr="00305711" w:rsidRDefault="001760DB" w:rsidP="002F3DB5">
      <w:pPr>
        <w:spacing w:after="0" w:line="360" w:lineRule="auto"/>
        <w:ind w:firstLine="851"/>
        <w:jc w:val="both"/>
        <w:rPr>
          <w:rFonts w:ascii="Arial" w:hAnsi="Arial" w:cs="Arial"/>
          <w:b/>
          <w:bCs/>
        </w:rPr>
      </w:pPr>
      <w:r w:rsidRPr="00305711">
        <w:rPr>
          <w:rFonts w:ascii="Arial" w:hAnsi="Arial" w:cs="Arial"/>
        </w:rPr>
        <w:t xml:space="preserve">A compreensão da LGBTfobia enquanto fenômeno estrutural exige o reconhecimento das bases simbólicas e institucionais que sustentam a exclusão da população LGBTQIA+ do espaço da cidadania plena. Entre essas bases, destaca-se a lógica implícita do que se pode denominar pensamento heterossexual — um regime normativo que naturaliza a heterossexualidade como padrão único e legítimo de </w:t>
      </w:r>
      <w:r w:rsidRPr="00305711">
        <w:rPr>
          <w:rFonts w:ascii="Arial" w:hAnsi="Arial" w:cs="Arial"/>
        </w:rPr>
        <w:lastRenderedPageBreak/>
        <w:t>organização da vida afetiva, sexual e familiar, e que, por consequência, marginaliza as identidades dissidentes.</w:t>
      </w:r>
    </w:p>
    <w:p w14:paraId="0F20F90A" w14:textId="77777777" w:rsidR="00963EA1" w:rsidRPr="00305711" w:rsidRDefault="001760DB" w:rsidP="002F3DB5">
      <w:pPr>
        <w:spacing w:after="0" w:line="360" w:lineRule="auto"/>
        <w:ind w:firstLine="851"/>
        <w:jc w:val="both"/>
        <w:rPr>
          <w:rFonts w:ascii="Arial" w:hAnsi="Arial" w:cs="Arial"/>
        </w:rPr>
      </w:pPr>
      <w:r w:rsidRPr="00305711">
        <w:rPr>
          <w:rFonts w:ascii="Arial" w:hAnsi="Arial" w:cs="Arial"/>
        </w:rPr>
        <w:t>Esse regime de pensamento não se expressa apenas em discursos morais ou religiosos, mas estrutura o próprio funcionamento do Estado e das instituições jurídicas, moldando políticas públicas, legislações e práticas sociais a partir de um ideal de sujeito universal que é, invariavelmente, cisgênero e heterossexual. A consequência prática é a produção de um Estado omisso diante da violência contra a população LGBTQIA+, cuja existência é frequentemente negada, silenciada ou tratada como exceção patológica a um suposto padrão natural.</w:t>
      </w:r>
    </w:p>
    <w:p w14:paraId="653AEEB4" w14:textId="77777777" w:rsidR="00963EA1" w:rsidRPr="00305711" w:rsidRDefault="001760DB" w:rsidP="002F3DB5">
      <w:pPr>
        <w:spacing w:after="0" w:line="360" w:lineRule="auto"/>
        <w:ind w:firstLine="851"/>
        <w:jc w:val="both"/>
        <w:rPr>
          <w:rFonts w:ascii="Arial" w:hAnsi="Arial" w:cs="Arial"/>
          <w:b/>
          <w:bCs/>
        </w:rPr>
      </w:pPr>
      <w:r w:rsidRPr="00305711">
        <w:rPr>
          <w:rFonts w:ascii="Arial" w:hAnsi="Arial" w:cs="Arial"/>
        </w:rPr>
        <w:t>Essa constatação é evidenciada, por exemplo, na análise da omissão do Estado brasileiro na formulação de políticas de proteção e reconhecimento para essa população, como demonstrado em estudo que aponta a ausência de marcos normativos específicos e o tratamento periférico dado às demandas LGBTQIA+ no âmbito das políticas públicas (Oliveira, 2022).</w:t>
      </w:r>
    </w:p>
    <w:p w14:paraId="10C81560" w14:textId="5A8ED8A2" w:rsidR="00963EA1" w:rsidRPr="00305711" w:rsidRDefault="001760DB" w:rsidP="002F3DB5">
      <w:pPr>
        <w:spacing w:after="0" w:line="360" w:lineRule="auto"/>
        <w:ind w:firstLine="851"/>
        <w:jc w:val="both"/>
        <w:rPr>
          <w:rFonts w:ascii="Arial" w:hAnsi="Arial" w:cs="Arial"/>
          <w:b/>
          <w:bCs/>
        </w:rPr>
      </w:pPr>
      <w:r w:rsidRPr="00305711">
        <w:rPr>
          <w:rFonts w:ascii="Arial" w:hAnsi="Arial" w:cs="Arial"/>
        </w:rPr>
        <w:t xml:space="preserve">Nesse contexto, a exclusão opera não apenas pela ausência de normas, mas por uma </w:t>
      </w:r>
      <w:r w:rsidRPr="00305711">
        <w:rPr>
          <w:rFonts w:ascii="Arial" w:hAnsi="Arial" w:cs="Arial"/>
          <w:b/>
          <w:bCs/>
        </w:rPr>
        <w:t>presença ativa de um modelo normativo excludente</w:t>
      </w:r>
      <w:r w:rsidRPr="00305711">
        <w:rPr>
          <w:rFonts w:ascii="Arial" w:hAnsi="Arial" w:cs="Arial"/>
        </w:rPr>
        <w:t>, que limita o acesso à cidadania e reduz a população LGBTQIA+ a um lugar de subalternidade jurídica. Como observa o estudo sobre a luta de pessoas trans pelo reconhecimento no Brasil, essa estrutura social cria barreiras simbólicas e institucionais que impedem o pleno exercício de direitos, transformando a identidade de gênero e a orientação sexual em marcadores de exclusão (</w:t>
      </w:r>
      <w:r w:rsidR="007E69F6" w:rsidRPr="00305711">
        <w:rPr>
          <w:rFonts w:ascii="Arial" w:hAnsi="Arial" w:cs="Arial"/>
        </w:rPr>
        <w:t xml:space="preserve">Neto </w:t>
      </w:r>
      <w:r w:rsidRPr="00305711">
        <w:rPr>
          <w:rFonts w:ascii="Arial" w:hAnsi="Arial" w:cs="Arial"/>
        </w:rPr>
        <w:t xml:space="preserve">&amp; </w:t>
      </w:r>
      <w:r w:rsidR="007E69F6" w:rsidRPr="00305711">
        <w:rPr>
          <w:rFonts w:ascii="Arial" w:hAnsi="Arial" w:cs="Arial"/>
        </w:rPr>
        <w:t>Vieira</w:t>
      </w:r>
      <w:r w:rsidRPr="00305711">
        <w:rPr>
          <w:rFonts w:ascii="Arial" w:hAnsi="Arial" w:cs="Arial"/>
        </w:rPr>
        <w:t>, 2022).</w:t>
      </w:r>
    </w:p>
    <w:p w14:paraId="1D903A5B" w14:textId="265A9122" w:rsidR="00963EA1" w:rsidRPr="00305711" w:rsidRDefault="00556CD8" w:rsidP="002F3DB5">
      <w:pPr>
        <w:spacing w:after="0" w:line="360" w:lineRule="auto"/>
        <w:ind w:firstLine="851"/>
        <w:jc w:val="both"/>
        <w:rPr>
          <w:rFonts w:ascii="Arial" w:hAnsi="Arial" w:cs="Arial"/>
          <w:b/>
          <w:bCs/>
        </w:rPr>
      </w:pPr>
      <w:r w:rsidRPr="00556CD8">
        <w:rPr>
          <w:rFonts w:ascii="Arial" w:hAnsi="Arial" w:cs="Arial"/>
        </w:rPr>
        <w:t xml:space="preserve">Além disso, o pensamento heterossexual se manifesta no discurso jurídico pela </w:t>
      </w:r>
      <w:r w:rsidRPr="00556CD8">
        <w:rPr>
          <w:rFonts w:ascii="Arial" w:hAnsi="Arial" w:cs="Arial"/>
          <w:b/>
          <w:bCs/>
        </w:rPr>
        <w:t>resistência à criação de tipos penais específicos</w:t>
      </w:r>
      <w:r w:rsidRPr="00556CD8">
        <w:rPr>
          <w:rFonts w:ascii="Arial" w:hAnsi="Arial" w:cs="Arial"/>
        </w:rPr>
        <w:t xml:space="preserve"> e pela demora em reconhecer a LGBTfobia como forma autônoma de violência. Essa lógica excludente invisibiliza e desumaniza sujeitos LGBTQIA+, naturalizando a violência como parte de uma ordem social onde a diferença não é aceita. Conforme Freitas (2022), a atuação do Judiciário só ocorreu quando a omissão legislativa se tornou insustentável, o que revela como a norma heterossexual ainda regula, de forma implícita, os limites da proteção estatal, condicionando o reconhecimento de direitos à persistência da marginalização e à pressão social.</w:t>
      </w:r>
    </w:p>
    <w:p w14:paraId="2A9D0575" w14:textId="47985E23" w:rsidR="00963EA1" w:rsidRPr="00305711" w:rsidRDefault="001760DB" w:rsidP="002F3DB5">
      <w:pPr>
        <w:spacing w:after="0" w:line="360" w:lineRule="auto"/>
        <w:ind w:firstLine="851"/>
        <w:jc w:val="both"/>
        <w:rPr>
          <w:rFonts w:ascii="Arial" w:hAnsi="Arial" w:cs="Arial"/>
        </w:rPr>
      </w:pPr>
      <w:r w:rsidRPr="00305711">
        <w:rPr>
          <w:rFonts w:ascii="Arial" w:hAnsi="Arial" w:cs="Arial"/>
        </w:rPr>
        <w:t xml:space="preserve">Portanto, o pensamento heterossexual deve ser entendido como uma </w:t>
      </w:r>
      <w:r w:rsidRPr="00305711">
        <w:rPr>
          <w:rFonts w:ascii="Arial" w:hAnsi="Arial" w:cs="Arial"/>
          <w:b/>
          <w:bCs/>
        </w:rPr>
        <w:t>estrutura normativa de exclusão</w:t>
      </w:r>
      <w:r w:rsidRPr="00305711">
        <w:rPr>
          <w:rFonts w:ascii="Arial" w:hAnsi="Arial" w:cs="Arial"/>
        </w:rPr>
        <w:t xml:space="preserve"> que opera transversalmente nas instituições e nas práticas jurídicas, criando as condições para que a LGBTfobia se reproduza como fenômeno socialmente tolerado. A atuação do STF na ADO 26 </w:t>
      </w:r>
      <w:r w:rsidR="00D41EC0">
        <w:rPr>
          <w:rFonts w:ascii="Arial" w:hAnsi="Arial" w:cs="Arial"/>
        </w:rPr>
        <w:t>re</w:t>
      </w:r>
      <w:r w:rsidR="00D41EC0" w:rsidRPr="00D41EC0">
        <w:rPr>
          <w:rFonts w:ascii="Arial" w:hAnsi="Arial" w:cs="Arial"/>
        </w:rPr>
        <w:t xml:space="preserve">presenta um avanço </w:t>
      </w:r>
      <w:r w:rsidR="00D41EC0" w:rsidRPr="00D41EC0">
        <w:rPr>
          <w:rFonts w:ascii="Arial" w:hAnsi="Arial" w:cs="Arial"/>
        </w:rPr>
        <w:lastRenderedPageBreak/>
        <w:t>ao reconhecer a dignidade de sujeitos marginalizados, mas seus efeitos tendem a ser limitados se não houver enfrentamento das bases simbólicas que sustentam essa exclusão</w:t>
      </w:r>
      <w:r w:rsidRPr="00305711">
        <w:rPr>
          <w:rFonts w:ascii="Arial" w:hAnsi="Arial" w:cs="Arial"/>
        </w:rPr>
        <w:t>.</w:t>
      </w:r>
    </w:p>
    <w:p w14:paraId="081CAFDF" w14:textId="77777777" w:rsidR="00CE46FA" w:rsidRPr="00305711" w:rsidRDefault="00CE46FA" w:rsidP="002F3DB5">
      <w:pPr>
        <w:spacing w:after="0" w:line="360" w:lineRule="auto"/>
        <w:ind w:firstLine="851"/>
        <w:jc w:val="both"/>
        <w:rPr>
          <w:rFonts w:ascii="Arial" w:hAnsi="Arial" w:cs="Arial"/>
          <w:b/>
          <w:bCs/>
        </w:rPr>
      </w:pPr>
    </w:p>
    <w:p w14:paraId="792A5745" w14:textId="398D5C6F" w:rsidR="000D4CC0" w:rsidRDefault="00060527" w:rsidP="002F3DB5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305711">
        <w:rPr>
          <w:rFonts w:ascii="Arial" w:hAnsi="Arial" w:cs="Arial"/>
          <w:b/>
          <w:bCs/>
        </w:rPr>
        <w:t>3</w:t>
      </w:r>
      <w:r w:rsidR="00055648" w:rsidRPr="00305711">
        <w:rPr>
          <w:rFonts w:ascii="Arial" w:hAnsi="Arial" w:cs="Arial"/>
          <w:b/>
          <w:bCs/>
        </w:rPr>
        <w:t xml:space="preserve">. </w:t>
      </w:r>
      <w:r w:rsidR="00321A3B" w:rsidRPr="00305711">
        <w:rPr>
          <w:rFonts w:ascii="Arial" w:hAnsi="Arial" w:cs="Arial"/>
          <w:b/>
          <w:bCs/>
        </w:rPr>
        <w:t>A DECISÃO DO STF SOBRE LGBTFOBIA COMO RACISMO: FUNDAMENTOS, LIMITES E CONTROVÉRSIAS CONSTITUCIONAIS</w:t>
      </w:r>
    </w:p>
    <w:p w14:paraId="0B9CAE0C" w14:textId="77777777" w:rsidR="008159A1" w:rsidRPr="00305711" w:rsidRDefault="008159A1" w:rsidP="002F3DB5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262D14E2" w14:textId="77777777" w:rsidR="0097441B" w:rsidRPr="00305711" w:rsidRDefault="0097441B" w:rsidP="002F3DB5">
      <w:pPr>
        <w:spacing w:after="0" w:line="360" w:lineRule="auto"/>
        <w:ind w:firstLine="851"/>
        <w:jc w:val="both"/>
        <w:rPr>
          <w:rFonts w:ascii="Arial" w:hAnsi="Arial" w:cs="Arial"/>
        </w:rPr>
      </w:pPr>
      <w:r w:rsidRPr="00305711">
        <w:rPr>
          <w:rFonts w:ascii="Arial" w:hAnsi="Arial" w:cs="Arial"/>
        </w:rPr>
        <w:t xml:space="preserve">A decisão do Supremo Tribunal Federal nas ações ADO 26/DF e MI 4.733/DF representou um marco na jurisprudência constitucional ao reconhecer a omissão legislativa em criminalizar condutas motivadas por LGBTfobia, autorizando, como resposta, a aplicação da Lei nº 7.716/1989. Fundamentada nos princípios da igualdade, da dignidade da pessoa humana e da não discriminação, a decisão teve por base os </w:t>
      </w:r>
      <w:proofErr w:type="spellStart"/>
      <w:r w:rsidRPr="00305711">
        <w:rPr>
          <w:rFonts w:ascii="Arial" w:hAnsi="Arial" w:cs="Arial"/>
        </w:rPr>
        <w:t>arts</w:t>
      </w:r>
      <w:proofErr w:type="spellEnd"/>
      <w:r w:rsidRPr="00305711">
        <w:rPr>
          <w:rFonts w:ascii="Arial" w:hAnsi="Arial" w:cs="Arial"/>
        </w:rPr>
        <w:t>. 1º, III, e 5º, caput e XLII, da Constituição Federal.</w:t>
      </w:r>
    </w:p>
    <w:p w14:paraId="2A86F426" w14:textId="77777777" w:rsidR="0097441B" w:rsidRPr="00305711" w:rsidRDefault="0097441B" w:rsidP="002F3DB5">
      <w:pPr>
        <w:spacing w:after="0" w:line="360" w:lineRule="auto"/>
        <w:ind w:firstLine="851"/>
        <w:jc w:val="both"/>
        <w:rPr>
          <w:rFonts w:ascii="Arial" w:hAnsi="Arial" w:cs="Arial"/>
        </w:rPr>
      </w:pPr>
      <w:r w:rsidRPr="00305711">
        <w:rPr>
          <w:rFonts w:ascii="Arial" w:hAnsi="Arial" w:cs="Arial"/>
        </w:rPr>
        <w:t>Para Flores (2024), o julgamento assume papel paradigmático ao afirmar a cidadania sexual como um direito fundamental, embora seus efeitos concretos ainda sejam limitados por barreiras institucionais e culturais. O autor considera a decisão uma “promessa de proteção” que depende da articulação entre os Poderes para sua efetividade.</w:t>
      </w:r>
    </w:p>
    <w:p w14:paraId="16512BAD" w14:textId="77777777" w:rsidR="0097441B" w:rsidRPr="00305711" w:rsidRDefault="0097441B" w:rsidP="002F3DB5">
      <w:pPr>
        <w:spacing w:after="0" w:line="360" w:lineRule="auto"/>
        <w:ind w:firstLine="851"/>
        <w:jc w:val="both"/>
        <w:rPr>
          <w:rFonts w:ascii="Arial" w:hAnsi="Arial" w:cs="Arial"/>
        </w:rPr>
      </w:pPr>
      <w:r w:rsidRPr="00305711">
        <w:rPr>
          <w:rFonts w:ascii="Arial" w:hAnsi="Arial" w:cs="Arial"/>
        </w:rPr>
        <w:t>No campo penal, surgem relevantes controvérsias. A aplicação extensiva da Lei nº 7.716/1989 — originalmente concebida para o combate ao racismo étnico-racial — gerou críticas quanto à legalidade estrita. Braga (2019) aponta que tal interpretação configura analogia in malam partem, afrontando garantias históricas do direito penal liberal ao permitir a criação de tipos penais por meio da jurisdição constitucional.</w:t>
      </w:r>
    </w:p>
    <w:p w14:paraId="43054578" w14:textId="77777777" w:rsidR="0097441B" w:rsidRPr="00305711" w:rsidRDefault="0097441B" w:rsidP="002F3DB5">
      <w:pPr>
        <w:spacing w:after="0" w:line="360" w:lineRule="auto"/>
        <w:ind w:firstLine="851"/>
        <w:jc w:val="both"/>
        <w:rPr>
          <w:rFonts w:ascii="Arial" w:hAnsi="Arial" w:cs="Arial"/>
        </w:rPr>
      </w:pPr>
      <w:r w:rsidRPr="00305711">
        <w:rPr>
          <w:rFonts w:ascii="Arial" w:hAnsi="Arial" w:cs="Arial"/>
        </w:rPr>
        <w:t>Nesse mesmo sentido, Medeiros e Andrade (2020) destacam que, ao inovar na ordem jurídica por decisão judicial, o STF ultrapassou os limites da função jurisdicional, violando a cláusula da reserva legal e a separação de poderes. Ainda que impulsionada pela omissão legislativa, a decisão impôs obrigações penais sem deliberação parlamentar, o que acende alertas institucionais.</w:t>
      </w:r>
    </w:p>
    <w:p w14:paraId="3C46DA38" w14:textId="77777777" w:rsidR="0097441B" w:rsidRPr="00305711" w:rsidRDefault="0097441B" w:rsidP="002F3DB5">
      <w:pPr>
        <w:spacing w:after="0" w:line="360" w:lineRule="auto"/>
        <w:ind w:firstLine="851"/>
        <w:jc w:val="both"/>
        <w:rPr>
          <w:rFonts w:ascii="Arial" w:hAnsi="Arial" w:cs="Arial"/>
        </w:rPr>
      </w:pPr>
      <w:r w:rsidRPr="00305711">
        <w:rPr>
          <w:rFonts w:ascii="Arial" w:hAnsi="Arial" w:cs="Arial"/>
        </w:rPr>
        <w:t>Abboud (2025) aprofunda essa crítica ao rejeitar tanto a exaltação quanto a demonização do STF. O autor defende que o ativismo judicial deve se submeter aos marcos constitucionais e à responsabilidade democrática, sob pena de se tornar um instrumento de insegurança normativa. Para ele, o papel contramajoritário da Corte não legitima, por si só, a atuação inovadora em matéria penal.</w:t>
      </w:r>
    </w:p>
    <w:p w14:paraId="052E7715" w14:textId="77777777" w:rsidR="0097441B" w:rsidRPr="00305711" w:rsidRDefault="0097441B" w:rsidP="002F3DB5">
      <w:pPr>
        <w:spacing w:after="0" w:line="360" w:lineRule="auto"/>
        <w:ind w:firstLine="851"/>
        <w:jc w:val="both"/>
        <w:rPr>
          <w:rFonts w:ascii="Arial" w:hAnsi="Arial" w:cs="Arial"/>
        </w:rPr>
      </w:pPr>
      <w:r w:rsidRPr="00305711">
        <w:rPr>
          <w:rFonts w:ascii="Arial" w:hAnsi="Arial" w:cs="Arial"/>
        </w:rPr>
        <w:lastRenderedPageBreak/>
        <w:t>Contudo, essas críticas devem ser analisadas em contexto. Oliveira (2022) argumenta que o Estado brasileiro, historicamente, se omitiu diante da violência contra pessoas LGBTQIA+, ignorando a formulação de políticas públicas específicas. Nesse cenário, a decisão do STF configura uma resposta constitucional simbólica à marginalização institucional, mesmo que não supere, isoladamente, as barreiras estruturais.</w:t>
      </w:r>
    </w:p>
    <w:p w14:paraId="629B00D9" w14:textId="77777777" w:rsidR="0097441B" w:rsidRPr="00305711" w:rsidRDefault="0097441B" w:rsidP="002F3DB5">
      <w:pPr>
        <w:spacing w:after="0" w:line="360" w:lineRule="auto"/>
        <w:ind w:firstLine="851"/>
        <w:jc w:val="both"/>
        <w:rPr>
          <w:rFonts w:ascii="Arial" w:hAnsi="Arial" w:cs="Arial"/>
        </w:rPr>
      </w:pPr>
      <w:r w:rsidRPr="00305711">
        <w:rPr>
          <w:rFonts w:ascii="Arial" w:hAnsi="Arial" w:cs="Arial"/>
        </w:rPr>
        <w:t>Complementando essa perspectiva, Freitas (2022) sustenta que a criminalização da LGBTfobia resultou de um movimento judicial corretivo diante da incapacidade do Legislativo de garantir a proteção de grupos vulneráveis. Para o autor, ainda que existam riscos hermenêuticos, o julgamento representa uma resposta urgente a uma realidade marcada pela violência reiterada.</w:t>
      </w:r>
    </w:p>
    <w:p w14:paraId="6F7C62B7" w14:textId="77777777" w:rsidR="0097441B" w:rsidRPr="00305711" w:rsidRDefault="0097441B" w:rsidP="002F3DB5">
      <w:pPr>
        <w:spacing w:after="0" w:line="360" w:lineRule="auto"/>
        <w:ind w:firstLine="851"/>
        <w:jc w:val="both"/>
        <w:rPr>
          <w:rFonts w:ascii="Arial" w:hAnsi="Arial" w:cs="Arial"/>
        </w:rPr>
      </w:pPr>
      <w:proofErr w:type="spellStart"/>
      <w:r w:rsidRPr="00305711">
        <w:rPr>
          <w:rFonts w:ascii="Arial" w:hAnsi="Arial" w:cs="Arial"/>
        </w:rPr>
        <w:t>Arguelhes</w:t>
      </w:r>
      <w:proofErr w:type="spellEnd"/>
      <w:r w:rsidRPr="00305711">
        <w:rPr>
          <w:rFonts w:ascii="Arial" w:hAnsi="Arial" w:cs="Arial"/>
        </w:rPr>
        <w:t xml:space="preserve"> e Ribeiro (2016) explicam essa atuação a partir da transformação do STF em ator político relevante, impulsionada pela fragmentação do sistema representativo e pela omissão parlamentar. A Corte, nesse contexto, exerce uma função compensatória, embora nem sempre acompanhada da densidade normativa exigida pelas decisões com efeitos penais.</w:t>
      </w:r>
    </w:p>
    <w:p w14:paraId="11E3F72D" w14:textId="227C3132" w:rsidR="0097441B" w:rsidRPr="00305711" w:rsidRDefault="00FB0ACC" w:rsidP="002F3DB5">
      <w:pPr>
        <w:spacing w:after="0" w:line="360" w:lineRule="auto"/>
        <w:ind w:firstLine="851"/>
        <w:jc w:val="both"/>
        <w:rPr>
          <w:rFonts w:ascii="Arial" w:hAnsi="Arial" w:cs="Arial"/>
        </w:rPr>
      </w:pPr>
      <w:r w:rsidRPr="00FB0ACC">
        <w:rPr>
          <w:rFonts w:ascii="Arial" w:hAnsi="Arial" w:cs="Arial"/>
        </w:rPr>
        <w:t xml:space="preserve">A decisão do STF, fundamentada nos princípios da igualdade e dignidade, busca enfrentar a omissão estatal diante da violência </w:t>
      </w:r>
      <w:proofErr w:type="spellStart"/>
      <w:r w:rsidRPr="00FB0ACC">
        <w:rPr>
          <w:rFonts w:ascii="Arial" w:hAnsi="Arial" w:cs="Arial"/>
        </w:rPr>
        <w:t>homotransfóbica</w:t>
      </w:r>
      <w:proofErr w:type="spellEnd"/>
      <w:r w:rsidRPr="00FB0ACC">
        <w:rPr>
          <w:rFonts w:ascii="Arial" w:hAnsi="Arial" w:cs="Arial"/>
        </w:rPr>
        <w:t>. No entanto, revela os riscos de um ativismo judicial que desafia os limites da legalidade penal e da separação de poderes. Compreender essa tensão é essencial para avaliar seus impactos. Como destaca Flores (2024), somente com medidas legislativas, políticas públicas e compromisso institucional será possível transformar a decisão em mudança concreta para a população LGBTQIA+</w:t>
      </w:r>
      <w:r w:rsidR="0097441B" w:rsidRPr="00305711">
        <w:rPr>
          <w:rFonts w:ascii="Arial" w:hAnsi="Arial" w:cs="Arial"/>
        </w:rPr>
        <w:t>.</w:t>
      </w:r>
    </w:p>
    <w:p w14:paraId="3E689EAC" w14:textId="77777777" w:rsidR="00EF3466" w:rsidRPr="00305711" w:rsidRDefault="00EF3466" w:rsidP="002F3DB5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56698F80" w14:textId="1177FF2B" w:rsidR="00EF3466" w:rsidRDefault="00060527" w:rsidP="002F3DB5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305711">
        <w:rPr>
          <w:rFonts w:ascii="Arial" w:hAnsi="Arial" w:cs="Arial"/>
          <w:b/>
          <w:bCs/>
        </w:rPr>
        <w:t>4</w:t>
      </w:r>
      <w:r w:rsidR="00B360A1" w:rsidRPr="00305711">
        <w:rPr>
          <w:rFonts w:ascii="Arial" w:hAnsi="Arial" w:cs="Arial"/>
          <w:b/>
          <w:bCs/>
        </w:rPr>
        <w:t xml:space="preserve">. </w:t>
      </w:r>
      <w:r w:rsidR="00EF3466" w:rsidRPr="00305711">
        <w:rPr>
          <w:rFonts w:ascii="Arial" w:hAnsi="Arial" w:cs="Arial"/>
          <w:b/>
          <w:bCs/>
        </w:rPr>
        <w:t>IMPACTOS NORMATIVOS E PRÁTICOS DA DECISÃO DO STF: POSSIBILIDADE DA DIMINUIÇÃO DA VIOLÊNCIA</w:t>
      </w:r>
    </w:p>
    <w:p w14:paraId="585374DF" w14:textId="77777777" w:rsidR="00FB0ACC" w:rsidRPr="00305711" w:rsidRDefault="00FB0ACC" w:rsidP="002F3DB5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6DF07BDB" w14:textId="6D64905A" w:rsidR="00816243" w:rsidRPr="00305711" w:rsidRDefault="00816243" w:rsidP="002F3DB5">
      <w:pPr>
        <w:spacing w:after="0" w:line="360" w:lineRule="auto"/>
        <w:ind w:firstLine="851"/>
        <w:jc w:val="both"/>
        <w:rPr>
          <w:rFonts w:ascii="Arial" w:hAnsi="Arial" w:cs="Arial"/>
        </w:rPr>
      </w:pPr>
      <w:r w:rsidRPr="00305711">
        <w:rPr>
          <w:rFonts w:ascii="Arial" w:hAnsi="Arial" w:cs="Arial"/>
        </w:rPr>
        <w:t>A decisão proferida pelo Supremo Tribunal Federal na ADO 26/DF e no MI 4.733/DF, ao equiparar a LGBTfobia ao crime de racismo, produziu efeitos relevantes tanto no plano jurídico quanto no plano simbólico. Trata-se de um marco institucional de grande magnitude, pois rompeu com a histórica invisibilização da violência dirigida contra pessoas LGBTQIA+ e reconheceu, com força vinculante, a necessidade de resposta penal a práticas discriminatórias antes naturalizadas ou desconsideradas.</w:t>
      </w:r>
    </w:p>
    <w:p w14:paraId="3DCC7E5D" w14:textId="0D747B95" w:rsidR="00816243" w:rsidRPr="00305711" w:rsidRDefault="00816243" w:rsidP="002F3DB5">
      <w:pPr>
        <w:spacing w:after="0" w:line="360" w:lineRule="auto"/>
        <w:ind w:firstLine="851"/>
        <w:jc w:val="both"/>
        <w:rPr>
          <w:rFonts w:ascii="Arial" w:hAnsi="Arial" w:cs="Arial"/>
        </w:rPr>
      </w:pPr>
      <w:r w:rsidRPr="00305711">
        <w:rPr>
          <w:rFonts w:ascii="Arial" w:hAnsi="Arial" w:cs="Arial"/>
        </w:rPr>
        <w:lastRenderedPageBreak/>
        <w:t xml:space="preserve">No plano normativo, a decisão impôs aos órgãos do sistema de justiça a aplicação da Lei nº 7.716/1989 às condutas </w:t>
      </w:r>
      <w:proofErr w:type="spellStart"/>
      <w:r w:rsidRPr="00305711">
        <w:rPr>
          <w:rFonts w:ascii="Arial" w:hAnsi="Arial" w:cs="Arial"/>
        </w:rPr>
        <w:t>homotransfóbicas</w:t>
      </w:r>
      <w:proofErr w:type="spellEnd"/>
      <w:r w:rsidRPr="00305711">
        <w:rPr>
          <w:rFonts w:ascii="Arial" w:hAnsi="Arial" w:cs="Arial"/>
        </w:rPr>
        <w:t>, criando um novo parâmetro de atuação institucional. No entanto, como salientado por Medeiros e Andrade (2020), a ausência de um tipo penal positivado específico gera insegurança jurídica e dificuldades práticas de tipificação, o que compromete a eficácia da proteção legal. A despeito da força simbólica da decisão, os operadores do direito encontram obstáculos concretos para sua efetiva aplicação, seja por resistência institucional, seja por lacunas técnicas na persecução penal.</w:t>
      </w:r>
    </w:p>
    <w:p w14:paraId="69188EB9" w14:textId="48B5CAFC" w:rsidR="00816243" w:rsidRPr="00305711" w:rsidRDefault="00816243" w:rsidP="002F3DB5">
      <w:pPr>
        <w:spacing w:after="0" w:line="360" w:lineRule="auto"/>
        <w:ind w:firstLine="851"/>
        <w:jc w:val="both"/>
        <w:rPr>
          <w:rFonts w:ascii="Arial" w:hAnsi="Arial" w:cs="Arial"/>
        </w:rPr>
      </w:pPr>
      <w:r w:rsidRPr="00305711">
        <w:rPr>
          <w:rFonts w:ascii="Arial" w:hAnsi="Arial" w:cs="Arial"/>
        </w:rPr>
        <w:t>Ainda assim, o julgamento gerou um importante efeito transformador no campo simbólico. A formalização da LGBTfobia como manifestação de racismo produz um gesto de reconhecimento institucional que, conforme argumenta Abboud (2025), reconfigura o discurso público e impõe novos limites éticos e jurídicos à conduta social. Mesmo que seus efeitos diretos ainda sejam limitados, o reconhecimento normativo da dignidade das pessoas LGBTQIA+ pode atuar como fator de dissuasão social da violência, ao deslocar o preconceito do campo da tolerância cultural para o campo da reprovação penal.</w:t>
      </w:r>
    </w:p>
    <w:p w14:paraId="6E284059" w14:textId="6B024CB5" w:rsidR="00816243" w:rsidRPr="00305711" w:rsidRDefault="00816243" w:rsidP="002F3DB5">
      <w:pPr>
        <w:spacing w:after="0" w:line="360" w:lineRule="auto"/>
        <w:ind w:firstLine="851"/>
        <w:jc w:val="both"/>
        <w:rPr>
          <w:rFonts w:ascii="Arial" w:hAnsi="Arial" w:cs="Arial"/>
        </w:rPr>
      </w:pPr>
      <w:r w:rsidRPr="00305711">
        <w:rPr>
          <w:rFonts w:ascii="Arial" w:hAnsi="Arial" w:cs="Arial"/>
        </w:rPr>
        <w:t>É nesse ponto que se abre a possibilidade da diminuição da violência contra a população LGBTQIA+, ainda que não se trate de um efeito imediato ou uniforme. Conforme observa Flores (2024), o julgamento tem potencial de influenciar positivamente políticas públicas, campanhas institucionais e a atuação do Ministério Público, ampliando a responsabilização dos agressores e fortalecendo a proteção estatal. Ao transformar a LGBTfobia em objeto de repressão penal, a decisão contribui para a construção de um ambiente normativo mais hostil ao preconceito, o que pode, gradualmente, gerar reflexos positivos na segurança e na integridade das vítimas.</w:t>
      </w:r>
    </w:p>
    <w:p w14:paraId="19397AD0" w14:textId="77777777" w:rsidR="00816243" w:rsidRPr="00305711" w:rsidRDefault="00816243" w:rsidP="002F3DB5">
      <w:pPr>
        <w:spacing w:after="0" w:line="360" w:lineRule="auto"/>
        <w:ind w:firstLine="851"/>
        <w:jc w:val="both"/>
        <w:rPr>
          <w:rFonts w:ascii="Arial" w:hAnsi="Arial" w:cs="Arial"/>
        </w:rPr>
      </w:pPr>
      <w:r w:rsidRPr="00305711">
        <w:rPr>
          <w:rFonts w:ascii="Arial" w:hAnsi="Arial" w:cs="Arial"/>
        </w:rPr>
        <w:t>Entretanto, é preciso reconhecer que esse potencial depende da articulação entre o Judiciário, o Legislativo e os demais agentes estatais. Sem o avanço legislativo na definição de tipos penais específicos, sem a capacitação dos atores jurídicos e sem a conscientização social ampla, os efeitos da decisão podem permanecer restritos ao plano simbólico. Nesse sentido, a decisão do STF deve ser compreendida não como um ponto de chegada, mas como um ponto de partida para a consolidação de uma política jurídica antidiscriminatória efetiva.</w:t>
      </w:r>
    </w:p>
    <w:p w14:paraId="4D29475E" w14:textId="77777777" w:rsidR="00816243" w:rsidRPr="00305711" w:rsidRDefault="00816243" w:rsidP="002F3DB5">
      <w:pPr>
        <w:spacing w:after="0" w:line="360" w:lineRule="auto"/>
        <w:ind w:firstLine="851"/>
        <w:jc w:val="both"/>
        <w:rPr>
          <w:rFonts w:ascii="Arial" w:hAnsi="Arial" w:cs="Arial"/>
        </w:rPr>
      </w:pPr>
      <w:r w:rsidRPr="00305711">
        <w:rPr>
          <w:rFonts w:ascii="Arial" w:hAnsi="Arial" w:cs="Arial"/>
        </w:rPr>
        <w:t xml:space="preserve">Em suma, os impactos da decisão da ADO 26/DF devem ser avaliados sob duas perspectivas complementares: de um lado, seus limites práticos em razão da ausência de normatização específica; de outro, seu valor como instrumento de </w:t>
      </w:r>
      <w:r w:rsidRPr="00305711">
        <w:rPr>
          <w:rFonts w:ascii="Arial" w:hAnsi="Arial" w:cs="Arial"/>
        </w:rPr>
        <w:lastRenderedPageBreak/>
        <w:t>transformação cultural e institucional. É nessa interseção que reside a possibilidade real — embora ainda incipiente — de diminuição da violência contra a população LGBTQIA+, desde que a decisão seja acompanhada de medidas estruturais e de comprometimento político com a efetividade da igualdade material.</w:t>
      </w:r>
    </w:p>
    <w:p w14:paraId="286CB9DC" w14:textId="6FBAD7AA" w:rsidR="008C29E1" w:rsidRPr="00305711" w:rsidRDefault="008C29E1" w:rsidP="002F3DB5">
      <w:pPr>
        <w:spacing w:after="0" w:line="360" w:lineRule="auto"/>
        <w:ind w:firstLine="851"/>
        <w:jc w:val="both"/>
        <w:rPr>
          <w:rFonts w:ascii="Arial" w:hAnsi="Arial" w:cs="Arial"/>
        </w:rPr>
      </w:pPr>
    </w:p>
    <w:p w14:paraId="5070773E" w14:textId="650BD433" w:rsidR="00AB3C90" w:rsidRDefault="0038152E" w:rsidP="002F3DB5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305711">
        <w:rPr>
          <w:rFonts w:ascii="Arial" w:hAnsi="Arial" w:cs="Arial"/>
          <w:b/>
          <w:bCs/>
        </w:rPr>
        <w:t xml:space="preserve">5. </w:t>
      </w:r>
      <w:r w:rsidR="00AB794D" w:rsidRPr="00305711">
        <w:rPr>
          <w:rFonts w:ascii="Arial" w:hAnsi="Arial" w:cs="Arial"/>
          <w:b/>
          <w:bCs/>
        </w:rPr>
        <w:t>ANÁLISE DA EFETIVIDADE DAS POLÍTICAS PÚBLICAS IMPLEMENTADAS EM DECORRÊNCIA DOS JULGADOS</w:t>
      </w:r>
    </w:p>
    <w:p w14:paraId="5FA5122B" w14:textId="77777777" w:rsidR="00FB0ACC" w:rsidRPr="00305711" w:rsidRDefault="00FB0ACC" w:rsidP="002F3DB5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42CF8433" w14:textId="77777777" w:rsidR="00AF7CE5" w:rsidRPr="00305711" w:rsidRDefault="00AF7CE5" w:rsidP="002F3DB5">
      <w:pPr>
        <w:spacing w:after="0" w:line="360" w:lineRule="auto"/>
        <w:ind w:firstLine="851"/>
        <w:jc w:val="both"/>
        <w:rPr>
          <w:rFonts w:ascii="Arial" w:hAnsi="Arial" w:cs="Arial"/>
        </w:rPr>
      </w:pPr>
      <w:r w:rsidRPr="00305711">
        <w:rPr>
          <w:rFonts w:ascii="Arial" w:hAnsi="Arial" w:cs="Arial"/>
        </w:rPr>
        <w:t>A decisão do Supremo Tribunal Federal nas ações ADO 26/DF e MI 4.733/DF, ao equiparar a LGBTfobia ao crime de racismo, impulsionou a formulação e ampliação de políticas públicas voltadas à população LGBTQIA+. No âmbito federal, essa resposta institucional tem se concretizado por meio de programas estruturados e investimentos diretos, especialmente através da Lei Orçamentária Anual (LOA) e do Plano Plurianual (PPA) 2024–2027.</w:t>
      </w:r>
    </w:p>
    <w:p w14:paraId="2E0F6063" w14:textId="6ACCF005" w:rsidR="00AF7CE5" w:rsidRPr="00305711" w:rsidRDefault="00AF7CE5" w:rsidP="002F3DB5">
      <w:pPr>
        <w:spacing w:after="0" w:line="360" w:lineRule="auto"/>
        <w:ind w:firstLine="851"/>
        <w:jc w:val="both"/>
        <w:rPr>
          <w:rFonts w:ascii="Arial" w:hAnsi="Arial" w:cs="Arial"/>
        </w:rPr>
      </w:pPr>
      <w:r w:rsidRPr="00305711">
        <w:rPr>
          <w:rFonts w:ascii="Arial" w:hAnsi="Arial" w:cs="Arial"/>
        </w:rPr>
        <w:t>A LOA de 2024</w:t>
      </w:r>
      <w:r w:rsidR="00857D04" w:rsidRPr="00305711">
        <w:rPr>
          <w:rStyle w:val="Refdenotaderodap"/>
          <w:rFonts w:ascii="Arial" w:hAnsi="Arial" w:cs="Arial"/>
        </w:rPr>
        <w:footnoteReference w:id="3"/>
      </w:r>
      <w:r w:rsidRPr="00305711">
        <w:rPr>
          <w:rFonts w:ascii="Arial" w:hAnsi="Arial" w:cs="Arial"/>
        </w:rPr>
        <w:t xml:space="preserve"> destinou R$ 27.223.794 à promoção e defesa dos direitos LGBTQIA+, sob gestão do Ministério dos Direitos Humanos e da Cidadania (MDHC), conforme previsto na Lei nº 14.822, de 22 de janeiro de 2024. Desse montante, R$ 7.412.721 correspondem a despesas discricionárias, enquanto a maior parte – R$ 18.459.893 – decorre de emendas parlamentares individuais, e R$ 1.351.180, de emendas de comissão, o que evidencia certa dependência política para a efetivação dessas políticas.</w:t>
      </w:r>
    </w:p>
    <w:p w14:paraId="1EF170DC" w14:textId="77777777" w:rsidR="00AF7CE5" w:rsidRPr="00305711" w:rsidRDefault="00AF7CE5" w:rsidP="002F3DB5">
      <w:pPr>
        <w:spacing w:after="0" w:line="360" w:lineRule="auto"/>
        <w:ind w:firstLine="851"/>
        <w:jc w:val="both"/>
        <w:rPr>
          <w:rFonts w:ascii="Arial" w:hAnsi="Arial" w:cs="Arial"/>
        </w:rPr>
      </w:pPr>
      <w:r w:rsidRPr="00305711">
        <w:rPr>
          <w:rFonts w:ascii="Arial" w:hAnsi="Arial" w:cs="Arial"/>
        </w:rPr>
        <w:t>Em contraste, no exercício anterior (2023), a LOA havia alocado apenas R$ 325.841 para ações de enfrentamento à violência LGBTfóbica, ainda sob a gestão do extinto Ministério da Mulher, da Família e dos Direitos Humanos. A ampliação significativa dos recursos em 2024 revela um novo direcionamento político e institucional.</w:t>
      </w:r>
    </w:p>
    <w:p w14:paraId="2F8378EC" w14:textId="03D50ABD" w:rsidR="00AF7CE5" w:rsidRPr="00305711" w:rsidRDefault="00AF7CE5" w:rsidP="002F3DB5">
      <w:pPr>
        <w:spacing w:after="0" w:line="360" w:lineRule="auto"/>
        <w:ind w:firstLine="851"/>
        <w:jc w:val="both"/>
        <w:rPr>
          <w:rFonts w:ascii="Arial" w:hAnsi="Arial" w:cs="Arial"/>
        </w:rPr>
      </w:pPr>
      <w:r w:rsidRPr="00305711">
        <w:rPr>
          <w:rFonts w:ascii="Arial" w:hAnsi="Arial" w:cs="Arial"/>
        </w:rPr>
        <w:t>Tais recursos financiam programas articulados no escopo do PPA 2024–2027</w:t>
      </w:r>
      <w:r w:rsidR="00813B39" w:rsidRPr="00305711">
        <w:rPr>
          <w:rStyle w:val="Refdenotaderodap"/>
          <w:rFonts w:ascii="Arial" w:hAnsi="Arial" w:cs="Arial"/>
        </w:rPr>
        <w:footnoteReference w:id="4"/>
      </w:r>
      <w:r w:rsidRPr="00305711">
        <w:rPr>
          <w:rFonts w:ascii="Arial" w:hAnsi="Arial" w:cs="Arial"/>
        </w:rPr>
        <w:t>, agrupados sob a marca “LGBTQIA+ Cidadania”</w:t>
      </w:r>
      <w:r w:rsidR="002746AC" w:rsidRPr="00305711">
        <w:rPr>
          <w:rStyle w:val="Refdenotaderodap"/>
          <w:rFonts w:ascii="Arial" w:hAnsi="Arial" w:cs="Arial"/>
        </w:rPr>
        <w:footnoteReference w:id="5"/>
      </w:r>
      <w:r w:rsidRPr="00305711">
        <w:rPr>
          <w:rFonts w:ascii="Arial" w:hAnsi="Arial" w:cs="Arial"/>
        </w:rPr>
        <w:t xml:space="preserve">, criada para conferir visibilidade e integrar todas as ações estratégicas destinadas à promoção da cidadania, à redução da violência e ao acesso a trabalho digno para essa população. </w:t>
      </w:r>
      <w:r w:rsidRPr="00305711">
        <w:rPr>
          <w:rFonts w:ascii="Arial" w:hAnsi="Arial" w:cs="Arial"/>
        </w:rPr>
        <w:lastRenderedPageBreak/>
        <w:t>Essa iniciativa busca garantir coerência entre a atuação administrativa e os compromissos constitucionais de proteção dos direitos fundamentais.</w:t>
      </w:r>
    </w:p>
    <w:p w14:paraId="61C2B6C5" w14:textId="77777777" w:rsidR="00AF7CE5" w:rsidRPr="00305711" w:rsidRDefault="00AF7CE5" w:rsidP="002F3DB5">
      <w:pPr>
        <w:spacing w:after="0" w:line="360" w:lineRule="auto"/>
        <w:ind w:firstLine="851"/>
        <w:jc w:val="both"/>
        <w:rPr>
          <w:rFonts w:ascii="Arial" w:hAnsi="Arial" w:cs="Arial"/>
        </w:rPr>
      </w:pPr>
      <w:r w:rsidRPr="00305711">
        <w:rPr>
          <w:rFonts w:ascii="Arial" w:hAnsi="Arial" w:cs="Arial"/>
        </w:rPr>
        <w:t xml:space="preserve">Dentre os programas estruturantes, destacam-se: </w:t>
      </w:r>
      <w:r w:rsidRPr="00305711">
        <w:rPr>
          <w:rFonts w:ascii="Arial" w:hAnsi="Arial" w:cs="Arial"/>
          <w:b/>
          <w:bCs/>
        </w:rPr>
        <w:t>Acolher+</w:t>
      </w:r>
      <w:r w:rsidRPr="00305711">
        <w:rPr>
          <w:rFonts w:ascii="Arial" w:hAnsi="Arial" w:cs="Arial"/>
        </w:rPr>
        <w:t xml:space="preserve">, </w:t>
      </w:r>
      <w:r w:rsidRPr="00305711">
        <w:rPr>
          <w:rFonts w:ascii="Arial" w:hAnsi="Arial" w:cs="Arial"/>
          <w:b/>
          <w:bCs/>
        </w:rPr>
        <w:t>Empodera+</w:t>
      </w:r>
      <w:r w:rsidRPr="00305711">
        <w:rPr>
          <w:rFonts w:ascii="Arial" w:hAnsi="Arial" w:cs="Arial"/>
        </w:rPr>
        <w:t xml:space="preserve"> e </w:t>
      </w:r>
      <w:r w:rsidRPr="00305711">
        <w:rPr>
          <w:rFonts w:ascii="Arial" w:hAnsi="Arial" w:cs="Arial"/>
          <w:b/>
          <w:bCs/>
        </w:rPr>
        <w:t>Bem Viver+</w:t>
      </w:r>
      <w:r w:rsidRPr="00305711">
        <w:rPr>
          <w:rFonts w:ascii="Arial" w:hAnsi="Arial" w:cs="Arial"/>
        </w:rPr>
        <w:t>. O Acolher+ é voltado à criação e fortalecimento de casas de acolhimento para pessoas LGBTQIA+ em situação de rua ou em vulnerabilidade decorrente da discriminação familiar e social. Com apoio técnico da Fiocruz, o programa promove o suporte a casas já existentes e a implantação de modelos institucionais, com foco também em atividades culturais e de cidadania.</w:t>
      </w:r>
    </w:p>
    <w:p w14:paraId="05EA96E3" w14:textId="5D0C3F97" w:rsidR="00AF7CE5" w:rsidRPr="00305711" w:rsidRDefault="00AF7CE5" w:rsidP="002F3DB5">
      <w:pPr>
        <w:spacing w:after="0" w:line="360" w:lineRule="auto"/>
        <w:ind w:firstLine="851"/>
        <w:jc w:val="both"/>
        <w:rPr>
          <w:rFonts w:ascii="Arial" w:hAnsi="Arial" w:cs="Arial"/>
        </w:rPr>
      </w:pPr>
      <w:r w:rsidRPr="00305711">
        <w:rPr>
          <w:rFonts w:ascii="Arial" w:hAnsi="Arial" w:cs="Arial"/>
        </w:rPr>
        <w:t xml:space="preserve">O programa </w:t>
      </w:r>
      <w:r w:rsidRPr="00305711">
        <w:rPr>
          <w:rFonts w:ascii="Arial" w:hAnsi="Arial" w:cs="Arial"/>
          <w:b/>
          <w:bCs/>
        </w:rPr>
        <w:t>Empodera+</w:t>
      </w:r>
      <w:r w:rsidRPr="00305711">
        <w:rPr>
          <w:rFonts w:ascii="Arial" w:hAnsi="Arial" w:cs="Arial"/>
        </w:rPr>
        <w:t xml:space="preserve"> tem como objetivo a inserção no mercado de trabalho e a geração de renda. Suas ações incluem bolsas de capacitação e a criação de Comitês de Oportunidades em âmbito nacional. O Maranhão foi o primeiro estado</w:t>
      </w:r>
      <w:r w:rsidR="00275B50" w:rsidRPr="00305711">
        <w:rPr>
          <w:rStyle w:val="Refdenotaderodap"/>
          <w:rFonts w:ascii="Arial" w:hAnsi="Arial" w:cs="Arial"/>
        </w:rPr>
        <w:footnoteReference w:id="6"/>
      </w:r>
      <w:r w:rsidRPr="00305711">
        <w:rPr>
          <w:rFonts w:ascii="Arial" w:hAnsi="Arial" w:cs="Arial"/>
        </w:rPr>
        <w:t xml:space="preserve"> a celebrar acordo para implementação do projeto-piloto, voltado à elevação escolar e à autonomia econômica de pessoas LGBTQIA+.</w:t>
      </w:r>
    </w:p>
    <w:p w14:paraId="13AB247C" w14:textId="77777777" w:rsidR="00AF7CE5" w:rsidRPr="00305711" w:rsidRDefault="00AF7CE5" w:rsidP="002F3DB5">
      <w:pPr>
        <w:spacing w:after="0" w:line="360" w:lineRule="auto"/>
        <w:ind w:firstLine="851"/>
        <w:jc w:val="both"/>
        <w:rPr>
          <w:rFonts w:ascii="Arial" w:hAnsi="Arial" w:cs="Arial"/>
        </w:rPr>
      </w:pPr>
      <w:r w:rsidRPr="00305711">
        <w:rPr>
          <w:rFonts w:ascii="Arial" w:hAnsi="Arial" w:cs="Arial"/>
        </w:rPr>
        <w:t xml:space="preserve">Já o </w:t>
      </w:r>
      <w:r w:rsidRPr="00305711">
        <w:rPr>
          <w:rFonts w:ascii="Arial" w:hAnsi="Arial" w:cs="Arial"/>
          <w:b/>
          <w:bCs/>
        </w:rPr>
        <w:t>Bem Viver+</w:t>
      </w:r>
      <w:r w:rsidRPr="00305711">
        <w:rPr>
          <w:rFonts w:ascii="Arial" w:hAnsi="Arial" w:cs="Arial"/>
        </w:rPr>
        <w:t xml:space="preserve"> se dedica à proteção e promoção de direitos de LGBTQIA+ em áreas rurais e tradicionais, como ribeirinhos, indígenas e quilombolas. A proposta é desenvolver ações de formação em autodefesa e autocuidado, considerando as especificidades territoriais e culturais desses grupos.</w:t>
      </w:r>
    </w:p>
    <w:p w14:paraId="27A36E5B" w14:textId="77777777" w:rsidR="00AF7CE5" w:rsidRPr="00305711" w:rsidRDefault="00AF7CE5" w:rsidP="002F3DB5">
      <w:pPr>
        <w:spacing w:after="0" w:line="360" w:lineRule="auto"/>
        <w:ind w:firstLine="851"/>
        <w:jc w:val="both"/>
        <w:rPr>
          <w:rFonts w:ascii="Arial" w:hAnsi="Arial" w:cs="Arial"/>
        </w:rPr>
      </w:pPr>
      <w:r w:rsidRPr="00305711">
        <w:rPr>
          <w:rFonts w:ascii="Arial" w:hAnsi="Arial" w:cs="Arial"/>
        </w:rPr>
        <w:t>Esses programas sinalizam um esforço institucional para tornar efetivo o reconhecimento normativo conferido pela decisão do STF. Ainda que se reconheça a importância do gesto simbólico de criminalização da LGBTfobia, é na implementação de políticas públicas articuladas e financiadas que reside o potencial real de transformação da realidade social, especialmente nos territórios marcados por múltiplas formas de vulnerabilidade.</w:t>
      </w:r>
    </w:p>
    <w:p w14:paraId="43CD7392" w14:textId="77777777" w:rsidR="00AF7CE5" w:rsidRPr="00305711" w:rsidRDefault="00AF7CE5" w:rsidP="002F3DB5">
      <w:pPr>
        <w:spacing w:after="0" w:line="360" w:lineRule="auto"/>
        <w:ind w:firstLine="851"/>
        <w:jc w:val="both"/>
        <w:rPr>
          <w:rFonts w:ascii="Arial" w:hAnsi="Arial" w:cs="Arial"/>
        </w:rPr>
      </w:pPr>
      <w:r w:rsidRPr="00305711">
        <w:rPr>
          <w:rFonts w:ascii="Arial" w:hAnsi="Arial" w:cs="Arial"/>
        </w:rPr>
        <w:t>O MDHC coordena tais iniciativas, integrando diferentes ministérios e órgãos federais, com vistas a consolidar uma política de Estado que vá além de respostas pontuais, promovendo cidadania, dignidade e proteção à população LGBTQIA+ de forma transversal e interseccional.</w:t>
      </w:r>
    </w:p>
    <w:p w14:paraId="79AF056A" w14:textId="77777777" w:rsidR="007505FE" w:rsidRPr="00305711" w:rsidRDefault="007505FE" w:rsidP="002F3DB5">
      <w:pPr>
        <w:spacing w:after="0" w:line="360" w:lineRule="auto"/>
        <w:jc w:val="both"/>
        <w:rPr>
          <w:rFonts w:ascii="Arial" w:hAnsi="Arial" w:cs="Arial"/>
        </w:rPr>
      </w:pPr>
    </w:p>
    <w:p w14:paraId="20D6519F" w14:textId="615ADBB8" w:rsidR="007505FE" w:rsidRDefault="007505FE" w:rsidP="002F3DB5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305711">
        <w:rPr>
          <w:rFonts w:ascii="Arial" w:hAnsi="Arial" w:cs="Arial"/>
          <w:b/>
          <w:bCs/>
        </w:rPr>
        <w:t xml:space="preserve">6. </w:t>
      </w:r>
      <w:r w:rsidR="00B360A1" w:rsidRPr="00305711">
        <w:rPr>
          <w:rFonts w:ascii="Arial" w:hAnsi="Arial" w:cs="Arial"/>
          <w:b/>
          <w:bCs/>
        </w:rPr>
        <w:t>CONCLUSÃO</w:t>
      </w:r>
    </w:p>
    <w:p w14:paraId="02333C00" w14:textId="77777777" w:rsidR="005E3856" w:rsidRPr="00305711" w:rsidRDefault="005E3856" w:rsidP="002F3DB5">
      <w:pPr>
        <w:spacing w:after="0" w:line="360" w:lineRule="auto"/>
        <w:jc w:val="both"/>
        <w:rPr>
          <w:rFonts w:ascii="Arial" w:hAnsi="Arial" w:cs="Arial"/>
        </w:rPr>
      </w:pPr>
    </w:p>
    <w:p w14:paraId="627EA11B" w14:textId="77777777" w:rsidR="007505FE" w:rsidRPr="00305711" w:rsidRDefault="007505FE" w:rsidP="002F3DB5">
      <w:pPr>
        <w:spacing w:after="0" w:line="360" w:lineRule="auto"/>
        <w:ind w:firstLine="851"/>
        <w:jc w:val="both"/>
        <w:rPr>
          <w:rFonts w:ascii="Arial" w:hAnsi="Arial" w:cs="Arial"/>
        </w:rPr>
      </w:pPr>
      <w:r w:rsidRPr="00305711">
        <w:rPr>
          <w:rFonts w:ascii="Arial" w:hAnsi="Arial" w:cs="Arial"/>
        </w:rPr>
        <w:t xml:space="preserve">A presente pesquisa partiu da análise crítica da decisão do Supremo Tribunal Federal nas ações ADO 26/DF e MI 4.733/DF, que reconheceu a homotransfobia como </w:t>
      </w:r>
      <w:r w:rsidRPr="00305711">
        <w:rPr>
          <w:rFonts w:ascii="Arial" w:hAnsi="Arial" w:cs="Arial"/>
        </w:rPr>
        <w:lastRenderedPageBreak/>
        <w:t>uma forma de racismo e autorizou, com base nesse entendimento, a aplicação da Lei nº 7.716/1989 às condutas discriminatórias dirigidas à população LGBTQIA+. A decisão, ainda que juridicamente controversa, representa um marco simbólico no reconhecimento institucional dos direitos dessa parcela da sociedade historicamente invisibilizada.</w:t>
      </w:r>
    </w:p>
    <w:p w14:paraId="161D29D0" w14:textId="77777777" w:rsidR="007505FE" w:rsidRPr="00305711" w:rsidRDefault="007505FE" w:rsidP="002F3DB5">
      <w:pPr>
        <w:spacing w:after="0" w:line="360" w:lineRule="auto"/>
        <w:ind w:firstLine="851"/>
        <w:jc w:val="both"/>
        <w:rPr>
          <w:rFonts w:ascii="Arial" w:hAnsi="Arial" w:cs="Arial"/>
        </w:rPr>
      </w:pPr>
      <w:r w:rsidRPr="00305711">
        <w:rPr>
          <w:rFonts w:ascii="Arial" w:hAnsi="Arial" w:cs="Arial"/>
        </w:rPr>
        <w:t>O estudo demonstrou que a fundamentação jurídica apresentada pela Corte buscou assegurar a efetividade dos direitos fundamentais, em resposta à reiterada omissão legislativa. Contudo, ao adotar analogia penal em um contexto de criminalização, o STF tensionou os princípios da legalidade estrita e da separação dos poderes, produzindo efeitos ambíguos do ponto de vista institucional. Tal cenário reforça a hipótese inicialmente formulada: a decisão expressa um ativismo judicial de natureza simbólica, com efeitos práticos limitados e suscetível a questionamentos sob o ponto de vista das garantias penais.</w:t>
      </w:r>
    </w:p>
    <w:p w14:paraId="69CD1483" w14:textId="4851F9CD" w:rsidR="007505FE" w:rsidRPr="00305711" w:rsidRDefault="00ED700A" w:rsidP="002F3DB5">
      <w:pPr>
        <w:spacing w:after="0" w:line="360" w:lineRule="auto"/>
        <w:ind w:firstLine="851"/>
        <w:jc w:val="both"/>
        <w:rPr>
          <w:rFonts w:ascii="Arial" w:hAnsi="Arial" w:cs="Arial"/>
        </w:rPr>
      </w:pPr>
      <w:r w:rsidRPr="00ED700A">
        <w:rPr>
          <w:rFonts w:ascii="Arial" w:hAnsi="Arial" w:cs="Arial"/>
        </w:rPr>
        <w:t>Por outro lado, a decisão teve relevante impacto político. O julgamento da ADO 26/DF impulsionou políticas públicas em diversos níveis: o CNJ editou normas contra a discriminação no Judiciário; o Executivo federal ampliou programas de inclusão e proteção da população LGBTQIA+, com recursos orçamentários e mecanismos de monitoramento; e medidas simbólicas, como o uso de linguagem inclusiva, foram incorporadas à agenda institucional.</w:t>
      </w:r>
    </w:p>
    <w:p w14:paraId="3EFB178F" w14:textId="77777777" w:rsidR="007505FE" w:rsidRPr="00305711" w:rsidRDefault="007505FE" w:rsidP="002F3DB5">
      <w:pPr>
        <w:spacing w:after="0" w:line="360" w:lineRule="auto"/>
        <w:ind w:firstLine="851"/>
        <w:jc w:val="both"/>
        <w:rPr>
          <w:rFonts w:ascii="Arial" w:hAnsi="Arial" w:cs="Arial"/>
        </w:rPr>
      </w:pPr>
      <w:r w:rsidRPr="00305711">
        <w:rPr>
          <w:rFonts w:ascii="Arial" w:hAnsi="Arial" w:cs="Arial"/>
        </w:rPr>
        <w:t>Essas ações demonstram que, ainda que marcada por limitações estruturais, a resposta institucional brasileira se articulou em torno da decisão do STF, indicando um compromisso, ainda que incipiente, com a consolidação dos direitos da população LGBTQIA+. A criminalização da LGBTfobia não deve ser compreendida como solução isolada, mas como parte de um processo mais amplo de reconstrução do pacto democrático sobre novas bases de justiça social, reconhecimento e dignidade.</w:t>
      </w:r>
    </w:p>
    <w:p w14:paraId="2EEB3BC5" w14:textId="77777777" w:rsidR="00C42792" w:rsidRPr="00305711" w:rsidRDefault="007505FE" w:rsidP="002F3DB5">
      <w:pPr>
        <w:spacing w:after="0" w:line="360" w:lineRule="auto"/>
        <w:ind w:firstLine="851"/>
        <w:jc w:val="both"/>
        <w:rPr>
          <w:rFonts w:ascii="Arial" w:hAnsi="Arial" w:cs="Arial"/>
        </w:rPr>
      </w:pPr>
      <w:r w:rsidRPr="00305711">
        <w:rPr>
          <w:rFonts w:ascii="Arial" w:hAnsi="Arial" w:cs="Arial"/>
        </w:rPr>
        <w:t>Conclui-se, portanto, que a decisão da ADO 26/DF é simultaneamente um avanço e um alerta: um avanço no que representa para o reconhecimento constitucional da diversidade; um alerta quanto à necessidade de que o sistema jurídico não se acomode na retórica da proteção, mas atue de forma estrutural, coordenada e contínua. O combate à violência LGBTQIA+ exige mais do que decisões judiciais corajosas — exige reformas institucionais persistentes, participação ativa da sociedade civil e um novo horizonte de compromisso com os direitos humanos.</w:t>
      </w:r>
    </w:p>
    <w:p w14:paraId="4620E864" w14:textId="77777777" w:rsidR="00C42792" w:rsidRPr="00305711" w:rsidRDefault="00C42792" w:rsidP="002F3DB5">
      <w:pPr>
        <w:spacing w:after="0" w:line="360" w:lineRule="auto"/>
        <w:jc w:val="both"/>
        <w:rPr>
          <w:rFonts w:ascii="Arial" w:hAnsi="Arial" w:cs="Arial"/>
        </w:rPr>
      </w:pPr>
    </w:p>
    <w:p w14:paraId="2DB37C20" w14:textId="1160B588" w:rsidR="00464220" w:rsidRPr="00305711" w:rsidRDefault="00464220" w:rsidP="002F3DB5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305711">
        <w:rPr>
          <w:rFonts w:ascii="Arial" w:hAnsi="Arial" w:cs="Arial"/>
          <w:b/>
          <w:bCs/>
        </w:rPr>
        <w:t>REFERÊNCIAS</w:t>
      </w:r>
    </w:p>
    <w:p w14:paraId="76A92388" w14:textId="77777777" w:rsidR="002D1583" w:rsidRPr="00305711" w:rsidRDefault="002D1583" w:rsidP="002F3DB5">
      <w:pPr>
        <w:spacing w:after="0" w:line="360" w:lineRule="auto"/>
        <w:jc w:val="both"/>
        <w:rPr>
          <w:rFonts w:ascii="Arial" w:hAnsi="Arial" w:cs="Arial"/>
        </w:rPr>
      </w:pPr>
    </w:p>
    <w:p w14:paraId="4E3CB406" w14:textId="705BEAE1" w:rsidR="007E69F6" w:rsidRPr="00305711" w:rsidRDefault="0073460C" w:rsidP="002D7200">
      <w:pPr>
        <w:spacing w:after="0" w:line="240" w:lineRule="auto"/>
        <w:jc w:val="both"/>
        <w:rPr>
          <w:rFonts w:ascii="Arial" w:hAnsi="Arial" w:cs="Arial"/>
        </w:rPr>
      </w:pPr>
      <w:r w:rsidRPr="00305711">
        <w:rPr>
          <w:rFonts w:ascii="Arial" w:hAnsi="Arial" w:cs="Arial"/>
        </w:rPr>
        <w:t>ALMEIDA</w:t>
      </w:r>
      <w:r w:rsidR="007E69F6" w:rsidRPr="00305711">
        <w:rPr>
          <w:rFonts w:ascii="Arial" w:hAnsi="Arial" w:cs="Arial"/>
        </w:rPr>
        <w:t xml:space="preserve">, </w:t>
      </w:r>
      <w:r w:rsidRPr="00305711">
        <w:rPr>
          <w:rFonts w:ascii="Arial" w:hAnsi="Arial" w:cs="Arial"/>
        </w:rPr>
        <w:t>Daniella Almeida</w:t>
      </w:r>
      <w:r w:rsidR="007E69F6" w:rsidRPr="00305711">
        <w:rPr>
          <w:rFonts w:ascii="Arial" w:hAnsi="Arial" w:cs="Arial"/>
        </w:rPr>
        <w:t xml:space="preserve">. </w:t>
      </w:r>
      <w:r w:rsidR="00CF170D" w:rsidRPr="00305711">
        <w:rPr>
          <w:rFonts w:ascii="Arial" w:hAnsi="Arial" w:cs="Arial"/>
          <w:b/>
          <w:bCs/>
        </w:rPr>
        <w:t>Comitê irá monitorar políticas contra violências a pessoas LGBTQIA+</w:t>
      </w:r>
      <w:r w:rsidR="007E69F6" w:rsidRPr="00305711">
        <w:rPr>
          <w:rFonts w:ascii="Arial" w:hAnsi="Arial" w:cs="Arial"/>
        </w:rPr>
        <w:t xml:space="preserve">. </w:t>
      </w:r>
      <w:r w:rsidR="00B5488F" w:rsidRPr="00305711">
        <w:rPr>
          <w:rFonts w:ascii="Arial" w:eastAsia="Times New Roman" w:hAnsi="Arial" w:cs="Arial"/>
        </w:rPr>
        <w:t xml:space="preserve">Agência Brasil, </w:t>
      </w:r>
      <w:r w:rsidR="007572C5" w:rsidRPr="00305711">
        <w:rPr>
          <w:rFonts w:ascii="Arial" w:eastAsia="Times New Roman" w:hAnsi="Arial" w:cs="Arial"/>
        </w:rPr>
        <w:t>Brasília</w:t>
      </w:r>
      <w:r w:rsidR="00B5488F" w:rsidRPr="00305711">
        <w:rPr>
          <w:rFonts w:ascii="Arial" w:eastAsia="Times New Roman" w:hAnsi="Arial" w:cs="Arial"/>
        </w:rPr>
        <w:t xml:space="preserve">, </w:t>
      </w:r>
      <w:r w:rsidR="007572C5" w:rsidRPr="00305711">
        <w:rPr>
          <w:rFonts w:ascii="Arial" w:eastAsia="Times New Roman" w:hAnsi="Arial" w:cs="Arial"/>
        </w:rPr>
        <w:t>6</w:t>
      </w:r>
      <w:r w:rsidR="00B5488F" w:rsidRPr="00305711">
        <w:rPr>
          <w:rFonts w:ascii="Arial" w:eastAsia="Times New Roman" w:hAnsi="Arial" w:cs="Arial"/>
        </w:rPr>
        <w:t xml:space="preserve"> de </w:t>
      </w:r>
      <w:r w:rsidR="000521D9" w:rsidRPr="00305711">
        <w:rPr>
          <w:rFonts w:ascii="Arial" w:eastAsia="Times New Roman" w:hAnsi="Arial" w:cs="Arial"/>
        </w:rPr>
        <w:t>a</w:t>
      </w:r>
      <w:r w:rsidR="007572C5" w:rsidRPr="00305711">
        <w:rPr>
          <w:rFonts w:ascii="Arial" w:eastAsia="Times New Roman" w:hAnsi="Arial" w:cs="Arial"/>
        </w:rPr>
        <w:t>bril</w:t>
      </w:r>
      <w:r w:rsidR="00B5488F" w:rsidRPr="00305711">
        <w:rPr>
          <w:rFonts w:ascii="Arial" w:eastAsia="Times New Roman" w:hAnsi="Arial" w:cs="Arial"/>
        </w:rPr>
        <w:t xml:space="preserve"> de 2024. Disponível em: </w:t>
      </w:r>
      <w:r w:rsidR="007572C5" w:rsidRPr="00305711">
        <w:rPr>
          <w:rFonts w:ascii="Arial" w:eastAsia="Times New Roman" w:hAnsi="Arial" w:cs="Arial"/>
        </w:rPr>
        <w:t>https://agenciabrasil.ebc.com.br/direitos-humanos/noticia/2024-04/comite-ira-monitorar-politicas-contra-violencias-pessoas-lgbtq</w:t>
      </w:r>
      <w:r w:rsidR="00B5488F" w:rsidRPr="00305711">
        <w:rPr>
          <w:rFonts w:ascii="Arial" w:eastAsia="Times New Roman" w:hAnsi="Arial" w:cs="Arial"/>
        </w:rPr>
        <w:t>. Acesso em: 11 jun. 2025</w:t>
      </w:r>
    </w:p>
    <w:p w14:paraId="4000A3F1" w14:textId="77777777" w:rsidR="007E69F6" w:rsidRPr="00305711" w:rsidRDefault="007E69F6" w:rsidP="002D7200">
      <w:pPr>
        <w:spacing w:after="0" w:line="240" w:lineRule="auto"/>
        <w:jc w:val="both"/>
        <w:rPr>
          <w:rFonts w:ascii="Arial" w:hAnsi="Arial" w:cs="Arial"/>
        </w:rPr>
      </w:pPr>
    </w:p>
    <w:p w14:paraId="6228792A" w14:textId="5A496BCA" w:rsidR="006A41E4" w:rsidRPr="00305711" w:rsidRDefault="006A41E4" w:rsidP="002D7200">
      <w:pPr>
        <w:spacing w:after="0" w:line="240" w:lineRule="auto"/>
        <w:jc w:val="both"/>
        <w:rPr>
          <w:rFonts w:ascii="Arial" w:hAnsi="Arial" w:cs="Arial"/>
        </w:rPr>
      </w:pPr>
      <w:r w:rsidRPr="00305711">
        <w:rPr>
          <w:rFonts w:ascii="Arial" w:hAnsi="Arial" w:cs="Arial"/>
        </w:rPr>
        <w:t xml:space="preserve">ABBOUD. Georges. </w:t>
      </w:r>
      <w:r w:rsidRPr="00305711">
        <w:rPr>
          <w:rFonts w:ascii="Arial" w:hAnsi="Arial" w:cs="Arial"/>
          <w:b/>
          <w:bCs/>
        </w:rPr>
        <w:t xml:space="preserve">Ativismo </w:t>
      </w:r>
      <w:r w:rsidR="00AE49D1" w:rsidRPr="00305711">
        <w:rPr>
          <w:rFonts w:ascii="Arial" w:hAnsi="Arial" w:cs="Arial"/>
          <w:b/>
          <w:bCs/>
        </w:rPr>
        <w:t>j</w:t>
      </w:r>
      <w:r w:rsidRPr="00305711">
        <w:rPr>
          <w:rFonts w:ascii="Arial" w:hAnsi="Arial" w:cs="Arial"/>
          <w:b/>
          <w:bCs/>
        </w:rPr>
        <w:t>udicial</w:t>
      </w:r>
      <w:r w:rsidR="00AE49D1" w:rsidRPr="00305711">
        <w:rPr>
          <w:rFonts w:ascii="Arial" w:hAnsi="Arial" w:cs="Arial"/>
          <w:b/>
          <w:bCs/>
        </w:rPr>
        <w:t xml:space="preserve">: </w:t>
      </w:r>
      <w:r w:rsidR="008A17E7" w:rsidRPr="00305711">
        <w:rPr>
          <w:rFonts w:ascii="Arial" w:hAnsi="Arial" w:cs="Arial"/>
          <w:b/>
          <w:bCs/>
        </w:rPr>
        <w:t>os perigos de se transformar o STF em inimigo ficcional</w:t>
      </w:r>
      <w:r w:rsidR="008A17E7" w:rsidRPr="00305711">
        <w:rPr>
          <w:rFonts w:ascii="Arial" w:hAnsi="Arial" w:cs="Arial"/>
        </w:rPr>
        <w:t>. 2 ed. São Paulo: Thomson Reuters Brasil, 2025</w:t>
      </w:r>
    </w:p>
    <w:p w14:paraId="54817989" w14:textId="77777777" w:rsidR="005145EF" w:rsidRPr="00305711" w:rsidRDefault="005145EF" w:rsidP="002D7200">
      <w:pPr>
        <w:spacing w:after="0" w:line="240" w:lineRule="auto"/>
        <w:jc w:val="both"/>
        <w:rPr>
          <w:rFonts w:ascii="Arial" w:hAnsi="Arial" w:cs="Arial"/>
        </w:rPr>
      </w:pPr>
    </w:p>
    <w:p w14:paraId="06CC889F" w14:textId="2D004F31" w:rsidR="00553BF7" w:rsidRPr="00305711" w:rsidRDefault="00553BF7" w:rsidP="002D7200">
      <w:pPr>
        <w:spacing w:after="0" w:line="240" w:lineRule="auto"/>
        <w:jc w:val="both"/>
        <w:rPr>
          <w:rFonts w:ascii="Arial" w:hAnsi="Arial" w:cs="Arial"/>
        </w:rPr>
      </w:pPr>
      <w:r w:rsidRPr="00305711">
        <w:rPr>
          <w:rFonts w:ascii="Arial" w:hAnsi="Arial" w:cs="Arial"/>
        </w:rPr>
        <w:t>ARGUELHES, Diego Werneck</w:t>
      </w:r>
      <w:r w:rsidR="00997D1E" w:rsidRPr="00305711">
        <w:rPr>
          <w:rFonts w:ascii="Arial" w:hAnsi="Arial" w:cs="Arial"/>
        </w:rPr>
        <w:t xml:space="preserve"> &amp; </w:t>
      </w:r>
      <w:r w:rsidRPr="00305711">
        <w:rPr>
          <w:rFonts w:ascii="Arial" w:hAnsi="Arial" w:cs="Arial"/>
        </w:rPr>
        <w:t xml:space="preserve">RIBEIRO, Leandro </w:t>
      </w:r>
      <w:proofErr w:type="spellStart"/>
      <w:r w:rsidRPr="00305711">
        <w:rPr>
          <w:rFonts w:ascii="Arial" w:hAnsi="Arial" w:cs="Arial"/>
        </w:rPr>
        <w:t>Molhano</w:t>
      </w:r>
      <w:proofErr w:type="spellEnd"/>
      <w:r w:rsidRPr="00305711">
        <w:rPr>
          <w:rFonts w:ascii="Arial" w:hAnsi="Arial" w:cs="Arial"/>
        </w:rPr>
        <w:t>. Criatura e/ou criador: transformações do Supremo Tribunal Federal sob a Constituição de 1988.</w:t>
      </w:r>
      <w:r w:rsidR="00054305" w:rsidRPr="00305711">
        <w:rPr>
          <w:rFonts w:ascii="Arial" w:hAnsi="Arial" w:cs="Arial"/>
        </w:rPr>
        <w:t xml:space="preserve"> </w:t>
      </w:r>
      <w:r w:rsidRPr="00305711">
        <w:rPr>
          <w:rFonts w:ascii="Arial" w:hAnsi="Arial" w:cs="Arial"/>
          <w:b/>
          <w:bCs/>
        </w:rPr>
        <w:t>Revista Direito GV</w:t>
      </w:r>
      <w:r w:rsidRPr="00305711">
        <w:rPr>
          <w:rFonts w:ascii="Arial" w:hAnsi="Arial" w:cs="Arial"/>
        </w:rPr>
        <w:t xml:space="preserve">, v. 12, p. 405-440, 2016. Disponível em: </w:t>
      </w:r>
      <w:hyperlink r:id="rId8" w:history="1">
        <w:r w:rsidRPr="00305711">
          <w:rPr>
            <w:rStyle w:val="Hyperlink"/>
            <w:rFonts w:ascii="Arial" w:hAnsi="Arial" w:cs="Arial"/>
            <w:color w:val="auto"/>
            <w:u w:val="none"/>
          </w:rPr>
          <w:t xml:space="preserve">SciELO - Brasil - Criatura e/ou </w:t>
        </w:r>
        <w:proofErr w:type="spellStart"/>
        <w:r w:rsidRPr="00305711">
          <w:rPr>
            <w:rStyle w:val="Hyperlink"/>
            <w:rFonts w:ascii="Arial" w:hAnsi="Arial" w:cs="Arial"/>
            <w:color w:val="auto"/>
            <w:u w:val="none"/>
          </w:rPr>
          <w:t>Criador:transformações</w:t>
        </w:r>
        <w:proofErr w:type="spellEnd"/>
        <w:r w:rsidRPr="00305711">
          <w:rPr>
            <w:rStyle w:val="Hyperlink"/>
            <w:rFonts w:ascii="Arial" w:hAnsi="Arial" w:cs="Arial"/>
            <w:color w:val="auto"/>
            <w:u w:val="none"/>
          </w:rPr>
          <w:t xml:space="preserve"> do Supremo Tribunal Federal sob a Constituição de 1988 Criatura e/ou </w:t>
        </w:r>
        <w:proofErr w:type="spellStart"/>
        <w:r w:rsidRPr="00305711">
          <w:rPr>
            <w:rStyle w:val="Hyperlink"/>
            <w:rFonts w:ascii="Arial" w:hAnsi="Arial" w:cs="Arial"/>
            <w:color w:val="auto"/>
            <w:u w:val="none"/>
          </w:rPr>
          <w:t>Criador:transformações</w:t>
        </w:r>
        <w:proofErr w:type="spellEnd"/>
        <w:r w:rsidRPr="00305711">
          <w:rPr>
            <w:rStyle w:val="Hyperlink"/>
            <w:rFonts w:ascii="Arial" w:hAnsi="Arial" w:cs="Arial"/>
            <w:color w:val="auto"/>
            <w:u w:val="none"/>
          </w:rPr>
          <w:t xml:space="preserve"> do Supremo Tribunal Federal sob a Constituição de 1988</w:t>
        </w:r>
      </w:hyperlink>
      <w:r w:rsidRPr="00305711">
        <w:rPr>
          <w:rFonts w:ascii="Arial" w:hAnsi="Arial" w:cs="Arial"/>
        </w:rPr>
        <w:t>. Acesso em: 11 jun. 2025.</w:t>
      </w:r>
    </w:p>
    <w:p w14:paraId="582CD256" w14:textId="77777777" w:rsidR="00C6003C" w:rsidRPr="00305711" w:rsidRDefault="00C6003C" w:rsidP="002D7200">
      <w:pPr>
        <w:spacing w:after="0" w:line="240" w:lineRule="auto"/>
        <w:jc w:val="both"/>
        <w:rPr>
          <w:rFonts w:ascii="Arial" w:hAnsi="Arial" w:cs="Arial"/>
        </w:rPr>
      </w:pPr>
    </w:p>
    <w:p w14:paraId="5ECB91E5" w14:textId="6782782B" w:rsidR="009749B8" w:rsidRPr="00305711" w:rsidRDefault="009749B8" w:rsidP="002D7200">
      <w:pPr>
        <w:spacing w:after="0" w:line="240" w:lineRule="auto"/>
        <w:jc w:val="both"/>
        <w:rPr>
          <w:rFonts w:ascii="Arial" w:hAnsi="Arial" w:cs="Arial"/>
        </w:rPr>
      </w:pPr>
      <w:r w:rsidRPr="00305711">
        <w:rPr>
          <w:rFonts w:ascii="Arial" w:hAnsi="Arial" w:cs="Arial"/>
        </w:rPr>
        <w:t>BORGES, Raimundo</w:t>
      </w:r>
      <w:r w:rsidR="00087349" w:rsidRPr="00305711">
        <w:rPr>
          <w:rFonts w:ascii="Arial" w:hAnsi="Arial" w:cs="Arial"/>
        </w:rPr>
        <w:t xml:space="preserve">. Maranhão lança projeto-piloto do Empodera+, programa voltado para a geração de emprego e renda para pessoas LGBTQIA+. </w:t>
      </w:r>
      <w:r w:rsidR="00087349" w:rsidRPr="00305711">
        <w:rPr>
          <w:rFonts w:ascii="Arial" w:hAnsi="Arial" w:cs="Arial"/>
          <w:b/>
          <w:bCs/>
        </w:rPr>
        <w:t>O Imparcial</w:t>
      </w:r>
      <w:r w:rsidR="00087349" w:rsidRPr="00305711">
        <w:rPr>
          <w:rFonts w:ascii="Arial" w:hAnsi="Arial" w:cs="Arial"/>
        </w:rPr>
        <w:t xml:space="preserve">. </w:t>
      </w:r>
      <w:r w:rsidR="001032CC" w:rsidRPr="00305711">
        <w:rPr>
          <w:rFonts w:ascii="Arial" w:hAnsi="Arial" w:cs="Arial"/>
        </w:rPr>
        <w:t>São Luís</w:t>
      </w:r>
      <w:r w:rsidR="000521D9" w:rsidRPr="00305711">
        <w:rPr>
          <w:rFonts w:ascii="Arial" w:hAnsi="Arial" w:cs="Arial"/>
        </w:rPr>
        <w:t>, 14 de junho de 2024</w:t>
      </w:r>
      <w:r w:rsidR="005602DB" w:rsidRPr="00305711">
        <w:rPr>
          <w:rFonts w:ascii="Arial" w:hAnsi="Arial" w:cs="Arial"/>
        </w:rPr>
        <w:t xml:space="preserve">. Disponível em: https://oimparcial.com.br/noticias/2024/06/maranhao-lanca-projeto-piloto-do-empodera-programa-voltado-para-a-geracao-de-emprego-e-renda-para-pessoas-lgbtqia/. Acesso em </w:t>
      </w:r>
      <w:r w:rsidR="00060B65" w:rsidRPr="00305711">
        <w:rPr>
          <w:rFonts w:ascii="Arial" w:hAnsi="Arial" w:cs="Arial"/>
        </w:rPr>
        <w:t xml:space="preserve">11 </w:t>
      </w:r>
      <w:proofErr w:type="spellStart"/>
      <w:r w:rsidR="00060B65" w:rsidRPr="00305711">
        <w:rPr>
          <w:rFonts w:ascii="Arial" w:hAnsi="Arial" w:cs="Arial"/>
        </w:rPr>
        <w:t>jun</w:t>
      </w:r>
      <w:proofErr w:type="spellEnd"/>
      <w:r w:rsidR="00060B65" w:rsidRPr="00305711">
        <w:rPr>
          <w:rFonts w:ascii="Arial" w:hAnsi="Arial" w:cs="Arial"/>
        </w:rPr>
        <w:t xml:space="preserve"> 2025.</w:t>
      </w:r>
    </w:p>
    <w:p w14:paraId="624C3E63" w14:textId="77777777" w:rsidR="009749B8" w:rsidRPr="00305711" w:rsidRDefault="009749B8" w:rsidP="002D7200">
      <w:pPr>
        <w:spacing w:after="0" w:line="240" w:lineRule="auto"/>
        <w:jc w:val="both"/>
        <w:rPr>
          <w:rFonts w:ascii="Arial" w:hAnsi="Arial" w:cs="Arial"/>
        </w:rPr>
      </w:pPr>
    </w:p>
    <w:p w14:paraId="1D2CB78D" w14:textId="2CFC1976" w:rsidR="006B22F3" w:rsidRPr="00305711" w:rsidRDefault="007F3ABC" w:rsidP="002D7200">
      <w:pPr>
        <w:spacing w:after="0" w:line="240" w:lineRule="auto"/>
        <w:jc w:val="both"/>
        <w:rPr>
          <w:rFonts w:ascii="Arial" w:hAnsi="Arial" w:cs="Arial"/>
        </w:rPr>
      </w:pPr>
      <w:r w:rsidRPr="00305711">
        <w:rPr>
          <w:rFonts w:ascii="Arial" w:hAnsi="Arial" w:cs="Arial"/>
        </w:rPr>
        <w:t>BRAGA</w:t>
      </w:r>
      <w:r w:rsidR="00337C5F" w:rsidRPr="00305711">
        <w:rPr>
          <w:rFonts w:ascii="Arial" w:hAnsi="Arial" w:cs="Arial"/>
        </w:rPr>
        <w:t>, Matheus Andrade</w:t>
      </w:r>
      <w:r w:rsidR="00337C5F" w:rsidRPr="00305711">
        <w:rPr>
          <w:rFonts w:ascii="Arial" w:hAnsi="Arial" w:cs="Arial"/>
          <w:b/>
          <w:bCs/>
        </w:rPr>
        <w:t xml:space="preserve">. </w:t>
      </w:r>
      <w:r w:rsidR="00337C5F" w:rsidRPr="00305711">
        <w:rPr>
          <w:rFonts w:ascii="Arial" w:hAnsi="Arial" w:cs="Arial"/>
        </w:rPr>
        <w:t xml:space="preserve">A Legalidade Penal Em Tempos De Ativismo Judicial: Uma Análise Crítica Da Decisão Do Supremo Tribunal Federal No </w:t>
      </w:r>
      <w:r w:rsidR="00444948" w:rsidRPr="00305711">
        <w:rPr>
          <w:rFonts w:ascii="Arial" w:hAnsi="Arial" w:cs="Arial"/>
        </w:rPr>
        <w:t>“</w:t>
      </w:r>
      <w:r w:rsidR="00337C5F" w:rsidRPr="00305711">
        <w:rPr>
          <w:rFonts w:ascii="Arial" w:hAnsi="Arial" w:cs="Arial"/>
        </w:rPr>
        <w:t>Caso Da Homofobia.”</w:t>
      </w:r>
      <w:r w:rsidR="00D40E73" w:rsidRPr="00305711">
        <w:rPr>
          <w:rFonts w:ascii="Arial" w:hAnsi="Arial" w:cs="Arial"/>
        </w:rPr>
        <w:t xml:space="preserve"> </w:t>
      </w:r>
      <w:r w:rsidR="00337C5F" w:rsidRPr="00305711">
        <w:rPr>
          <w:rFonts w:ascii="Arial" w:hAnsi="Arial" w:cs="Arial"/>
          <w:i/>
          <w:iCs/>
        </w:rPr>
        <w:t>In</w:t>
      </w:r>
      <w:r w:rsidR="00337C5F" w:rsidRPr="00305711">
        <w:rPr>
          <w:rFonts w:ascii="Arial" w:hAnsi="Arial" w:cs="Arial"/>
        </w:rPr>
        <w:t xml:space="preserve">: </w:t>
      </w:r>
      <w:r w:rsidR="00376F19" w:rsidRPr="00305711">
        <w:rPr>
          <w:rFonts w:ascii="Arial" w:hAnsi="Arial" w:cs="Arial"/>
        </w:rPr>
        <w:t>CAMPOS</w:t>
      </w:r>
      <w:r w:rsidR="00D40E73" w:rsidRPr="00305711">
        <w:rPr>
          <w:rFonts w:ascii="Arial" w:hAnsi="Arial" w:cs="Arial"/>
        </w:rPr>
        <w:t xml:space="preserve">, </w:t>
      </w:r>
      <w:r w:rsidR="00337C5F" w:rsidRPr="00305711">
        <w:rPr>
          <w:rFonts w:ascii="Arial" w:hAnsi="Arial" w:cs="Arial"/>
        </w:rPr>
        <w:t>Juliana Cristine</w:t>
      </w:r>
      <w:r w:rsidR="00E82306" w:rsidRPr="00305711">
        <w:rPr>
          <w:rFonts w:ascii="Arial" w:hAnsi="Arial" w:cs="Arial"/>
        </w:rPr>
        <w:t xml:space="preserve">; ARAUJO, </w:t>
      </w:r>
      <w:r w:rsidR="00337C5F" w:rsidRPr="00305711">
        <w:rPr>
          <w:rFonts w:ascii="Arial" w:hAnsi="Arial" w:cs="Arial"/>
        </w:rPr>
        <w:t xml:space="preserve">Geórgia Oliveira; </w:t>
      </w:r>
      <w:r w:rsidR="00FE7FCC" w:rsidRPr="00305711">
        <w:rPr>
          <w:rFonts w:ascii="Arial" w:hAnsi="Arial" w:cs="Arial"/>
        </w:rPr>
        <w:t xml:space="preserve">SERAFIM, </w:t>
      </w:r>
      <w:r w:rsidR="00337C5F" w:rsidRPr="00305711">
        <w:rPr>
          <w:rFonts w:ascii="Arial" w:hAnsi="Arial" w:cs="Arial"/>
        </w:rPr>
        <w:t>Matheus Casimiro (Org.)</w:t>
      </w:r>
      <w:r w:rsidR="00337C5F" w:rsidRPr="00305711">
        <w:rPr>
          <w:rFonts w:ascii="Arial" w:hAnsi="Arial" w:cs="Arial"/>
          <w:b/>
          <w:bCs/>
        </w:rPr>
        <w:t xml:space="preserve">. Nas Entrelinhas Da Jurisdição Constitucional: Estudos Críticos Sobre o Constitucionalismo à Brasileira. </w:t>
      </w:r>
      <w:r w:rsidR="00337C5F" w:rsidRPr="00305711">
        <w:rPr>
          <w:rFonts w:ascii="Arial" w:hAnsi="Arial" w:cs="Arial"/>
        </w:rPr>
        <w:t>1</w:t>
      </w:r>
      <w:r w:rsidR="00806068" w:rsidRPr="00305711">
        <w:rPr>
          <w:rFonts w:ascii="Arial" w:hAnsi="Arial" w:cs="Arial"/>
        </w:rPr>
        <w:t xml:space="preserve"> </w:t>
      </w:r>
      <w:r w:rsidR="00337C5F" w:rsidRPr="00305711">
        <w:rPr>
          <w:rFonts w:ascii="Arial" w:hAnsi="Arial" w:cs="Arial"/>
        </w:rPr>
        <w:t>ed.</w:t>
      </w:r>
      <w:r w:rsidR="00806068" w:rsidRPr="00305711">
        <w:rPr>
          <w:rFonts w:ascii="Arial" w:hAnsi="Arial" w:cs="Arial"/>
        </w:rPr>
        <w:t xml:space="preserve"> </w:t>
      </w:r>
      <w:r w:rsidR="00337C5F" w:rsidRPr="00305711">
        <w:rPr>
          <w:rFonts w:ascii="Arial" w:hAnsi="Arial" w:cs="Arial"/>
        </w:rPr>
        <w:t>Fortaleza: Mucuripe, 2019</w:t>
      </w:r>
      <w:r w:rsidR="00806068" w:rsidRPr="00305711">
        <w:rPr>
          <w:rFonts w:ascii="Arial" w:hAnsi="Arial" w:cs="Arial"/>
        </w:rPr>
        <w:t xml:space="preserve">. Disponível em: </w:t>
      </w:r>
      <w:r w:rsidR="001D73B8" w:rsidRPr="00305711">
        <w:rPr>
          <w:rFonts w:ascii="Arial" w:hAnsi="Arial" w:cs="Arial"/>
        </w:rPr>
        <w:t>https://www.academia.edu/91727040/A_legalidade_penal_em_tempos_de_ativismo_judicial_uma_an%C3%A1lise_cr%C3%ADtica_da_decis%C3%A3o_do_Supremo_Tribunal_Federal_no_caso_da_homofobia_. Acesso em: 11 jun. 2025</w:t>
      </w:r>
    </w:p>
    <w:p w14:paraId="220E34C5" w14:textId="77777777" w:rsidR="00731187" w:rsidRPr="00305711" w:rsidRDefault="00731187" w:rsidP="002D7200">
      <w:pPr>
        <w:spacing w:after="0" w:line="240" w:lineRule="auto"/>
        <w:jc w:val="both"/>
        <w:rPr>
          <w:rFonts w:ascii="Arial" w:hAnsi="Arial" w:cs="Arial"/>
        </w:rPr>
      </w:pPr>
    </w:p>
    <w:p w14:paraId="45048BE6" w14:textId="77777777" w:rsidR="00060B65" w:rsidRPr="00305711" w:rsidRDefault="00731187" w:rsidP="002D7200">
      <w:pPr>
        <w:spacing w:after="0" w:line="240" w:lineRule="auto"/>
        <w:jc w:val="both"/>
        <w:rPr>
          <w:rFonts w:ascii="Arial" w:eastAsia="Times New Roman" w:hAnsi="Arial" w:cs="Arial"/>
        </w:rPr>
      </w:pPr>
      <w:r w:rsidRPr="00305711">
        <w:rPr>
          <w:rFonts w:ascii="Arial" w:eastAsia="Times New Roman" w:hAnsi="Arial" w:cs="Arial"/>
        </w:rPr>
        <w:t xml:space="preserve">BRASIL. Ministério dos Direitos Humanos e da Cidadania. </w:t>
      </w:r>
      <w:r w:rsidRPr="00305711">
        <w:rPr>
          <w:rFonts w:ascii="Arial" w:eastAsia="Times New Roman" w:hAnsi="Arial" w:cs="Arial"/>
          <w:b/>
          <w:bCs/>
        </w:rPr>
        <w:t>NOTA TÉCNICA Nº 8/2023/GAB.SE/SE/MDHC</w:t>
      </w:r>
      <w:r w:rsidRPr="00305711">
        <w:rPr>
          <w:rFonts w:ascii="Arial" w:eastAsia="Times New Roman" w:hAnsi="Arial" w:cs="Arial"/>
        </w:rPr>
        <w:t xml:space="preserve">. Brasília: </w:t>
      </w:r>
      <w:r w:rsidR="00221F3A" w:rsidRPr="00305711">
        <w:rPr>
          <w:rFonts w:ascii="Arial" w:eastAsia="Times New Roman" w:hAnsi="Arial" w:cs="Arial"/>
        </w:rPr>
        <w:t>MDHC</w:t>
      </w:r>
      <w:r w:rsidRPr="00305711">
        <w:rPr>
          <w:rFonts w:ascii="Arial" w:eastAsia="Times New Roman" w:hAnsi="Arial" w:cs="Arial"/>
        </w:rPr>
        <w:t xml:space="preserve">, 2023. Disponível em </w:t>
      </w:r>
      <w:r w:rsidR="00221F3A" w:rsidRPr="00305711">
        <w:rPr>
          <w:rFonts w:ascii="Arial" w:eastAsia="Times New Roman" w:hAnsi="Arial" w:cs="Arial"/>
        </w:rPr>
        <w:t>https://www.gov.br/mdh/pt-br/navegue-por-temas/lgbt/publicacoes/notas-tecnicas/NotaTcnicaN.8_2023_GAB.SE_SE_MDHC.pdf</w:t>
      </w:r>
      <w:r w:rsidRPr="00305711">
        <w:rPr>
          <w:rFonts w:ascii="Arial" w:eastAsia="Times New Roman" w:hAnsi="Arial" w:cs="Arial"/>
        </w:rPr>
        <w:t xml:space="preserve">. Acesso em: </w:t>
      </w:r>
      <w:r w:rsidR="00221F3A" w:rsidRPr="00305711">
        <w:rPr>
          <w:rFonts w:ascii="Arial" w:eastAsia="Times New Roman" w:hAnsi="Arial" w:cs="Arial"/>
        </w:rPr>
        <w:t>11</w:t>
      </w:r>
      <w:r w:rsidRPr="00305711">
        <w:rPr>
          <w:rFonts w:ascii="Arial" w:eastAsia="Times New Roman" w:hAnsi="Arial" w:cs="Arial"/>
        </w:rPr>
        <w:t xml:space="preserve"> </w:t>
      </w:r>
      <w:r w:rsidR="00221F3A" w:rsidRPr="00305711">
        <w:rPr>
          <w:rFonts w:ascii="Arial" w:eastAsia="Times New Roman" w:hAnsi="Arial" w:cs="Arial"/>
        </w:rPr>
        <w:t>jun</w:t>
      </w:r>
      <w:r w:rsidRPr="00305711">
        <w:rPr>
          <w:rFonts w:ascii="Arial" w:eastAsia="Times New Roman" w:hAnsi="Arial" w:cs="Arial"/>
        </w:rPr>
        <w:t>. 2025</w:t>
      </w:r>
    </w:p>
    <w:p w14:paraId="63FAF9DC" w14:textId="77777777" w:rsidR="001A30F4" w:rsidRPr="00305711" w:rsidRDefault="00B83573" w:rsidP="002D7200">
      <w:pPr>
        <w:spacing w:after="0" w:line="240" w:lineRule="auto"/>
        <w:jc w:val="both"/>
        <w:rPr>
          <w:rFonts w:ascii="Arial" w:eastAsia="Times New Roman" w:hAnsi="Arial" w:cs="Arial"/>
        </w:rPr>
      </w:pPr>
      <w:r w:rsidRPr="00305711">
        <w:rPr>
          <w:rFonts w:ascii="Arial" w:eastAsia="Times New Roman" w:hAnsi="Arial" w:cs="Arial"/>
        </w:rPr>
        <w:t xml:space="preserve">BRASIL. </w:t>
      </w:r>
      <w:r w:rsidRPr="00305711">
        <w:rPr>
          <w:rFonts w:ascii="Arial" w:eastAsia="Times New Roman" w:hAnsi="Arial" w:cs="Arial"/>
          <w:b/>
          <w:bCs/>
        </w:rPr>
        <w:t xml:space="preserve">Lei nº 14.802, de 10 de janeiro de 2024. </w:t>
      </w:r>
      <w:r w:rsidRPr="00305711">
        <w:rPr>
          <w:rFonts w:ascii="Arial" w:eastAsia="Times New Roman" w:hAnsi="Arial" w:cs="Arial"/>
        </w:rPr>
        <w:t>Institui o Pano Plurianual da União para o período de 2024 a 2027. Disponível em: https://www.planalto.gov.br/ccivil_03/_ato2023-2026/2024/lei/L14802.htm. Acesso em 11 jun. 2025</w:t>
      </w:r>
    </w:p>
    <w:p w14:paraId="5A6F44B9" w14:textId="77777777" w:rsidR="001A30F4" w:rsidRPr="00305711" w:rsidRDefault="001A30F4" w:rsidP="002D7200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07E3FFEC" w14:textId="77777777" w:rsidR="001A30F4" w:rsidRPr="00305711" w:rsidRDefault="00B21A64" w:rsidP="002D7200">
      <w:pPr>
        <w:spacing w:after="0" w:line="240" w:lineRule="auto"/>
        <w:jc w:val="both"/>
        <w:rPr>
          <w:rFonts w:ascii="Arial" w:eastAsia="Times New Roman" w:hAnsi="Arial" w:cs="Arial"/>
        </w:rPr>
      </w:pPr>
      <w:r w:rsidRPr="00305711">
        <w:rPr>
          <w:rFonts w:ascii="Arial" w:eastAsia="Times New Roman" w:hAnsi="Arial" w:cs="Arial"/>
        </w:rPr>
        <w:t xml:space="preserve">BRASIL. </w:t>
      </w:r>
      <w:r w:rsidRPr="00305711">
        <w:rPr>
          <w:rFonts w:ascii="Arial" w:eastAsia="Times New Roman" w:hAnsi="Arial" w:cs="Arial"/>
          <w:b/>
          <w:bCs/>
        </w:rPr>
        <w:t xml:space="preserve">Lei nº 14.822, de 22 de janeiro de 2024. </w:t>
      </w:r>
      <w:r w:rsidR="00367EB2" w:rsidRPr="00305711">
        <w:rPr>
          <w:rFonts w:ascii="Arial" w:eastAsia="Times New Roman" w:hAnsi="Arial" w:cs="Arial"/>
        </w:rPr>
        <w:t>Estima a receita e fixa a despesa da União para o exercício financeiro de 2024.</w:t>
      </w:r>
      <w:r w:rsidRPr="00305711">
        <w:rPr>
          <w:rFonts w:ascii="Arial" w:eastAsia="Times New Roman" w:hAnsi="Arial" w:cs="Arial"/>
        </w:rPr>
        <w:t xml:space="preserve"> Disponível em: </w:t>
      </w:r>
      <w:r w:rsidR="00367EB2" w:rsidRPr="00305711">
        <w:rPr>
          <w:rFonts w:ascii="Arial" w:eastAsia="Times New Roman" w:hAnsi="Arial" w:cs="Arial"/>
        </w:rPr>
        <w:t>https://www2.camara.leg.br/legin/fed/lei/2024/lei-14822-22-janeiro-2024-795273-publicacaooriginal-170908-pl.html</w:t>
      </w:r>
      <w:r w:rsidRPr="00305711">
        <w:rPr>
          <w:rFonts w:ascii="Arial" w:eastAsia="Times New Roman" w:hAnsi="Arial" w:cs="Arial"/>
        </w:rPr>
        <w:t xml:space="preserve">. Acesso em </w:t>
      </w:r>
      <w:r w:rsidR="00367EB2" w:rsidRPr="00305711">
        <w:rPr>
          <w:rFonts w:ascii="Arial" w:eastAsia="Times New Roman" w:hAnsi="Arial" w:cs="Arial"/>
        </w:rPr>
        <w:t>11</w:t>
      </w:r>
      <w:r w:rsidRPr="00305711">
        <w:rPr>
          <w:rFonts w:ascii="Arial" w:eastAsia="Times New Roman" w:hAnsi="Arial" w:cs="Arial"/>
        </w:rPr>
        <w:t xml:space="preserve"> </w:t>
      </w:r>
      <w:r w:rsidR="00367EB2" w:rsidRPr="00305711">
        <w:rPr>
          <w:rFonts w:ascii="Arial" w:eastAsia="Times New Roman" w:hAnsi="Arial" w:cs="Arial"/>
        </w:rPr>
        <w:t>jun</w:t>
      </w:r>
      <w:r w:rsidRPr="00305711">
        <w:rPr>
          <w:rFonts w:ascii="Arial" w:eastAsia="Times New Roman" w:hAnsi="Arial" w:cs="Arial"/>
        </w:rPr>
        <w:t>. 2025</w:t>
      </w:r>
    </w:p>
    <w:p w14:paraId="668D93CF" w14:textId="77777777" w:rsidR="001A30F4" w:rsidRPr="00305711" w:rsidRDefault="001A30F4" w:rsidP="002D7200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40BAE3EE" w14:textId="50DDC2F8" w:rsidR="005222D2" w:rsidRPr="00305711" w:rsidRDefault="008F7F48" w:rsidP="002D7200">
      <w:pPr>
        <w:spacing w:after="0" w:line="240" w:lineRule="auto"/>
        <w:jc w:val="both"/>
        <w:rPr>
          <w:rFonts w:ascii="Arial" w:eastAsia="Times New Roman" w:hAnsi="Arial" w:cs="Arial"/>
        </w:rPr>
      </w:pPr>
      <w:r w:rsidRPr="00305711">
        <w:rPr>
          <w:rFonts w:ascii="Arial" w:hAnsi="Arial" w:cs="Arial"/>
        </w:rPr>
        <w:t xml:space="preserve">FERNANDES, Wander. </w:t>
      </w:r>
      <w:r w:rsidRPr="00305711">
        <w:rPr>
          <w:rFonts w:ascii="Arial" w:hAnsi="Arial" w:cs="Arial"/>
          <w:b/>
          <w:bCs/>
        </w:rPr>
        <w:t>Os direitos das pessoas LGBTQ+ obtidos através dos julgados do STF e do STJ</w:t>
      </w:r>
      <w:r w:rsidR="00043E33" w:rsidRPr="00305711">
        <w:rPr>
          <w:rFonts w:ascii="Arial" w:hAnsi="Arial" w:cs="Arial"/>
          <w:b/>
          <w:bCs/>
        </w:rPr>
        <w:t xml:space="preserve">. </w:t>
      </w:r>
      <w:proofErr w:type="spellStart"/>
      <w:r w:rsidR="00043E33" w:rsidRPr="00305711">
        <w:rPr>
          <w:rFonts w:ascii="Arial" w:eastAsia="Times New Roman" w:hAnsi="Arial" w:cs="Arial"/>
        </w:rPr>
        <w:t>Jusbrasil</w:t>
      </w:r>
      <w:proofErr w:type="spellEnd"/>
      <w:r w:rsidR="00043E33" w:rsidRPr="00305711">
        <w:rPr>
          <w:rFonts w:ascii="Arial" w:eastAsia="Times New Roman" w:hAnsi="Arial" w:cs="Arial"/>
        </w:rPr>
        <w:t xml:space="preserve">, </w:t>
      </w:r>
      <w:r w:rsidR="00281592" w:rsidRPr="00305711">
        <w:rPr>
          <w:rFonts w:ascii="Arial" w:eastAsia="Times New Roman" w:hAnsi="Arial" w:cs="Arial"/>
        </w:rPr>
        <w:t>Salvador</w:t>
      </w:r>
      <w:r w:rsidR="00043E33" w:rsidRPr="00305711">
        <w:rPr>
          <w:rFonts w:ascii="Arial" w:eastAsia="Times New Roman" w:hAnsi="Arial" w:cs="Arial"/>
        </w:rPr>
        <w:t xml:space="preserve">, </w:t>
      </w:r>
      <w:r w:rsidR="007A3CDF" w:rsidRPr="00305711">
        <w:rPr>
          <w:rFonts w:ascii="Arial" w:eastAsia="Times New Roman" w:hAnsi="Arial" w:cs="Arial"/>
        </w:rPr>
        <w:t>1</w:t>
      </w:r>
      <w:r w:rsidR="0042686A" w:rsidRPr="00305711">
        <w:rPr>
          <w:rFonts w:ascii="Arial" w:eastAsia="Times New Roman" w:hAnsi="Arial" w:cs="Arial"/>
        </w:rPr>
        <w:t>º.</w:t>
      </w:r>
      <w:r w:rsidR="00043E33" w:rsidRPr="00305711">
        <w:rPr>
          <w:rFonts w:ascii="Arial" w:eastAsia="Times New Roman" w:hAnsi="Arial" w:cs="Arial"/>
        </w:rPr>
        <w:t xml:space="preserve"> de </w:t>
      </w:r>
      <w:r w:rsidR="007A3CDF" w:rsidRPr="00305711">
        <w:rPr>
          <w:rFonts w:ascii="Arial" w:eastAsia="Times New Roman" w:hAnsi="Arial" w:cs="Arial"/>
        </w:rPr>
        <w:t>Mar</w:t>
      </w:r>
      <w:r w:rsidR="005C605D" w:rsidRPr="00305711">
        <w:rPr>
          <w:rFonts w:ascii="Arial" w:eastAsia="Times New Roman" w:hAnsi="Arial" w:cs="Arial"/>
        </w:rPr>
        <w:t>ço</w:t>
      </w:r>
      <w:r w:rsidR="00043E33" w:rsidRPr="00305711">
        <w:rPr>
          <w:rFonts w:ascii="Arial" w:eastAsia="Times New Roman" w:hAnsi="Arial" w:cs="Arial"/>
        </w:rPr>
        <w:t xml:space="preserve"> de 202</w:t>
      </w:r>
      <w:r w:rsidR="005C605D" w:rsidRPr="00305711">
        <w:rPr>
          <w:rFonts w:ascii="Arial" w:eastAsia="Times New Roman" w:hAnsi="Arial" w:cs="Arial"/>
        </w:rPr>
        <w:t>4</w:t>
      </w:r>
      <w:r w:rsidR="00043E33" w:rsidRPr="00305711">
        <w:rPr>
          <w:rFonts w:ascii="Arial" w:eastAsia="Times New Roman" w:hAnsi="Arial" w:cs="Arial"/>
        </w:rPr>
        <w:t xml:space="preserve">. Disponível em: </w:t>
      </w:r>
      <w:r w:rsidR="005B3AFA" w:rsidRPr="00305711">
        <w:rPr>
          <w:rFonts w:ascii="Arial" w:eastAsia="Times New Roman" w:hAnsi="Arial" w:cs="Arial"/>
        </w:rPr>
        <w:lastRenderedPageBreak/>
        <w:t>https://www.jusbrasil.com.br/artigos/os-direitos-das-pessoas-lgbtq-obtidos-atraves-dos-julgados-do-stf-e-do-stj/2186089042</w:t>
      </w:r>
      <w:r w:rsidR="00043E33" w:rsidRPr="00305711">
        <w:rPr>
          <w:rFonts w:ascii="Arial" w:eastAsia="Times New Roman" w:hAnsi="Arial" w:cs="Arial"/>
        </w:rPr>
        <w:t xml:space="preserve">. Acesso em: </w:t>
      </w:r>
      <w:r w:rsidR="005B3AFA" w:rsidRPr="00305711">
        <w:rPr>
          <w:rFonts w:ascii="Arial" w:eastAsia="Times New Roman" w:hAnsi="Arial" w:cs="Arial"/>
        </w:rPr>
        <w:t>11</w:t>
      </w:r>
      <w:r w:rsidR="00043E33" w:rsidRPr="00305711">
        <w:rPr>
          <w:rFonts w:ascii="Arial" w:eastAsia="Times New Roman" w:hAnsi="Arial" w:cs="Arial"/>
        </w:rPr>
        <w:t xml:space="preserve"> </w:t>
      </w:r>
      <w:r w:rsidR="00635089" w:rsidRPr="00305711">
        <w:rPr>
          <w:rFonts w:ascii="Arial" w:eastAsia="Times New Roman" w:hAnsi="Arial" w:cs="Arial"/>
        </w:rPr>
        <w:t>jun</w:t>
      </w:r>
      <w:r w:rsidR="00043E33" w:rsidRPr="00305711">
        <w:rPr>
          <w:rFonts w:ascii="Arial" w:eastAsia="Times New Roman" w:hAnsi="Arial" w:cs="Arial"/>
        </w:rPr>
        <w:t>. 2025.</w:t>
      </w:r>
    </w:p>
    <w:p w14:paraId="575619A5" w14:textId="77777777" w:rsidR="005222D2" w:rsidRPr="00305711" w:rsidRDefault="005222D2" w:rsidP="002D7200">
      <w:pPr>
        <w:spacing w:after="0" w:line="240" w:lineRule="auto"/>
        <w:jc w:val="both"/>
        <w:rPr>
          <w:rFonts w:ascii="Arial" w:hAnsi="Arial" w:cs="Arial"/>
        </w:rPr>
      </w:pPr>
    </w:p>
    <w:p w14:paraId="388D6055" w14:textId="77777777" w:rsidR="005222D2" w:rsidRPr="00305711" w:rsidRDefault="00C6003C" w:rsidP="002D7200">
      <w:pPr>
        <w:spacing w:after="0" w:line="240" w:lineRule="auto"/>
        <w:jc w:val="both"/>
        <w:rPr>
          <w:rFonts w:ascii="Arial" w:hAnsi="Arial" w:cs="Arial"/>
        </w:rPr>
      </w:pPr>
      <w:r w:rsidRPr="00305711">
        <w:rPr>
          <w:rFonts w:ascii="Arial" w:hAnsi="Arial" w:cs="Arial"/>
        </w:rPr>
        <w:t xml:space="preserve">FREITAS, Thales Pinto. </w:t>
      </w:r>
      <w:r w:rsidR="0079670E" w:rsidRPr="00305711">
        <w:rPr>
          <w:rFonts w:ascii="Arial" w:hAnsi="Arial" w:cs="Arial"/>
          <w:b/>
          <w:bCs/>
        </w:rPr>
        <w:t xml:space="preserve">Homotransfobia não é racismo: uma análise da criminalização da homotransfobia pelo Supremo Tribunal Federal na ADO 26 à luz do princípio da legalidade penal. </w:t>
      </w:r>
      <w:r w:rsidR="002242D6" w:rsidRPr="00305711">
        <w:rPr>
          <w:rFonts w:ascii="Arial" w:hAnsi="Arial" w:cs="Arial"/>
        </w:rPr>
        <w:t xml:space="preserve">Dissertação </w:t>
      </w:r>
      <w:r w:rsidR="00F74A1A" w:rsidRPr="00305711">
        <w:rPr>
          <w:rFonts w:ascii="Arial" w:hAnsi="Arial" w:cs="Arial"/>
        </w:rPr>
        <w:t xml:space="preserve">(Mestrado em Direito) </w:t>
      </w:r>
      <w:r w:rsidR="00080D67" w:rsidRPr="00305711">
        <w:rPr>
          <w:rFonts w:ascii="Arial" w:hAnsi="Arial" w:cs="Arial"/>
        </w:rPr>
        <w:t>–</w:t>
      </w:r>
      <w:r w:rsidR="00F74A1A" w:rsidRPr="00305711">
        <w:rPr>
          <w:rFonts w:ascii="Arial" w:hAnsi="Arial" w:cs="Arial"/>
        </w:rPr>
        <w:t xml:space="preserve"> </w:t>
      </w:r>
      <w:r w:rsidR="00080D67" w:rsidRPr="00305711">
        <w:rPr>
          <w:rFonts w:ascii="Arial" w:hAnsi="Arial" w:cs="Arial"/>
        </w:rPr>
        <w:t>UERJ, Rio de Janeiro</w:t>
      </w:r>
      <w:r w:rsidR="004B06C1" w:rsidRPr="00305711">
        <w:rPr>
          <w:rFonts w:ascii="Arial" w:hAnsi="Arial" w:cs="Arial"/>
        </w:rPr>
        <w:t>, 2022. Dispon</w:t>
      </w:r>
      <w:r w:rsidR="00253FF9" w:rsidRPr="00305711">
        <w:rPr>
          <w:rFonts w:ascii="Arial" w:hAnsi="Arial" w:cs="Arial"/>
        </w:rPr>
        <w:t xml:space="preserve">ível em: </w:t>
      </w:r>
      <w:r w:rsidR="00A475FA" w:rsidRPr="00305711">
        <w:rPr>
          <w:rFonts w:ascii="Arial" w:hAnsi="Arial" w:cs="Arial"/>
        </w:rPr>
        <w:t>https://www.bdtd.uerj.br:8443/bitstream/1/22693/2/Disserta%C3%A7%C3%A3o%20-%20Thales%20Pinto%20Freitas%20-%202022%20-%20Completa.pdf. Acesso em: 11 jun. 2025</w:t>
      </w:r>
    </w:p>
    <w:p w14:paraId="270B3D58" w14:textId="77777777" w:rsidR="005222D2" w:rsidRPr="00305711" w:rsidRDefault="005222D2" w:rsidP="002D7200">
      <w:pPr>
        <w:spacing w:after="0" w:line="240" w:lineRule="auto"/>
        <w:jc w:val="both"/>
        <w:rPr>
          <w:rFonts w:ascii="Arial" w:hAnsi="Arial" w:cs="Arial"/>
        </w:rPr>
      </w:pPr>
    </w:p>
    <w:p w14:paraId="176149B6" w14:textId="77777777" w:rsidR="005222D2" w:rsidRPr="00305711" w:rsidRDefault="00553BF7" w:rsidP="002D7200">
      <w:pPr>
        <w:spacing w:after="0" w:line="240" w:lineRule="auto"/>
        <w:jc w:val="both"/>
        <w:rPr>
          <w:rFonts w:ascii="Arial" w:hAnsi="Arial" w:cs="Arial"/>
        </w:rPr>
      </w:pPr>
      <w:r w:rsidRPr="00305711">
        <w:rPr>
          <w:rFonts w:ascii="Arial" w:hAnsi="Arial" w:cs="Arial"/>
        </w:rPr>
        <w:t xml:space="preserve">FLORES, Solon </w:t>
      </w:r>
      <w:r w:rsidRPr="00305711">
        <w:rPr>
          <w:rFonts w:ascii="Arial" w:hAnsi="Arial" w:cs="Arial"/>
          <w:i/>
          <w:iCs/>
        </w:rPr>
        <w:t>et al</w:t>
      </w:r>
      <w:r w:rsidRPr="00305711">
        <w:rPr>
          <w:rFonts w:ascii="Arial" w:hAnsi="Arial" w:cs="Arial"/>
        </w:rPr>
        <w:t>. A promessa da ADO nº 26/DF e do MI nº 4.733/DF enquanto a omissão se mantém: por que continua tão difícil a persecução criminal da homotransfobia no Brasil.</w:t>
      </w:r>
      <w:r w:rsidR="00577DDD" w:rsidRPr="00305711">
        <w:rPr>
          <w:rFonts w:ascii="Arial" w:hAnsi="Arial" w:cs="Arial"/>
        </w:rPr>
        <w:t xml:space="preserve"> </w:t>
      </w:r>
      <w:r w:rsidRPr="00305711">
        <w:rPr>
          <w:rFonts w:ascii="Arial" w:hAnsi="Arial" w:cs="Arial"/>
          <w:b/>
          <w:bCs/>
        </w:rPr>
        <w:t>Revista da Defensoria Pública do Estado do Rio Grande do Sul</w:t>
      </w:r>
      <w:r w:rsidRPr="00305711">
        <w:rPr>
          <w:rFonts w:ascii="Arial" w:hAnsi="Arial" w:cs="Arial"/>
        </w:rPr>
        <w:t>, v. 1, n. 34, p. 118-138, 2024. Disponível em: https://defensoriars.dattatech.com.br/defensoria/article/view/615. Acesso em: 11 jun. 2025.</w:t>
      </w:r>
    </w:p>
    <w:p w14:paraId="0E958B7F" w14:textId="77777777" w:rsidR="005222D2" w:rsidRPr="00305711" w:rsidRDefault="005222D2" w:rsidP="002D7200">
      <w:pPr>
        <w:spacing w:after="0" w:line="240" w:lineRule="auto"/>
        <w:jc w:val="both"/>
        <w:rPr>
          <w:rFonts w:ascii="Arial" w:hAnsi="Arial" w:cs="Arial"/>
        </w:rPr>
      </w:pPr>
    </w:p>
    <w:p w14:paraId="41E647B1" w14:textId="77777777" w:rsidR="005222D2" w:rsidRPr="00305711" w:rsidRDefault="00553BF7" w:rsidP="002D7200">
      <w:pPr>
        <w:spacing w:after="0" w:line="240" w:lineRule="auto"/>
        <w:jc w:val="both"/>
        <w:rPr>
          <w:rFonts w:ascii="Arial" w:hAnsi="Arial" w:cs="Arial"/>
        </w:rPr>
      </w:pPr>
      <w:r w:rsidRPr="00305711">
        <w:rPr>
          <w:rFonts w:ascii="Arial" w:hAnsi="Arial" w:cs="Arial"/>
        </w:rPr>
        <w:t xml:space="preserve">OLIVEIRA, Brenda Soares de. </w:t>
      </w:r>
      <w:r w:rsidRPr="00305711">
        <w:rPr>
          <w:rFonts w:ascii="Arial" w:hAnsi="Arial" w:cs="Arial"/>
          <w:b/>
          <w:bCs/>
        </w:rPr>
        <w:t>População LGBTQIA+ e a omissão do estado brasileiro: uma análise dos fatores que resultaram na propositura da ADO 26/DF</w:t>
      </w:r>
      <w:r w:rsidRPr="00305711">
        <w:rPr>
          <w:rFonts w:ascii="Arial" w:hAnsi="Arial" w:cs="Arial"/>
        </w:rPr>
        <w:t>. Brasília</w:t>
      </w:r>
      <w:r w:rsidR="008A182A" w:rsidRPr="00305711">
        <w:rPr>
          <w:rFonts w:ascii="Arial" w:hAnsi="Arial" w:cs="Arial"/>
        </w:rPr>
        <w:t xml:space="preserve">: </w:t>
      </w:r>
      <w:r w:rsidRPr="00305711">
        <w:rPr>
          <w:rFonts w:ascii="Arial" w:hAnsi="Arial" w:cs="Arial"/>
        </w:rPr>
        <w:t xml:space="preserve">UniCEUB, 2022. Disponível em: </w:t>
      </w:r>
      <w:hyperlink r:id="rId9" w:history="1">
        <w:r w:rsidRPr="00305711">
          <w:rPr>
            <w:rStyle w:val="Hyperlink"/>
            <w:rFonts w:ascii="Arial" w:hAnsi="Arial" w:cs="Arial"/>
            <w:color w:val="auto"/>
            <w:u w:val="none"/>
          </w:rPr>
          <w:t>https://repositorio.uniceub.br/jspui/handle/prefix/16557</w:t>
        </w:r>
      </w:hyperlink>
      <w:r w:rsidRPr="00305711">
        <w:rPr>
          <w:rFonts w:ascii="Arial" w:hAnsi="Arial" w:cs="Arial"/>
        </w:rPr>
        <w:t>. Acesso em: 11 jun. 2025</w:t>
      </w:r>
    </w:p>
    <w:p w14:paraId="0B34A61B" w14:textId="77777777" w:rsidR="005222D2" w:rsidRPr="00305711" w:rsidRDefault="005222D2" w:rsidP="002D7200">
      <w:pPr>
        <w:spacing w:after="0" w:line="240" w:lineRule="auto"/>
        <w:jc w:val="both"/>
        <w:rPr>
          <w:rFonts w:ascii="Arial" w:hAnsi="Arial" w:cs="Arial"/>
        </w:rPr>
      </w:pPr>
    </w:p>
    <w:p w14:paraId="45DF0B2D" w14:textId="77777777" w:rsidR="005222D2" w:rsidRPr="00305711" w:rsidRDefault="002E74A0" w:rsidP="002D7200">
      <w:pPr>
        <w:spacing w:after="0" w:line="240" w:lineRule="auto"/>
        <w:jc w:val="both"/>
        <w:rPr>
          <w:rFonts w:ascii="Arial" w:hAnsi="Arial" w:cs="Arial"/>
        </w:rPr>
      </w:pPr>
      <w:r w:rsidRPr="00305711">
        <w:rPr>
          <w:rFonts w:ascii="Arial" w:hAnsi="Arial" w:cs="Arial"/>
        </w:rPr>
        <w:t>MEDEIROS</w:t>
      </w:r>
      <w:r w:rsidR="00486E7B" w:rsidRPr="00305711">
        <w:rPr>
          <w:rFonts w:ascii="Arial" w:hAnsi="Arial" w:cs="Arial"/>
        </w:rPr>
        <w:t xml:space="preserve">, </w:t>
      </w:r>
      <w:proofErr w:type="spellStart"/>
      <w:r w:rsidR="00486E7B" w:rsidRPr="00305711">
        <w:rPr>
          <w:rFonts w:ascii="Arial" w:hAnsi="Arial" w:cs="Arial"/>
        </w:rPr>
        <w:t>Izabella</w:t>
      </w:r>
      <w:proofErr w:type="spellEnd"/>
      <w:r w:rsidR="00486E7B" w:rsidRPr="00305711">
        <w:rPr>
          <w:rFonts w:ascii="Arial" w:hAnsi="Arial" w:cs="Arial"/>
        </w:rPr>
        <w:t xml:space="preserve"> Flávia </w:t>
      </w:r>
      <w:proofErr w:type="spellStart"/>
      <w:r w:rsidR="00486E7B" w:rsidRPr="00305711">
        <w:rPr>
          <w:rFonts w:ascii="Arial" w:hAnsi="Arial" w:cs="Arial"/>
        </w:rPr>
        <w:t>Sous</w:t>
      </w:r>
      <w:proofErr w:type="spellEnd"/>
      <w:r w:rsidR="00486E7B" w:rsidRPr="00305711">
        <w:rPr>
          <w:rFonts w:ascii="Arial" w:hAnsi="Arial" w:cs="Arial"/>
        </w:rPr>
        <w:t xml:space="preserve"> Antunes Viana de &amp; </w:t>
      </w:r>
      <w:r w:rsidR="00851204" w:rsidRPr="00305711">
        <w:rPr>
          <w:rFonts w:ascii="Arial" w:hAnsi="Arial" w:cs="Arial"/>
        </w:rPr>
        <w:t>ANDRADE</w:t>
      </w:r>
      <w:r w:rsidR="00486E7B" w:rsidRPr="00305711">
        <w:rPr>
          <w:rFonts w:ascii="Arial" w:hAnsi="Arial" w:cs="Arial"/>
        </w:rPr>
        <w:t xml:space="preserve">, Melissa Lara. </w:t>
      </w:r>
      <w:r w:rsidR="00296C64" w:rsidRPr="00305711">
        <w:rPr>
          <w:rFonts w:ascii="Arial" w:hAnsi="Arial" w:cs="Arial"/>
          <w:b/>
          <w:bCs/>
        </w:rPr>
        <w:t>A atividade legislativa inconstitucional exercida pelo Supremo tribunal federal no crime de homofobia</w:t>
      </w:r>
      <w:r w:rsidR="00296C64" w:rsidRPr="00305711">
        <w:rPr>
          <w:rFonts w:ascii="Arial" w:hAnsi="Arial" w:cs="Arial"/>
        </w:rPr>
        <w:t xml:space="preserve">. </w:t>
      </w:r>
      <w:r w:rsidR="000252D3" w:rsidRPr="00305711">
        <w:rPr>
          <w:rFonts w:ascii="Arial" w:hAnsi="Arial" w:cs="Arial"/>
        </w:rPr>
        <w:t xml:space="preserve">Florianópolis </w:t>
      </w:r>
      <w:r w:rsidR="00296C64" w:rsidRPr="00305711">
        <w:rPr>
          <w:rFonts w:ascii="Arial" w:hAnsi="Arial" w:cs="Arial"/>
        </w:rPr>
        <w:t>– SC: CONPEDI Nacional, 202</w:t>
      </w:r>
      <w:r w:rsidR="000252D3" w:rsidRPr="00305711">
        <w:rPr>
          <w:rFonts w:ascii="Arial" w:hAnsi="Arial" w:cs="Arial"/>
        </w:rPr>
        <w:t>0</w:t>
      </w:r>
    </w:p>
    <w:p w14:paraId="13493D69" w14:textId="77777777" w:rsidR="005222D2" w:rsidRPr="00305711" w:rsidRDefault="005222D2" w:rsidP="002D7200">
      <w:pPr>
        <w:spacing w:after="0" w:line="240" w:lineRule="auto"/>
        <w:jc w:val="both"/>
        <w:rPr>
          <w:rFonts w:ascii="Arial" w:hAnsi="Arial" w:cs="Arial"/>
        </w:rPr>
      </w:pPr>
    </w:p>
    <w:p w14:paraId="4620BF2B" w14:textId="18BC850F" w:rsidR="001A351F" w:rsidRPr="00305711" w:rsidRDefault="001A351F" w:rsidP="002D7200">
      <w:pPr>
        <w:spacing w:after="0" w:line="240" w:lineRule="auto"/>
        <w:jc w:val="both"/>
        <w:rPr>
          <w:rFonts w:ascii="Arial" w:hAnsi="Arial" w:cs="Arial"/>
        </w:rPr>
      </w:pPr>
      <w:r w:rsidRPr="00305711">
        <w:rPr>
          <w:rFonts w:ascii="Arial" w:hAnsi="Arial" w:cs="Arial"/>
        </w:rPr>
        <w:t>NETO, P</w:t>
      </w:r>
      <w:r w:rsidR="00BB293E" w:rsidRPr="00305711">
        <w:rPr>
          <w:rFonts w:ascii="Arial" w:hAnsi="Arial" w:cs="Arial"/>
        </w:rPr>
        <w:t xml:space="preserve">edro </w:t>
      </w:r>
      <w:proofErr w:type="spellStart"/>
      <w:r w:rsidR="00BB293E" w:rsidRPr="00305711">
        <w:rPr>
          <w:rFonts w:ascii="Arial" w:hAnsi="Arial" w:cs="Arial"/>
        </w:rPr>
        <w:t>Triches</w:t>
      </w:r>
      <w:proofErr w:type="spellEnd"/>
      <w:r w:rsidR="00BB293E" w:rsidRPr="00305711">
        <w:rPr>
          <w:rFonts w:ascii="Arial" w:hAnsi="Arial" w:cs="Arial"/>
          <w:b/>
          <w:bCs/>
        </w:rPr>
        <w:t xml:space="preserve"> </w:t>
      </w:r>
      <w:r w:rsidR="00BB293E" w:rsidRPr="00305711">
        <w:rPr>
          <w:rFonts w:ascii="Arial" w:hAnsi="Arial" w:cs="Arial"/>
        </w:rPr>
        <w:t>&amp; VIEIRA, Tereza Ro</w:t>
      </w:r>
      <w:r w:rsidR="00ED6336" w:rsidRPr="00305711">
        <w:rPr>
          <w:rFonts w:ascii="Arial" w:hAnsi="Arial" w:cs="Arial"/>
        </w:rPr>
        <w:t>drigues Vieira.</w:t>
      </w:r>
      <w:r w:rsidRPr="00305711">
        <w:rPr>
          <w:rFonts w:ascii="Arial" w:hAnsi="Arial" w:cs="Arial"/>
        </w:rPr>
        <w:t xml:space="preserve"> </w:t>
      </w:r>
      <w:r w:rsidRPr="00305711">
        <w:rPr>
          <w:rFonts w:ascii="Arial" w:hAnsi="Arial" w:cs="Arial"/>
          <w:b/>
          <w:bCs/>
        </w:rPr>
        <w:t>Transgêneros e sua luta pelo reconhecimento no Brasil</w:t>
      </w:r>
      <w:r w:rsidRPr="00305711">
        <w:rPr>
          <w:rFonts w:ascii="Arial" w:hAnsi="Arial" w:cs="Arial"/>
        </w:rPr>
        <w:t xml:space="preserve">. </w:t>
      </w:r>
      <w:r w:rsidR="0037073C" w:rsidRPr="00305711">
        <w:rPr>
          <w:rFonts w:ascii="Arial" w:hAnsi="Arial" w:cs="Arial"/>
        </w:rPr>
        <w:t xml:space="preserve">Balneário </w:t>
      </w:r>
      <w:proofErr w:type="spellStart"/>
      <w:r w:rsidR="0037073C" w:rsidRPr="00305711">
        <w:rPr>
          <w:rFonts w:ascii="Arial" w:hAnsi="Arial" w:cs="Arial"/>
        </w:rPr>
        <w:t>Camburi</w:t>
      </w:r>
      <w:r w:rsidR="00EE1D2C" w:rsidRPr="00305711">
        <w:rPr>
          <w:rFonts w:ascii="Arial" w:hAnsi="Arial" w:cs="Arial"/>
        </w:rPr>
        <w:t>ú</w:t>
      </w:r>
      <w:proofErr w:type="spellEnd"/>
      <w:r w:rsidR="00EE1D2C" w:rsidRPr="00305711">
        <w:rPr>
          <w:rFonts w:ascii="Arial" w:hAnsi="Arial" w:cs="Arial"/>
        </w:rPr>
        <w:t xml:space="preserve"> – SC: </w:t>
      </w:r>
      <w:r w:rsidRPr="00305711">
        <w:rPr>
          <w:rFonts w:ascii="Arial" w:hAnsi="Arial" w:cs="Arial"/>
        </w:rPr>
        <w:t>CONPEDI Nacional, 2022</w:t>
      </w:r>
    </w:p>
    <w:p w14:paraId="2D92B9FF" w14:textId="77777777" w:rsidR="00C10B4E" w:rsidRPr="00305711" w:rsidRDefault="00C10B4E" w:rsidP="002D7200">
      <w:pPr>
        <w:spacing w:after="0" w:line="240" w:lineRule="auto"/>
        <w:jc w:val="both"/>
        <w:rPr>
          <w:rFonts w:ascii="Arial" w:hAnsi="Arial" w:cs="Arial"/>
        </w:rPr>
      </w:pPr>
    </w:p>
    <w:p w14:paraId="2FCEEDC8" w14:textId="245BE47A" w:rsidR="00C10B4E" w:rsidRPr="00305711" w:rsidRDefault="009E3D1C" w:rsidP="002D7200">
      <w:pPr>
        <w:spacing w:after="0" w:line="240" w:lineRule="auto"/>
        <w:jc w:val="both"/>
        <w:rPr>
          <w:rFonts w:ascii="Arial" w:eastAsia="Times New Roman" w:hAnsi="Arial" w:cs="Arial"/>
        </w:rPr>
      </w:pPr>
      <w:r w:rsidRPr="00305711">
        <w:rPr>
          <w:rFonts w:ascii="Arial" w:eastAsia="Times New Roman" w:hAnsi="Arial" w:cs="Arial"/>
        </w:rPr>
        <w:t xml:space="preserve">T.P. Governo lança marca "LGBTQIA+ Cidadania" que reúne todas as ações voltadas para população LGBTQIA+. </w:t>
      </w:r>
      <w:r w:rsidRPr="00305711">
        <w:rPr>
          <w:rFonts w:ascii="Arial" w:eastAsia="Times New Roman" w:hAnsi="Arial" w:cs="Arial"/>
          <w:b/>
          <w:bCs/>
        </w:rPr>
        <w:t>GOV.BR</w:t>
      </w:r>
      <w:r w:rsidRPr="00305711">
        <w:rPr>
          <w:rFonts w:ascii="Arial" w:eastAsia="Times New Roman" w:hAnsi="Arial" w:cs="Arial"/>
        </w:rPr>
        <w:t>, Brasília, 30 de maio de 2024. Disponível em: https://www.gov.br/mdh/pt-br/assuntos/noticias/2024/maio/governo-lanca-marca-2018lgbtqia-cidadania2019-que-reune-todas-as-acoes-voltadas-para-populacao-lgbtqia. Acesso em: 11 jun. 2025.</w:t>
      </w:r>
    </w:p>
    <w:sectPr w:rsidR="00C10B4E" w:rsidRPr="00305711" w:rsidSect="00897C2D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46F8FD" w14:textId="77777777" w:rsidR="00AB1D01" w:rsidRDefault="00AB1D01" w:rsidP="00203809">
      <w:pPr>
        <w:spacing w:after="0" w:line="240" w:lineRule="auto"/>
      </w:pPr>
      <w:r>
        <w:separator/>
      </w:r>
    </w:p>
  </w:endnote>
  <w:endnote w:type="continuationSeparator" w:id="0">
    <w:p w14:paraId="1EE4EE63" w14:textId="77777777" w:rsidR="00AB1D01" w:rsidRDefault="00AB1D01" w:rsidP="00203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C94390" w14:textId="77777777" w:rsidR="00AB1D01" w:rsidRDefault="00AB1D01" w:rsidP="00203809">
      <w:pPr>
        <w:spacing w:after="0" w:line="240" w:lineRule="auto"/>
      </w:pPr>
      <w:r>
        <w:separator/>
      </w:r>
    </w:p>
  </w:footnote>
  <w:footnote w:type="continuationSeparator" w:id="0">
    <w:p w14:paraId="5DCEBC94" w14:textId="77777777" w:rsidR="00AB1D01" w:rsidRDefault="00AB1D01" w:rsidP="00203809">
      <w:pPr>
        <w:spacing w:after="0" w:line="240" w:lineRule="auto"/>
      </w:pPr>
      <w:r>
        <w:continuationSeparator/>
      </w:r>
    </w:p>
  </w:footnote>
  <w:footnote w:id="1">
    <w:p w14:paraId="487BC7E4" w14:textId="77777777" w:rsidR="00414DE3" w:rsidRPr="008E435E" w:rsidRDefault="00414DE3" w:rsidP="00414DE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8E435E">
        <w:rPr>
          <w:rStyle w:val="Refdenotaderodap"/>
          <w:rFonts w:ascii="Arial" w:hAnsi="Arial" w:cs="Arial"/>
          <w:sz w:val="20"/>
          <w:szCs w:val="20"/>
        </w:rPr>
        <w:footnoteRef/>
      </w:r>
      <w:r w:rsidRPr="008E435E">
        <w:rPr>
          <w:rFonts w:ascii="Arial" w:hAnsi="Arial" w:cs="Arial"/>
          <w:sz w:val="20"/>
          <w:szCs w:val="20"/>
        </w:rPr>
        <w:t xml:space="preserve"> Aluno do Mestrado em Direito e Afirmação de Vulneráveis, da Universidade </w:t>
      </w:r>
      <w:proofErr w:type="spellStart"/>
      <w:r w:rsidRPr="008E435E">
        <w:rPr>
          <w:rFonts w:ascii="Arial" w:hAnsi="Arial" w:cs="Arial"/>
          <w:sz w:val="20"/>
          <w:szCs w:val="20"/>
        </w:rPr>
        <w:t>Ceuma</w:t>
      </w:r>
      <w:proofErr w:type="spellEnd"/>
      <w:r w:rsidRPr="008E435E">
        <w:rPr>
          <w:rFonts w:ascii="Arial" w:hAnsi="Arial" w:cs="Arial"/>
          <w:sz w:val="20"/>
          <w:szCs w:val="20"/>
        </w:rPr>
        <w:t xml:space="preserve">. </w:t>
      </w:r>
      <w:r w:rsidRPr="008E435E">
        <w:rPr>
          <w:rFonts w:ascii="Arial" w:hAnsi="Arial" w:cs="Arial"/>
          <w:sz w:val="20"/>
          <w:szCs w:val="20"/>
          <w:lang w:val="en-US"/>
        </w:rPr>
        <w:t>ORCID: 0009-0001-5945-0685. Lattes: http://lattes.cnpq.br/8014173849638075. E-mail: arrudaveiga@gmail.com.</w:t>
      </w:r>
    </w:p>
  </w:footnote>
  <w:footnote w:id="2">
    <w:p w14:paraId="4FB058F5" w14:textId="77777777" w:rsidR="00414DE3" w:rsidRPr="008E435E" w:rsidRDefault="00414DE3" w:rsidP="00414DE3">
      <w:pPr>
        <w:pStyle w:val="Textodenotaderodap"/>
        <w:jc w:val="both"/>
        <w:rPr>
          <w:rFonts w:ascii="Arial" w:hAnsi="Arial" w:cs="Arial"/>
        </w:rPr>
      </w:pPr>
      <w:r w:rsidRPr="008E435E">
        <w:rPr>
          <w:rStyle w:val="Refdenotaderodap"/>
          <w:rFonts w:ascii="Arial" w:hAnsi="Arial" w:cs="Arial"/>
        </w:rPr>
        <w:footnoteRef/>
      </w:r>
      <w:r w:rsidRPr="008E435E">
        <w:rPr>
          <w:rFonts w:ascii="Arial" w:hAnsi="Arial" w:cs="Arial"/>
        </w:rPr>
        <w:t xml:space="preserve"> Aluno do Mestrado em Direito e Afirmação de Vulneráveis, da Universidade </w:t>
      </w:r>
      <w:proofErr w:type="spellStart"/>
      <w:r w:rsidRPr="008E435E">
        <w:rPr>
          <w:rFonts w:ascii="Arial" w:hAnsi="Arial" w:cs="Arial"/>
        </w:rPr>
        <w:t>Ceuma</w:t>
      </w:r>
      <w:proofErr w:type="spellEnd"/>
      <w:r w:rsidRPr="008E435E">
        <w:rPr>
          <w:rFonts w:ascii="Arial" w:hAnsi="Arial" w:cs="Arial"/>
        </w:rPr>
        <w:t>. ORCID: 0009-0003-3685-5887. Lattes: https://lattes.cnpq.br/5975355507024425. E-mail: fabianoaragao@gmail.com.</w:t>
      </w:r>
    </w:p>
  </w:footnote>
  <w:footnote w:id="3">
    <w:p w14:paraId="5320F26A" w14:textId="12AFF834" w:rsidR="00857D04" w:rsidRPr="00572AB6" w:rsidRDefault="00857D04">
      <w:pPr>
        <w:pStyle w:val="Textodenotaderodap"/>
        <w:rPr>
          <w:rFonts w:ascii="Arial" w:hAnsi="Arial" w:cs="Arial"/>
        </w:rPr>
      </w:pPr>
      <w:r w:rsidRPr="00572AB6">
        <w:rPr>
          <w:rStyle w:val="Refdenotaderodap"/>
          <w:rFonts w:ascii="Arial" w:hAnsi="Arial" w:cs="Arial"/>
        </w:rPr>
        <w:footnoteRef/>
      </w:r>
      <w:r w:rsidRPr="00572AB6">
        <w:rPr>
          <w:rFonts w:ascii="Arial" w:hAnsi="Arial" w:cs="Arial"/>
        </w:rPr>
        <w:t xml:space="preserve"> B</w:t>
      </w:r>
      <w:r w:rsidR="00456B0F" w:rsidRPr="00572AB6">
        <w:rPr>
          <w:rFonts w:ascii="Arial" w:hAnsi="Arial" w:cs="Arial"/>
        </w:rPr>
        <w:t>rasil</w:t>
      </w:r>
      <w:r w:rsidR="0097325B" w:rsidRPr="00572AB6">
        <w:rPr>
          <w:rFonts w:ascii="Arial" w:hAnsi="Arial" w:cs="Arial"/>
        </w:rPr>
        <w:t xml:space="preserve">, </w:t>
      </w:r>
      <w:r w:rsidRPr="00572AB6">
        <w:rPr>
          <w:rFonts w:ascii="Arial" w:hAnsi="Arial" w:cs="Arial"/>
        </w:rPr>
        <w:t>2024</w:t>
      </w:r>
    </w:p>
  </w:footnote>
  <w:footnote w:id="4">
    <w:p w14:paraId="6D72C22D" w14:textId="37A3B23F" w:rsidR="00813B39" w:rsidRPr="00572AB6" w:rsidRDefault="00813B39">
      <w:pPr>
        <w:pStyle w:val="Textodenotaderodap"/>
        <w:rPr>
          <w:rFonts w:ascii="Arial" w:hAnsi="Arial" w:cs="Arial"/>
        </w:rPr>
      </w:pPr>
      <w:r w:rsidRPr="00572AB6">
        <w:rPr>
          <w:rStyle w:val="Refdenotaderodap"/>
          <w:rFonts w:ascii="Arial" w:hAnsi="Arial" w:cs="Arial"/>
        </w:rPr>
        <w:footnoteRef/>
      </w:r>
      <w:r w:rsidRPr="00572AB6">
        <w:rPr>
          <w:rFonts w:ascii="Arial" w:hAnsi="Arial" w:cs="Arial"/>
        </w:rPr>
        <w:t xml:space="preserve"> </w:t>
      </w:r>
      <w:r w:rsidR="00B97868" w:rsidRPr="00572AB6">
        <w:rPr>
          <w:rFonts w:ascii="Arial" w:hAnsi="Arial" w:cs="Arial"/>
        </w:rPr>
        <w:t>B</w:t>
      </w:r>
      <w:r w:rsidR="00456B0F" w:rsidRPr="00572AB6">
        <w:rPr>
          <w:rFonts w:ascii="Arial" w:hAnsi="Arial" w:cs="Arial"/>
        </w:rPr>
        <w:t>rasil</w:t>
      </w:r>
      <w:r w:rsidR="00654E5B" w:rsidRPr="00572AB6">
        <w:rPr>
          <w:rFonts w:ascii="Arial" w:hAnsi="Arial" w:cs="Arial"/>
        </w:rPr>
        <w:t xml:space="preserve">, </w:t>
      </w:r>
      <w:r w:rsidR="00A30379" w:rsidRPr="00572AB6">
        <w:rPr>
          <w:rFonts w:ascii="Arial" w:hAnsi="Arial" w:cs="Arial"/>
        </w:rPr>
        <w:t>2024</w:t>
      </w:r>
    </w:p>
  </w:footnote>
  <w:footnote w:id="5">
    <w:p w14:paraId="1F09AA50" w14:textId="4122402B" w:rsidR="002746AC" w:rsidRPr="00D82B0B" w:rsidRDefault="002746AC" w:rsidP="00D82B0B">
      <w:pPr>
        <w:pStyle w:val="Textodenotaderodap"/>
        <w:jc w:val="both"/>
        <w:rPr>
          <w:rFonts w:ascii="Times New Roman" w:hAnsi="Times New Roman" w:cs="Times New Roman"/>
        </w:rPr>
      </w:pPr>
      <w:r w:rsidRPr="00572AB6">
        <w:rPr>
          <w:rStyle w:val="Refdenotaderodap"/>
          <w:rFonts w:ascii="Arial" w:hAnsi="Arial" w:cs="Arial"/>
        </w:rPr>
        <w:footnoteRef/>
      </w:r>
      <w:r w:rsidRPr="00572AB6">
        <w:rPr>
          <w:rFonts w:ascii="Arial" w:hAnsi="Arial" w:cs="Arial"/>
        </w:rPr>
        <w:t xml:space="preserve"> </w:t>
      </w:r>
      <w:r w:rsidR="007B2659" w:rsidRPr="00572AB6">
        <w:rPr>
          <w:rFonts w:ascii="Arial" w:hAnsi="Arial" w:cs="Arial"/>
        </w:rPr>
        <w:t xml:space="preserve">A marca LGBTQIA+ Cidadania contempla todas as ações estratégicas e prioritárias para os próximos anos no enfrentamento às desigualdades que afetam as pessoas LGBTQIA+. </w:t>
      </w:r>
      <w:r w:rsidR="00D82B0B" w:rsidRPr="00572AB6">
        <w:rPr>
          <w:rFonts w:ascii="Arial" w:hAnsi="Arial" w:cs="Arial"/>
        </w:rPr>
        <w:t>(</w:t>
      </w:r>
      <w:r w:rsidR="00C04593" w:rsidRPr="00572AB6">
        <w:rPr>
          <w:rFonts w:ascii="Arial" w:hAnsi="Arial" w:cs="Arial"/>
        </w:rPr>
        <w:t>T.P.</w:t>
      </w:r>
      <w:r w:rsidR="00D82B0B" w:rsidRPr="00572AB6">
        <w:rPr>
          <w:rFonts w:ascii="Arial" w:hAnsi="Arial" w:cs="Arial"/>
        </w:rPr>
        <w:t>, 2024)</w:t>
      </w:r>
    </w:p>
  </w:footnote>
  <w:footnote w:id="6">
    <w:p w14:paraId="39F07DEA" w14:textId="60CD9DDE" w:rsidR="00275B50" w:rsidRPr="00572AB6" w:rsidRDefault="00275B50" w:rsidP="002D5AF3">
      <w:pPr>
        <w:pStyle w:val="Textodenotaderodap"/>
        <w:jc w:val="both"/>
        <w:rPr>
          <w:rFonts w:ascii="Arial" w:hAnsi="Arial" w:cs="Arial"/>
        </w:rPr>
      </w:pPr>
      <w:r w:rsidRPr="00572AB6">
        <w:rPr>
          <w:rStyle w:val="Refdenotaderodap"/>
          <w:rFonts w:ascii="Arial" w:hAnsi="Arial" w:cs="Arial"/>
        </w:rPr>
        <w:footnoteRef/>
      </w:r>
      <w:r w:rsidRPr="00572AB6">
        <w:rPr>
          <w:rFonts w:ascii="Arial" w:hAnsi="Arial" w:cs="Arial"/>
        </w:rPr>
        <w:t xml:space="preserve"> </w:t>
      </w:r>
      <w:r w:rsidR="00EA6D1D" w:rsidRPr="00572AB6">
        <w:rPr>
          <w:rFonts w:ascii="Arial" w:hAnsi="Arial" w:cs="Arial"/>
        </w:rPr>
        <w:t>Borges</w:t>
      </w:r>
      <w:r w:rsidR="006333F2" w:rsidRPr="00572AB6">
        <w:rPr>
          <w:rFonts w:ascii="Arial" w:hAnsi="Arial" w:cs="Arial"/>
        </w:rPr>
        <w:t xml:space="preserve">, </w:t>
      </w:r>
      <w:r w:rsidR="00852771" w:rsidRPr="00572AB6">
        <w:rPr>
          <w:rFonts w:ascii="Arial" w:hAnsi="Arial" w:cs="Arial"/>
        </w:rPr>
        <w:t>2024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3A7C0D"/>
    <w:multiLevelType w:val="multilevel"/>
    <w:tmpl w:val="94AC2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FD0239"/>
    <w:multiLevelType w:val="multilevel"/>
    <w:tmpl w:val="E370C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220"/>
    <w:rsid w:val="000012F6"/>
    <w:rsid w:val="00015D4A"/>
    <w:rsid w:val="0002460D"/>
    <w:rsid w:val="0002514C"/>
    <w:rsid w:val="000252D3"/>
    <w:rsid w:val="00043735"/>
    <w:rsid w:val="00043E33"/>
    <w:rsid w:val="000521D9"/>
    <w:rsid w:val="00054305"/>
    <w:rsid w:val="00055648"/>
    <w:rsid w:val="0005754F"/>
    <w:rsid w:val="00060527"/>
    <w:rsid w:val="00060B65"/>
    <w:rsid w:val="00067577"/>
    <w:rsid w:val="000754AE"/>
    <w:rsid w:val="00080D67"/>
    <w:rsid w:val="0008637B"/>
    <w:rsid w:val="00087349"/>
    <w:rsid w:val="0009527B"/>
    <w:rsid w:val="000A720A"/>
    <w:rsid w:val="000C46D6"/>
    <w:rsid w:val="000D4CC0"/>
    <w:rsid w:val="000E2A28"/>
    <w:rsid w:val="00100FCF"/>
    <w:rsid w:val="001032CC"/>
    <w:rsid w:val="00112EFB"/>
    <w:rsid w:val="00122C08"/>
    <w:rsid w:val="00150E86"/>
    <w:rsid w:val="00155C40"/>
    <w:rsid w:val="001609F9"/>
    <w:rsid w:val="001750B6"/>
    <w:rsid w:val="001760DB"/>
    <w:rsid w:val="0018418B"/>
    <w:rsid w:val="00184CD6"/>
    <w:rsid w:val="001A30F4"/>
    <w:rsid w:val="001A351F"/>
    <w:rsid w:val="001C743A"/>
    <w:rsid w:val="001D73B8"/>
    <w:rsid w:val="001E1D07"/>
    <w:rsid w:val="001F627B"/>
    <w:rsid w:val="001F6567"/>
    <w:rsid w:val="002009ED"/>
    <w:rsid w:val="00203809"/>
    <w:rsid w:val="00206AF0"/>
    <w:rsid w:val="00217C0F"/>
    <w:rsid w:val="0022171A"/>
    <w:rsid w:val="00221F3A"/>
    <w:rsid w:val="002242D6"/>
    <w:rsid w:val="002300BF"/>
    <w:rsid w:val="0024406C"/>
    <w:rsid w:val="00253FF9"/>
    <w:rsid w:val="002555C6"/>
    <w:rsid w:val="002746AC"/>
    <w:rsid w:val="00275B50"/>
    <w:rsid w:val="00281592"/>
    <w:rsid w:val="00290724"/>
    <w:rsid w:val="00296C64"/>
    <w:rsid w:val="002A5ACD"/>
    <w:rsid w:val="002D1583"/>
    <w:rsid w:val="002D5AF3"/>
    <w:rsid w:val="002D7200"/>
    <w:rsid w:val="002E0202"/>
    <w:rsid w:val="002E74A0"/>
    <w:rsid w:val="002F3DB5"/>
    <w:rsid w:val="00301207"/>
    <w:rsid w:val="003048D7"/>
    <w:rsid w:val="00305711"/>
    <w:rsid w:val="00314903"/>
    <w:rsid w:val="00321A3B"/>
    <w:rsid w:val="00327101"/>
    <w:rsid w:val="00337C5F"/>
    <w:rsid w:val="003413EF"/>
    <w:rsid w:val="0034539F"/>
    <w:rsid w:val="0035235D"/>
    <w:rsid w:val="00360F9E"/>
    <w:rsid w:val="00367EB2"/>
    <w:rsid w:val="0037073C"/>
    <w:rsid w:val="00376F19"/>
    <w:rsid w:val="0038152E"/>
    <w:rsid w:val="003A210D"/>
    <w:rsid w:val="003A56C7"/>
    <w:rsid w:val="003F05A4"/>
    <w:rsid w:val="003F6AED"/>
    <w:rsid w:val="003F73C3"/>
    <w:rsid w:val="0040202D"/>
    <w:rsid w:val="00404FFA"/>
    <w:rsid w:val="004141C6"/>
    <w:rsid w:val="00414DE3"/>
    <w:rsid w:val="0042686A"/>
    <w:rsid w:val="00432F48"/>
    <w:rsid w:val="00444948"/>
    <w:rsid w:val="00450E87"/>
    <w:rsid w:val="00456B0F"/>
    <w:rsid w:val="00461396"/>
    <w:rsid w:val="00464220"/>
    <w:rsid w:val="004642A8"/>
    <w:rsid w:val="00466C4B"/>
    <w:rsid w:val="0047123F"/>
    <w:rsid w:val="0048479C"/>
    <w:rsid w:val="00486E7B"/>
    <w:rsid w:val="004915EB"/>
    <w:rsid w:val="004A14AD"/>
    <w:rsid w:val="004B06C1"/>
    <w:rsid w:val="004B72F0"/>
    <w:rsid w:val="004D20F8"/>
    <w:rsid w:val="004D6E1F"/>
    <w:rsid w:val="004E7EF3"/>
    <w:rsid w:val="0050025A"/>
    <w:rsid w:val="0050660A"/>
    <w:rsid w:val="005145EF"/>
    <w:rsid w:val="005222D2"/>
    <w:rsid w:val="00550DE8"/>
    <w:rsid w:val="00553BF7"/>
    <w:rsid w:val="00556CD8"/>
    <w:rsid w:val="005602DB"/>
    <w:rsid w:val="00572509"/>
    <w:rsid w:val="00572AB6"/>
    <w:rsid w:val="00573E87"/>
    <w:rsid w:val="00577DDD"/>
    <w:rsid w:val="00585232"/>
    <w:rsid w:val="005A42DF"/>
    <w:rsid w:val="005B3AFA"/>
    <w:rsid w:val="005C14F8"/>
    <w:rsid w:val="005C605D"/>
    <w:rsid w:val="005D1550"/>
    <w:rsid w:val="005E01BB"/>
    <w:rsid w:val="005E3856"/>
    <w:rsid w:val="005E7D63"/>
    <w:rsid w:val="005F5D9C"/>
    <w:rsid w:val="006249CA"/>
    <w:rsid w:val="00626563"/>
    <w:rsid w:val="006333F2"/>
    <w:rsid w:val="00635089"/>
    <w:rsid w:val="00640770"/>
    <w:rsid w:val="00654E5B"/>
    <w:rsid w:val="00670FEB"/>
    <w:rsid w:val="0068209B"/>
    <w:rsid w:val="006A1BBA"/>
    <w:rsid w:val="006A41E4"/>
    <w:rsid w:val="006B22F3"/>
    <w:rsid w:val="006B660D"/>
    <w:rsid w:val="006D0096"/>
    <w:rsid w:val="006E660E"/>
    <w:rsid w:val="006F78CC"/>
    <w:rsid w:val="00704930"/>
    <w:rsid w:val="007072BA"/>
    <w:rsid w:val="00715E97"/>
    <w:rsid w:val="00726659"/>
    <w:rsid w:val="007310C9"/>
    <w:rsid w:val="00731187"/>
    <w:rsid w:val="0073460C"/>
    <w:rsid w:val="00737323"/>
    <w:rsid w:val="00743084"/>
    <w:rsid w:val="00744F68"/>
    <w:rsid w:val="0074603B"/>
    <w:rsid w:val="007505FE"/>
    <w:rsid w:val="007572C5"/>
    <w:rsid w:val="0076534F"/>
    <w:rsid w:val="00774FE7"/>
    <w:rsid w:val="00783B26"/>
    <w:rsid w:val="00791C44"/>
    <w:rsid w:val="00795FDD"/>
    <w:rsid w:val="0079670E"/>
    <w:rsid w:val="007A3CDF"/>
    <w:rsid w:val="007B2659"/>
    <w:rsid w:val="007C27FF"/>
    <w:rsid w:val="007C3B1A"/>
    <w:rsid w:val="007D56F5"/>
    <w:rsid w:val="007E2B12"/>
    <w:rsid w:val="007E69F6"/>
    <w:rsid w:val="007E7312"/>
    <w:rsid w:val="007F3ABC"/>
    <w:rsid w:val="00806068"/>
    <w:rsid w:val="00810F60"/>
    <w:rsid w:val="00813B39"/>
    <w:rsid w:val="008159A1"/>
    <w:rsid w:val="00816243"/>
    <w:rsid w:val="0082389A"/>
    <w:rsid w:val="00826ACE"/>
    <w:rsid w:val="00842E5F"/>
    <w:rsid w:val="00845E64"/>
    <w:rsid w:val="00851204"/>
    <w:rsid w:val="00852771"/>
    <w:rsid w:val="00852A70"/>
    <w:rsid w:val="008546E1"/>
    <w:rsid w:val="00857D04"/>
    <w:rsid w:val="00897C2D"/>
    <w:rsid w:val="008A17E7"/>
    <w:rsid w:val="008A182A"/>
    <w:rsid w:val="008B5E0A"/>
    <w:rsid w:val="008B7A1E"/>
    <w:rsid w:val="008C29E1"/>
    <w:rsid w:val="008C7AFF"/>
    <w:rsid w:val="008D2E2C"/>
    <w:rsid w:val="008E435E"/>
    <w:rsid w:val="008F6AD9"/>
    <w:rsid w:val="008F7F48"/>
    <w:rsid w:val="00911135"/>
    <w:rsid w:val="009514C0"/>
    <w:rsid w:val="00963A09"/>
    <w:rsid w:val="00963EA1"/>
    <w:rsid w:val="0097325B"/>
    <w:rsid w:val="0097441B"/>
    <w:rsid w:val="0097489C"/>
    <w:rsid w:val="009749B8"/>
    <w:rsid w:val="00974A69"/>
    <w:rsid w:val="00991055"/>
    <w:rsid w:val="009958F5"/>
    <w:rsid w:val="00997D1E"/>
    <w:rsid w:val="009A02D6"/>
    <w:rsid w:val="009A25AF"/>
    <w:rsid w:val="009A6DD0"/>
    <w:rsid w:val="009E3D1C"/>
    <w:rsid w:val="009F1078"/>
    <w:rsid w:val="00A13E73"/>
    <w:rsid w:val="00A30379"/>
    <w:rsid w:val="00A30FA7"/>
    <w:rsid w:val="00A3740A"/>
    <w:rsid w:val="00A43D8B"/>
    <w:rsid w:val="00A450A6"/>
    <w:rsid w:val="00A46C5E"/>
    <w:rsid w:val="00A475FA"/>
    <w:rsid w:val="00A535A1"/>
    <w:rsid w:val="00A64CA8"/>
    <w:rsid w:val="00A65378"/>
    <w:rsid w:val="00A6773E"/>
    <w:rsid w:val="00A90877"/>
    <w:rsid w:val="00AA11C1"/>
    <w:rsid w:val="00AA2078"/>
    <w:rsid w:val="00AB1D01"/>
    <w:rsid w:val="00AB3C90"/>
    <w:rsid w:val="00AB43A0"/>
    <w:rsid w:val="00AB794D"/>
    <w:rsid w:val="00AC7270"/>
    <w:rsid w:val="00AD0EDC"/>
    <w:rsid w:val="00AE23DA"/>
    <w:rsid w:val="00AE2FF8"/>
    <w:rsid w:val="00AE49D1"/>
    <w:rsid w:val="00AE7252"/>
    <w:rsid w:val="00AF39EC"/>
    <w:rsid w:val="00AF7CE5"/>
    <w:rsid w:val="00B02575"/>
    <w:rsid w:val="00B21A64"/>
    <w:rsid w:val="00B360A1"/>
    <w:rsid w:val="00B40583"/>
    <w:rsid w:val="00B41804"/>
    <w:rsid w:val="00B5488F"/>
    <w:rsid w:val="00B569D6"/>
    <w:rsid w:val="00B6195D"/>
    <w:rsid w:val="00B64454"/>
    <w:rsid w:val="00B73886"/>
    <w:rsid w:val="00B757EB"/>
    <w:rsid w:val="00B83573"/>
    <w:rsid w:val="00B97868"/>
    <w:rsid w:val="00BA24BB"/>
    <w:rsid w:val="00BB293E"/>
    <w:rsid w:val="00BB3A5B"/>
    <w:rsid w:val="00BB47B7"/>
    <w:rsid w:val="00BB5017"/>
    <w:rsid w:val="00BD2208"/>
    <w:rsid w:val="00C04593"/>
    <w:rsid w:val="00C05927"/>
    <w:rsid w:val="00C10B4E"/>
    <w:rsid w:val="00C15A65"/>
    <w:rsid w:val="00C208DF"/>
    <w:rsid w:val="00C24DE1"/>
    <w:rsid w:val="00C41292"/>
    <w:rsid w:val="00C42792"/>
    <w:rsid w:val="00C6003C"/>
    <w:rsid w:val="00C712D1"/>
    <w:rsid w:val="00C77161"/>
    <w:rsid w:val="00C80CFC"/>
    <w:rsid w:val="00CA555C"/>
    <w:rsid w:val="00CA6881"/>
    <w:rsid w:val="00CD2F38"/>
    <w:rsid w:val="00CE2622"/>
    <w:rsid w:val="00CE46FA"/>
    <w:rsid w:val="00CE47CC"/>
    <w:rsid w:val="00CF170D"/>
    <w:rsid w:val="00D40E73"/>
    <w:rsid w:val="00D4107C"/>
    <w:rsid w:val="00D41EC0"/>
    <w:rsid w:val="00D50ACA"/>
    <w:rsid w:val="00D61CA1"/>
    <w:rsid w:val="00D82B0B"/>
    <w:rsid w:val="00DB4089"/>
    <w:rsid w:val="00DB6443"/>
    <w:rsid w:val="00DC326C"/>
    <w:rsid w:val="00DC7C19"/>
    <w:rsid w:val="00DE0B82"/>
    <w:rsid w:val="00DE4C39"/>
    <w:rsid w:val="00E2230B"/>
    <w:rsid w:val="00E244D2"/>
    <w:rsid w:val="00E269E4"/>
    <w:rsid w:val="00E37932"/>
    <w:rsid w:val="00E55B25"/>
    <w:rsid w:val="00E65B56"/>
    <w:rsid w:val="00E76F55"/>
    <w:rsid w:val="00E77B56"/>
    <w:rsid w:val="00E82306"/>
    <w:rsid w:val="00EA0910"/>
    <w:rsid w:val="00EA2AC2"/>
    <w:rsid w:val="00EA6D1D"/>
    <w:rsid w:val="00EC3E13"/>
    <w:rsid w:val="00EC5A20"/>
    <w:rsid w:val="00ED0F67"/>
    <w:rsid w:val="00ED6336"/>
    <w:rsid w:val="00ED700A"/>
    <w:rsid w:val="00EE1D2C"/>
    <w:rsid w:val="00EE350A"/>
    <w:rsid w:val="00EF0A92"/>
    <w:rsid w:val="00EF3355"/>
    <w:rsid w:val="00EF3466"/>
    <w:rsid w:val="00F144C5"/>
    <w:rsid w:val="00F15AE1"/>
    <w:rsid w:val="00F2078D"/>
    <w:rsid w:val="00F3371F"/>
    <w:rsid w:val="00F41C25"/>
    <w:rsid w:val="00F548C9"/>
    <w:rsid w:val="00F609AD"/>
    <w:rsid w:val="00F74A1A"/>
    <w:rsid w:val="00FB0ACC"/>
    <w:rsid w:val="00FE31BC"/>
    <w:rsid w:val="00FE7FCC"/>
    <w:rsid w:val="00FF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D99EE"/>
  <w15:chartTrackingRefBased/>
  <w15:docId w15:val="{1649B15B-F8AF-402B-BE96-86F56B8D5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642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642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642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642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642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642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642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642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642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642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4642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642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6422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6422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6422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6422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6422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6422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642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642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642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642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642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6422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6422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6422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642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6422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64220"/>
    <w:rPr>
      <w:b/>
      <w:bCs/>
      <w:smallCaps/>
      <w:color w:val="0F4761" w:themeColor="accent1" w:themeShade="BF"/>
      <w:spacing w:val="5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20380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20380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03809"/>
    <w:rPr>
      <w:vertAlign w:val="superscript"/>
    </w:rPr>
  </w:style>
  <w:style w:type="paragraph" w:styleId="Corpodetexto">
    <w:name w:val="Body Text"/>
    <w:basedOn w:val="Normal"/>
    <w:link w:val="CorpodetextoChar"/>
    <w:uiPriority w:val="1"/>
    <w:qFormat/>
    <w:rsid w:val="0076534F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76534F"/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Default">
    <w:name w:val="Default"/>
    <w:rsid w:val="001E1D0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14:ligatures w14:val="none"/>
    </w:rPr>
  </w:style>
  <w:style w:type="character" w:styleId="Hyperlink">
    <w:name w:val="Hyperlink"/>
    <w:basedOn w:val="Fontepargpadro"/>
    <w:uiPriority w:val="99"/>
    <w:unhideWhenUsed/>
    <w:rsid w:val="00553BF7"/>
    <w:rPr>
      <w:color w:val="467886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A475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84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484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116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44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usercontent.com/scholar?q=cache:Oz9DIbtAxHoJ:scholar.google.com/&amp;hl=pt-BR&amp;as_sdt=0,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epositorio.uniceub.br/jspui/handle/prefix/16557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3CA67-1DAD-4115-935E-B1818414F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4393</Words>
  <Characters>23725</Characters>
  <Application>Microsoft Office Word</Application>
  <DocSecurity>0</DocSecurity>
  <Lines>197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 Veiga Arruda</dc:creator>
  <cp:keywords/>
  <dc:description/>
  <cp:lastModifiedBy>Zaira Sabry</cp:lastModifiedBy>
  <cp:revision>2</cp:revision>
  <dcterms:created xsi:type="dcterms:W3CDTF">2025-08-18T14:55:00Z</dcterms:created>
  <dcterms:modified xsi:type="dcterms:W3CDTF">2025-08-18T14:55:00Z</dcterms:modified>
</cp:coreProperties>
</file>