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5173B" w14:textId="1BC4313B" w:rsidR="006A4836" w:rsidRDefault="00000000">
      <w:pPr>
        <w:spacing w:line="360" w:lineRule="auto"/>
        <w:ind w:left="0" w:hanging="2"/>
        <w:jc w:val="center"/>
        <w:rPr>
          <w:sz w:val="24"/>
          <w:szCs w:val="24"/>
        </w:rPr>
      </w:pPr>
      <w:r>
        <w:rPr>
          <w:b/>
          <w:sz w:val="24"/>
          <w:szCs w:val="24"/>
        </w:rPr>
        <w:t xml:space="preserve">DO RIO DA PRATA À BAÍA FORMOSA: </w:t>
      </w:r>
      <w:r>
        <w:rPr>
          <w:sz w:val="24"/>
          <w:szCs w:val="24"/>
        </w:rPr>
        <w:t>Aquilombamento de territórios negros no Maranhão e Rio de Janeiro</w:t>
      </w:r>
    </w:p>
    <w:p w14:paraId="50A15330" w14:textId="03624691" w:rsidR="00B269C2" w:rsidRPr="005B060D" w:rsidRDefault="00B269C2" w:rsidP="00E94EDD">
      <w:pPr>
        <w:ind w:left="0" w:hanging="2"/>
        <w:jc w:val="right"/>
        <w:rPr>
          <w:sz w:val="23"/>
          <w:szCs w:val="23"/>
        </w:rPr>
      </w:pPr>
      <w:r w:rsidRPr="005B060D">
        <w:rPr>
          <w:sz w:val="23"/>
          <w:szCs w:val="23"/>
        </w:rPr>
        <w:t>Patrick Almeida Soares</w:t>
      </w:r>
      <w:r w:rsidR="00CF034A" w:rsidRPr="005B060D">
        <w:rPr>
          <w:rStyle w:val="FootnoteReference"/>
          <w:sz w:val="23"/>
          <w:szCs w:val="23"/>
        </w:rPr>
        <w:footnoteReference w:id="1"/>
      </w:r>
    </w:p>
    <w:p w14:paraId="6A74C171" w14:textId="5B794425" w:rsidR="00B269C2" w:rsidRPr="005B060D" w:rsidRDefault="00B269C2" w:rsidP="00E94EDD">
      <w:pPr>
        <w:ind w:left="0" w:hanging="2"/>
        <w:jc w:val="right"/>
        <w:rPr>
          <w:sz w:val="23"/>
          <w:szCs w:val="23"/>
        </w:rPr>
      </w:pPr>
      <w:r w:rsidRPr="005B060D">
        <w:rPr>
          <w:sz w:val="23"/>
          <w:szCs w:val="23"/>
        </w:rPr>
        <w:t>Stefany Pereira Sodré</w:t>
      </w:r>
      <w:r w:rsidR="00CF034A" w:rsidRPr="005B060D">
        <w:rPr>
          <w:rStyle w:val="FootnoteReference"/>
          <w:sz w:val="23"/>
          <w:szCs w:val="23"/>
        </w:rPr>
        <w:footnoteReference w:id="2"/>
      </w:r>
    </w:p>
    <w:p w14:paraId="189A18D7" w14:textId="22576CAD" w:rsidR="00B269C2" w:rsidRPr="005B060D" w:rsidRDefault="00B269C2" w:rsidP="00E94EDD">
      <w:pPr>
        <w:ind w:left="0" w:hanging="2"/>
        <w:jc w:val="right"/>
        <w:rPr>
          <w:sz w:val="23"/>
          <w:szCs w:val="23"/>
        </w:rPr>
      </w:pPr>
      <w:r w:rsidRPr="005B060D">
        <w:rPr>
          <w:sz w:val="23"/>
          <w:szCs w:val="23"/>
        </w:rPr>
        <w:t>Adriana Oliveira Freitas</w:t>
      </w:r>
      <w:r w:rsidR="00CF034A" w:rsidRPr="005B060D">
        <w:rPr>
          <w:rStyle w:val="FootnoteReference"/>
          <w:sz w:val="23"/>
          <w:szCs w:val="23"/>
        </w:rPr>
        <w:footnoteReference w:id="3"/>
      </w:r>
    </w:p>
    <w:p w14:paraId="701BC522" w14:textId="77777777" w:rsidR="006A4836" w:rsidRDefault="006A4836">
      <w:pPr>
        <w:spacing w:line="240" w:lineRule="auto"/>
        <w:ind w:left="0" w:hanging="2"/>
        <w:jc w:val="both"/>
        <w:rPr>
          <w:sz w:val="20"/>
          <w:szCs w:val="20"/>
        </w:rPr>
      </w:pPr>
    </w:p>
    <w:p w14:paraId="7466A4AE" w14:textId="77777777" w:rsidR="006A4836" w:rsidRDefault="00000000" w:rsidP="002F6272">
      <w:pPr>
        <w:spacing w:line="240" w:lineRule="auto"/>
        <w:ind w:leftChars="1287" w:left="2833" w:hanging="2"/>
        <w:jc w:val="both"/>
        <w:rPr>
          <w:b/>
          <w:sz w:val="20"/>
          <w:szCs w:val="20"/>
        </w:rPr>
      </w:pPr>
      <w:r>
        <w:rPr>
          <w:b/>
          <w:sz w:val="20"/>
          <w:szCs w:val="20"/>
        </w:rPr>
        <w:t>Resumo</w:t>
      </w:r>
    </w:p>
    <w:p w14:paraId="20C8A6D1" w14:textId="5D247D2A" w:rsidR="006A4836" w:rsidRPr="00F522E8" w:rsidRDefault="00000000" w:rsidP="002F6272">
      <w:pPr>
        <w:spacing w:line="240" w:lineRule="auto"/>
        <w:ind w:leftChars="1287" w:left="2833" w:hanging="2"/>
        <w:jc w:val="both"/>
        <w:rPr>
          <w:sz w:val="19"/>
          <w:szCs w:val="19"/>
        </w:rPr>
      </w:pPr>
      <w:r w:rsidRPr="00F522E8">
        <w:rPr>
          <w:sz w:val="19"/>
          <w:szCs w:val="19"/>
        </w:rPr>
        <w:t>Este artigo discute a importância dos quilombos como unidades fundamentais de resistência negra no Brasil a partir da análise do aquilombamento dos territórios</w:t>
      </w:r>
      <w:r w:rsidR="00C7578F">
        <w:rPr>
          <w:sz w:val="19"/>
          <w:szCs w:val="19"/>
        </w:rPr>
        <w:t xml:space="preserve"> negros</w:t>
      </w:r>
      <w:r w:rsidRPr="00F522E8">
        <w:rPr>
          <w:sz w:val="19"/>
          <w:szCs w:val="19"/>
        </w:rPr>
        <w:t xml:space="preserve"> de Rio da Prata (MA) e Baía Formosa (RJ). O conceito de quilombo evolui de “habitação de negros fugidos” para um princípio político-ideológico e uma experiência concreta de territorialidade, reconhecida pelo artigo 68 dos Atos das Disposições Constitucionais Transitórias. O aquilombamento é compreendido em quatro dimensões: sujeito, território, patrimônio cultural e projeto de futuro, articulando identidade étnico-racial e disputas por terra e poder. Em Rio da Prata, a resistência se sustenta pela memória e tradição, com práticas culturais e agricultura de subsistência. Em Baía Formosa, os núcleos Expulsos/Originários e Zebina enfrentam conflitos fundiários, expulsões e negação de direitos, protagonizando lutas por território, serviços públicos e reparação histórica.</w:t>
      </w:r>
    </w:p>
    <w:p w14:paraId="3EDED1D9" w14:textId="77777777" w:rsidR="006A4836" w:rsidRDefault="00000000" w:rsidP="002F6272">
      <w:pPr>
        <w:spacing w:line="240" w:lineRule="auto"/>
        <w:ind w:leftChars="1287" w:left="2833" w:hanging="2"/>
        <w:jc w:val="both"/>
        <w:rPr>
          <w:sz w:val="20"/>
          <w:szCs w:val="20"/>
        </w:rPr>
      </w:pPr>
      <w:r>
        <w:rPr>
          <w:b/>
          <w:sz w:val="20"/>
          <w:szCs w:val="20"/>
        </w:rPr>
        <w:t>Palavras-chave</w:t>
      </w:r>
      <w:r>
        <w:rPr>
          <w:sz w:val="20"/>
          <w:szCs w:val="20"/>
        </w:rPr>
        <w:t>: Quilombo; Aquilombamento; Território negro; Identidade étnico-racial.</w:t>
      </w:r>
    </w:p>
    <w:p w14:paraId="052538F1" w14:textId="77777777" w:rsidR="006A4836" w:rsidRDefault="006A4836" w:rsidP="002F6272">
      <w:pPr>
        <w:spacing w:line="240" w:lineRule="auto"/>
        <w:ind w:leftChars="1287" w:left="2833" w:hanging="2"/>
        <w:jc w:val="both"/>
        <w:rPr>
          <w:sz w:val="20"/>
          <w:szCs w:val="20"/>
        </w:rPr>
      </w:pPr>
    </w:p>
    <w:p w14:paraId="0006377E" w14:textId="77777777" w:rsidR="006A4836" w:rsidRPr="002F6272" w:rsidRDefault="00000000" w:rsidP="002F6272">
      <w:pPr>
        <w:spacing w:line="240" w:lineRule="auto"/>
        <w:ind w:leftChars="1287" w:left="2833" w:hanging="2"/>
        <w:jc w:val="both"/>
        <w:rPr>
          <w:sz w:val="20"/>
          <w:szCs w:val="20"/>
          <w:lang w:val="en-US"/>
        </w:rPr>
      </w:pPr>
      <w:r w:rsidRPr="002F6272">
        <w:rPr>
          <w:b/>
          <w:sz w:val="20"/>
          <w:szCs w:val="20"/>
          <w:lang w:val="en-US"/>
        </w:rPr>
        <w:t>Abstract</w:t>
      </w:r>
    </w:p>
    <w:p w14:paraId="098B8A42" w14:textId="5FF9AF14" w:rsidR="006A4836" w:rsidRPr="0073728A" w:rsidRDefault="00000000" w:rsidP="002F6272">
      <w:pPr>
        <w:spacing w:line="240" w:lineRule="auto"/>
        <w:ind w:leftChars="1287" w:left="2833" w:hanging="2"/>
        <w:jc w:val="both"/>
        <w:rPr>
          <w:sz w:val="19"/>
          <w:szCs w:val="19"/>
          <w:lang w:val="en-US"/>
        </w:rPr>
      </w:pPr>
      <w:r w:rsidRPr="0073728A">
        <w:rPr>
          <w:sz w:val="19"/>
          <w:szCs w:val="19"/>
          <w:lang w:val="en-US"/>
        </w:rPr>
        <w:t>This article discusses the importance of quilombos as fundamental units of black resistance in Brazil, based on an analysis of the aquilombamento of the</w:t>
      </w:r>
      <w:r w:rsidR="00C7578F">
        <w:rPr>
          <w:sz w:val="19"/>
          <w:szCs w:val="19"/>
          <w:lang w:val="en-US"/>
        </w:rPr>
        <w:t xml:space="preserve"> black</w:t>
      </w:r>
      <w:r w:rsidRPr="0073728A">
        <w:rPr>
          <w:sz w:val="19"/>
          <w:szCs w:val="19"/>
          <w:lang w:val="en-US"/>
        </w:rPr>
        <w:t xml:space="preserve"> territories of Rio da Prata (MA) and Baía Formosa (RJ). The concept of quilombo evolved from “the dwelling of escaped blacks” to a political-ideological principle and a concrete experience of territoriality, recognized by article 68 of the Acts of Transitional Constitutional Provisions. Aquilombamento is understood in four dimensions: subject, territory, cultural heritage and future project, linking ethnic-racial identity and disputes over land and power. In Rio da Prata, resistance is sustained by memory and tradition, with cultural practices and subsistence farming. In Baía Formosa, the </w:t>
      </w:r>
      <w:proofErr w:type="spellStart"/>
      <w:r w:rsidRPr="0073728A">
        <w:rPr>
          <w:sz w:val="19"/>
          <w:szCs w:val="19"/>
          <w:lang w:val="en-US"/>
        </w:rPr>
        <w:t>Expulsos</w:t>
      </w:r>
      <w:proofErr w:type="spellEnd"/>
      <w:r w:rsidRPr="0073728A">
        <w:rPr>
          <w:sz w:val="19"/>
          <w:szCs w:val="19"/>
          <w:lang w:val="en-US"/>
        </w:rPr>
        <w:t>/</w:t>
      </w:r>
      <w:proofErr w:type="spellStart"/>
      <w:r w:rsidRPr="0073728A">
        <w:rPr>
          <w:sz w:val="19"/>
          <w:szCs w:val="19"/>
          <w:lang w:val="en-US"/>
        </w:rPr>
        <w:t>Originários</w:t>
      </w:r>
      <w:proofErr w:type="spellEnd"/>
      <w:r w:rsidRPr="0073728A">
        <w:rPr>
          <w:sz w:val="19"/>
          <w:szCs w:val="19"/>
          <w:lang w:val="en-US"/>
        </w:rPr>
        <w:t xml:space="preserve"> and Zebina nuclei face land conflicts, expulsions and denial of rights, leading struggles for territory, public services and historical reparation.</w:t>
      </w:r>
    </w:p>
    <w:p w14:paraId="47A70587" w14:textId="77777777" w:rsidR="006A4836" w:rsidRDefault="00000000" w:rsidP="002F6272">
      <w:pPr>
        <w:spacing w:line="240" w:lineRule="auto"/>
        <w:ind w:leftChars="1287" w:left="2833" w:hanging="2"/>
        <w:jc w:val="both"/>
        <w:rPr>
          <w:sz w:val="24"/>
          <w:szCs w:val="24"/>
        </w:rPr>
      </w:pPr>
      <w:proofErr w:type="spellStart"/>
      <w:r>
        <w:rPr>
          <w:b/>
          <w:sz w:val="20"/>
          <w:szCs w:val="20"/>
        </w:rPr>
        <w:t>Keywords</w:t>
      </w:r>
      <w:r>
        <w:rPr>
          <w:sz w:val="20"/>
          <w:szCs w:val="20"/>
        </w:rPr>
        <w:t>:Quilombo</w:t>
      </w:r>
      <w:proofErr w:type="spellEnd"/>
      <w:r>
        <w:rPr>
          <w:sz w:val="20"/>
          <w:szCs w:val="20"/>
        </w:rPr>
        <w:t xml:space="preserve">; Aquilombamento; Black </w:t>
      </w:r>
      <w:proofErr w:type="spellStart"/>
      <w:r>
        <w:rPr>
          <w:sz w:val="20"/>
          <w:szCs w:val="20"/>
        </w:rPr>
        <w:t>territory</w:t>
      </w:r>
      <w:proofErr w:type="spellEnd"/>
      <w:r>
        <w:rPr>
          <w:sz w:val="20"/>
          <w:szCs w:val="20"/>
        </w:rPr>
        <w:t xml:space="preserve">; </w:t>
      </w:r>
      <w:proofErr w:type="spellStart"/>
      <w:r>
        <w:rPr>
          <w:sz w:val="20"/>
          <w:szCs w:val="20"/>
        </w:rPr>
        <w:t>Ethnic</w:t>
      </w:r>
      <w:proofErr w:type="spellEnd"/>
      <w:r>
        <w:rPr>
          <w:sz w:val="20"/>
          <w:szCs w:val="20"/>
        </w:rPr>
        <w:t xml:space="preserve">-racial </w:t>
      </w:r>
      <w:proofErr w:type="spellStart"/>
      <w:r>
        <w:rPr>
          <w:sz w:val="20"/>
          <w:szCs w:val="20"/>
        </w:rPr>
        <w:t>identity</w:t>
      </w:r>
      <w:proofErr w:type="spellEnd"/>
      <w:r>
        <w:rPr>
          <w:sz w:val="20"/>
          <w:szCs w:val="20"/>
        </w:rPr>
        <w:t>.</w:t>
      </w:r>
    </w:p>
    <w:p w14:paraId="3A8D1639" w14:textId="77777777" w:rsidR="006A4836" w:rsidRDefault="00000000">
      <w:pPr>
        <w:spacing w:line="360" w:lineRule="auto"/>
        <w:ind w:left="0" w:hanging="2"/>
        <w:rPr>
          <w:sz w:val="24"/>
          <w:szCs w:val="24"/>
        </w:rPr>
      </w:pPr>
      <w:r>
        <w:br w:type="page"/>
      </w:r>
      <w:r>
        <w:rPr>
          <w:b/>
          <w:sz w:val="24"/>
          <w:szCs w:val="24"/>
        </w:rPr>
        <w:lastRenderedPageBreak/>
        <w:t>1</w:t>
      </w:r>
      <w:r>
        <w:rPr>
          <w:b/>
          <w:sz w:val="24"/>
          <w:szCs w:val="24"/>
        </w:rPr>
        <w:tab/>
        <w:t>INTRODUÇÃO</w:t>
      </w:r>
    </w:p>
    <w:p w14:paraId="519A5116" w14:textId="77777777" w:rsidR="006A4836" w:rsidRDefault="00000000" w:rsidP="002F6272">
      <w:pPr>
        <w:spacing w:line="360" w:lineRule="auto"/>
        <w:ind w:leftChars="0" w:left="0" w:firstLineChars="0" w:firstLine="720"/>
        <w:jc w:val="both"/>
        <w:rPr>
          <w:sz w:val="24"/>
          <w:szCs w:val="24"/>
        </w:rPr>
      </w:pPr>
      <w:r>
        <w:rPr>
          <w:sz w:val="24"/>
          <w:szCs w:val="24"/>
        </w:rPr>
        <w:t>Os quilombos representam unidades fundamentais de resistência negra no Brasil, tendo sido fundamentais no esgotamento da escravidão racial como base produtiva e organizativa nacional, inserida de modo subordinado e subsidiário à estrutura do capitalismo colonial (Moura, 1981; 2019; Bagu, 1949).</w:t>
      </w:r>
    </w:p>
    <w:p w14:paraId="2825A4AA" w14:textId="77777777" w:rsidR="006A4836" w:rsidRDefault="00000000" w:rsidP="002F6272">
      <w:pPr>
        <w:spacing w:line="360" w:lineRule="auto"/>
        <w:ind w:leftChars="0" w:left="0" w:firstLineChars="0" w:firstLine="720"/>
        <w:jc w:val="both"/>
        <w:rPr>
          <w:sz w:val="24"/>
          <w:szCs w:val="24"/>
        </w:rPr>
      </w:pPr>
      <w:r>
        <w:rPr>
          <w:sz w:val="24"/>
          <w:szCs w:val="24"/>
        </w:rPr>
        <w:t>Pensado como “habitação de negros fugidos” desde a Colônia, o quilombo inaugura o século XX deslocado de sua dimensão organizativa contra o escravismo, situação superada com a Abolição em 1888, passando a representar um princípio político-ideológico de atualização das reivindicações da população negra diante do projeto de modernização conservadora republicana e assumidamente racista (Nascimento, 2006).</w:t>
      </w:r>
    </w:p>
    <w:p w14:paraId="472AE845" w14:textId="031F220A" w:rsidR="006A4836" w:rsidRDefault="00000000">
      <w:pPr>
        <w:spacing w:line="360" w:lineRule="auto"/>
        <w:ind w:left="0" w:hanging="2"/>
        <w:jc w:val="both"/>
        <w:rPr>
          <w:sz w:val="24"/>
          <w:szCs w:val="24"/>
        </w:rPr>
      </w:pPr>
      <w:r>
        <w:rPr>
          <w:sz w:val="24"/>
          <w:szCs w:val="24"/>
        </w:rPr>
        <w:tab/>
      </w:r>
      <w:r w:rsidR="002F6272">
        <w:rPr>
          <w:sz w:val="24"/>
          <w:szCs w:val="24"/>
        </w:rPr>
        <w:tab/>
      </w:r>
      <w:r>
        <w:rPr>
          <w:sz w:val="24"/>
          <w:szCs w:val="24"/>
        </w:rPr>
        <w:t xml:space="preserve">Na Constituinte, o “quilombo” </w:t>
      </w:r>
      <w:r w:rsidR="00B03996">
        <w:rPr>
          <w:sz w:val="24"/>
          <w:szCs w:val="24"/>
        </w:rPr>
        <w:t>condensa</w:t>
      </w:r>
      <w:r>
        <w:rPr>
          <w:sz w:val="24"/>
          <w:szCs w:val="24"/>
        </w:rPr>
        <w:t xml:space="preserve"> muitos sentidos, </w:t>
      </w:r>
      <w:r w:rsidR="00B03996">
        <w:rPr>
          <w:sz w:val="24"/>
          <w:szCs w:val="24"/>
        </w:rPr>
        <w:t>onde</w:t>
      </w:r>
      <w:r>
        <w:rPr>
          <w:sz w:val="24"/>
          <w:szCs w:val="24"/>
        </w:rPr>
        <w:t xml:space="preserve"> dois</w:t>
      </w:r>
      <w:r w:rsidR="00B03996">
        <w:rPr>
          <w:sz w:val="24"/>
          <w:szCs w:val="24"/>
        </w:rPr>
        <w:t xml:space="preserve"> destacam-se</w:t>
      </w:r>
      <w:r>
        <w:rPr>
          <w:sz w:val="24"/>
          <w:szCs w:val="24"/>
        </w:rPr>
        <w:t xml:space="preserve">, conforme aponta </w:t>
      </w:r>
      <w:proofErr w:type="spellStart"/>
      <w:r>
        <w:rPr>
          <w:sz w:val="24"/>
          <w:szCs w:val="24"/>
        </w:rPr>
        <w:t>Arruti</w:t>
      </w:r>
      <w:proofErr w:type="spellEnd"/>
      <w:r>
        <w:rPr>
          <w:sz w:val="24"/>
          <w:szCs w:val="24"/>
        </w:rPr>
        <w:t xml:space="preserve"> (2016): princípio político, conceito e símbolo da resistência cultural negra, sintetizado no “quilombismo” de Abdias do Nascimento, conceito elaborado no seio da militância negra intelectual das capital do Sul e Sudeste entre 1940 e 1970; e a tradução de territorialidades específicas de populações rurais negras que emergem frente a conflitos fundiários, dando margem à formação de identidades étnicas que seriam pela primeira vez na história brasileira reconhecidas institucionalmente, encabeçada pelos movimentos camponeses do Maranhão e Pará na década de 1980.</w:t>
      </w:r>
    </w:p>
    <w:p w14:paraId="541D8917" w14:textId="4460CFA0" w:rsidR="006A4836" w:rsidRDefault="00000000" w:rsidP="002F6272">
      <w:pPr>
        <w:spacing w:after="200" w:line="360" w:lineRule="auto"/>
        <w:ind w:leftChars="0" w:left="0" w:firstLineChars="0" w:firstLine="720"/>
        <w:jc w:val="both"/>
        <w:rPr>
          <w:sz w:val="24"/>
          <w:szCs w:val="24"/>
        </w:rPr>
      </w:pPr>
      <w:r>
        <w:rPr>
          <w:sz w:val="24"/>
          <w:szCs w:val="24"/>
        </w:rPr>
        <w:t>Este trabalho</w:t>
      </w:r>
      <w:r w:rsidR="002F57BA">
        <w:rPr>
          <w:sz w:val="24"/>
          <w:szCs w:val="24"/>
        </w:rPr>
        <w:t xml:space="preserve"> tem como</w:t>
      </w:r>
      <w:r>
        <w:rPr>
          <w:sz w:val="24"/>
          <w:szCs w:val="24"/>
        </w:rPr>
        <w:t xml:space="preserve"> objetivo central cotejar as experiências de aquilombamento dos territórios negros das comunidades de Rio da Prata (MA) e Baía Formosa (RJ), destacando suas singularidades, mas principalmente ampliando o escopo de análise para compreender a condição contemporânea dos quilombos no Brasil</w:t>
      </w:r>
      <w:r w:rsidR="0028425A">
        <w:rPr>
          <w:sz w:val="24"/>
          <w:szCs w:val="24"/>
        </w:rPr>
        <w:t>.</w:t>
      </w:r>
      <w:r>
        <w:rPr>
          <w:sz w:val="24"/>
          <w:szCs w:val="24"/>
        </w:rPr>
        <w:t xml:space="preserve"> </w:t>
      </w:r>
      <w:r w:rsidR="0028425A">
        <w:rPr>
          <w:sz w:val="24"/>
          <w:szCs w:val="24"/>
        </w:rPr>
        <w:t>P</w:t>
      </w:r>
      <w:r>
        <w:rPr>
          <w:sz w:val="24"/>
          <w:szCs w:val="24"/>
        </w:rPr>
        <w:t>retende</w:t>
      </w:r>
      <w:r w:rsidR="0028425A">
        <w:rPr>
          <w:sz w:val="24"/>
          <w:szCs w:val="24"/>
        </w:rPr>
        <w:t>-se com isso</w:t>
      </w:r>
      <w:r>
        <w:rPr>
          <w:sz w:val="24"/>
          <w:szCs w:val="24"/>
        </w:rPr>
        <w:t xml:space="preserve"> reconhecer, resgatar e reivindicar lugar em uma tradição de reflexão crítica sobre quilombos que, superando as desigualdades regionais, proponha uma síntese criativa de saberes e experiências do Nordeste e Sudeste brasileiro a partir dos conflitos que esses grupos sociais específicos enfrentam e os desafios que se impõem para a efetivação de seus direitos.</w:t>
      </w:r>
    </w:p>
    <w:p w14:paraId="0C211206" w14:textId="77777777" w:rsidR="006A4836" w:rsidRDefault="00000000">
      <w:pPr>
        <w:spacing w:line="360" w:lineRule="auto"/>
        <w:ind w:left="0" w:hanging="2"/>
        <w:jc w:val="both"/>
        <w:rPr>
          <w:b/>
          <w:sz w:val="24"/>
          <w:szCs w:val="24"/>
        </w:rPr>
      </w:pPr>
      <w:r>
        <w:rPr>
          <w:b/>
          <w:sz w:val="24"/>
          <w:szCs w:val="24"/>
        </w:rPr>
        <w:lastRenderedPageBreak/>
        <w:t>2</w:t>
      </w:r>
      <w:r>
        <w:rPr>
          <w:b/>
          <w:sz w:val="24"/>
          <w:szCs w:val="24"/>
        </w:rPr>
        <w:tab/>
      </w:r>
      <w:bookmarkStart w:id="0" w:name="_Hlk202204587"/>
      <w:r>
        <w:rPr>
          <w:b/>
          <w:sz w:val="24"/>
          <w:szCs w:val="24"/>
        </w:rPr>
        <w:t xml:space="preserve">APRESENTAÇÃO DO QUILOMBO RIO DA PRATA </w:t>
      </w:r>
    </w:p>
    <w:p w14:paraId="6BBD1B69" w14:textId="34FBC825" w:rsidR="006A4836" w:rsidRDefault="00C13DD4" w:rsidP="00C13DD4">
      <w:pPr>
        <w:spacing w:line="360" w:lineRule="auto"/>
        <w:ind w:leftChars="0" w:left="0" w:firstLineChars="0" w:firstLine="720"/>
        <w:jc w:val="both"/>
        <w:rPr>
          <w:sz w:val="24"/>
          <w:szCs w:val="24"/>
        </w:rPr>
      </w:pPr>
      <w:r>
        <w:rPr>
          <w:sz w:val="24"/>
          <w:szCs w:val="24"/>
        </w:rPr>
        <w:t>Durante os séculos XVIII e XIX</w:t>
      </w:r>
      <w:r w:rsidR="0050002F">
        <w:rPr>
          <w:sz w:val="24"/>
          <w:szCs w:val="24"/>
        </w:rPr>
        <w:t>,</w:t>
      </w:r>
      <w:r>
        <w:rPr>
          <w:sz w:val="24"/>
          <w:szCs w:val="24"/>
        </w:rPr>
        <w:t xml:space="preserve"> o Maranhão atuava como província integrada d</w:t>
      </w:r>
      <w:r w:rsidR="0050002F">
        <w:rPr>
          <w:sz w:val="24"/>
          <w:szCs w:val="24"/>
        </w:rPr>
        <w:t>a Colônia e do</w:t>
      </w:r>
      <w:r>
        <w:rPr>
          <w:sz w:val="24"/>
          <w:szCs w:val="24"/>
        </w:rPr>
        <w:t xml:space="preserve"> Império Brasileiro, não tendo participação significativa nos interesse</w:t>
      </w:r>
      <w:r w:rsidR="002F6272">
        <w:rPr>
          <w:sz w:val="24"/>
          <w:szCs w:val="24"/>
        </w:rPr>
        <w:t>s</w:t>
      </w:r>
      <w:r>
        <w:rPr>
          <w:sz w:val="24"/>
          <w:szCs w:val="24"/>
        </w:rPr>
        <w:t xml:space="preserve"> da </w:t>
      </w:r>
      <w:r w:rsidR="0050002F">
        <w:rPr>
          <w:sz w:val="24"/>
          <w:szCs w:val="24"/>
        </w:rPr>
        <w:t>C</w:t>
      </w:r>
      <w:r>
        <w:rPr>
          <w:sz w:val="24"/>
          <w:szCs w:val="24"/>
        </w:rPr>
        <w:t>oroa portuguesa. A ocupação do território maranhense se deu</w:t>
      </w:r>
      <w:r w:rsidR="00CE3A5A">
        <w:rPr>
          <w:sz w:val="24"/>
          <w:szCs w:val="24"/>
        </w:rPr>
        <w:t>, em 1612,</w:t>
      </w:r>
      <w:r>
        <w:rPr>
          <w:sz w:val="24"/>
          <w:szCs w:val="24"/>
        </w:rPr>
        <w:t xml:space="preserve"> </w:t>
      </w:r>
      <w:r w:rsidR="00CE3A5A">
        <w:rPr>
          <w:sz w:val="24"/>
          <w:szCs w:val="24"/>
        </w:rPr>
        <w:t>principalmente a partir d</w:t>
      </w:r>
      <w:r>
        <w:rPr>
          <w:sz w:val="24"/>
          <w:szCs w:val="24"/>
        </w:rPr>
        <w:t>a</w:t>
      </w:r>
      <w:r w:rsidR="00CE3A5A">
        <w:rPr>
          <w:sz w:val="24"/>
          <w:szCs w:val="24"/>
        </w:rPr>
        <w:t>s</w:t>
      </w:r>
      <w:r>
        <w:rPr>
          <w:sz w:val="24"/>
          <w:szCs w:val="24"/>
        </w:rPr>
        <w:t xml:space="preserve"> tentativas francesas de colonização, conhecida</w:t>
      </w:r>
      <w:r w:rsidR="00CE3A5A">
        <w:rPr>
          <w:sz w:val="24"/>
          <w:szCs w:val="24"/>
        </w:rPr>
        <w:t>s</w:t>
      </w:r>
      <w:r>
        <w:rPr>
          <w:sz w:val="24"/>
          <w:szCs w:val="24"/>
        </w:rPr>
        <w:t xml:space="preserve"> como </w:t>
      </w:r>
      <w:r w:rsidR="00CE3A5A">
        <w:rPr>
          <w:sz w:val="24"/>
          <w:szCs w:val="24"/>
        </w:rPr>
        <w:t>“</w:t>
      </w:r>
      <w:r>
        <w:rPr>
          <w:sz w:val="24"/>
          <w:szCs w:val="24"/>
        </w:rPr>
        <w:t>França Equinocial</w:t>
      </w:r>
      <w:r w:rsidR="00CE3A5A">
        <w:rPr>
          <w:sz w:val="24"/>
          <w:szCs w:val="24"/>
        </w:rPr>
        <w:t>”</w:t>
      </w:r>
      <w:r>
        <w:rPr>
          <w:sz w:val="24"/>
          <w:szCs w:val="24"/>
        </w:rPr>
        <w:t xml:space="preserve"> e </w:t>
      </w:r>
      <w:r w:rsidR="00CE3A5A">
        <w:rPr>
          <w:sz w:val="24"/>
          <w:szCs w:val="24"/>
        </w:rPr>
        <w:t>sua</w:t>
      </w:r>
      <w:r>
        <w:rPr>
          <w:sz w:val="24"/>
          <w:szCs w:val="24"/>
        </w:rPr>
        <w:t xml:space="preserve"> expulsão pelos portugueses</w:t>
      </w:r>
      <w:r w:rsidR="003F780F">
        <w:rPr>
          <w:sz w:val="24"/>
          <w:szCs w:val="24"/>
        </w:rPr>
        <w:t xml:space="preserve"> em 1615 por meio de expedições militares organizadas pela Coroa e lideradas por Jerônimo de Albuquerque.</w:t>
      </w:r>
      <w:r w:rsidR="00932D14">
        <w:rPr>
          <w:sz w:val="24"/>
          <w:szCs w:val="24"/>
        </w:rPr>
        <w:t xml:space="preserve"> </w:t>
      </w:r>
      <w:r w:rsidR="003F780F">
        <w:rPr>
          <w:sz w:val="24"/>
          <w:szCs w:val="24"/>
        </w:rPr>
        <w:t>A partir dessa conquista, os portugueses se estabeleceram e se consolidaram no estado, dando assim início a criação de vilas, engenhos, desenvolvendo a monocultura, como a cana de açúcar</w:t>
      </w:r>
      <w:r w:rsidR="005A3590">
        <w:rPr>
          <w:sz w:val="24"/>
          <w:szCs w:val="24"/>
        </w:rPr>
        <w:t xml:space="preserve"> e </w:t>
      </w:r>
      <w:r w:rsidR="003F780F">
        <w:rPr>
          <w:sz w:val="24"/>
          <w:szCs w:val="24"/>
        </w:rPr>
        <w:t>o algodão</w:t>
      </w:r>
      <w:r w:rsidR="005A3590">
        <w:rPr>
          <w:sz w:val="24"/>
          <w:szCs w:val="24"/>
        </w:rPr>
        <w:t xml:space="preserve">, </w:t>
      </w:r>
      <w:r w:rsidR="003F780F">
        <w:rPr>
          <w:sz w:val="24"/>
          <w:szCs w:val="24"/>
        </w:rPr>
        <w:t xml:space="preserve">consolidando o movimento </w:t>
      </w:r>
      <w:r w:rsidR="003767AF">
        <w:rPr>
          <w:sz w:val="24"/>
          <w:szCs w:val="24"/>
        </w:rPr>
        <w:t xml:space="preserve">inicial de ocupação </w:t>
      </w:r>
      <w:r w:rsidR="003F780F">
        <w:rPr>
          <w:sz w:val="24"/>
          <w:szCs w:val="24"/>
        </w:rPr>
        <w:t xml:space="preserve">do estado. </w:t>
      </w:r>
    </w:p>
    <w:p w14:paraId="50D183EE" w14:textId="7F90D90D" w:rsidR="006A4836" w:rsidRDefault="00000000" w:rsidP="00BB47FC">
      <w:pPr>
        <w:spacing w:line="360" w:lineRule="auto"/>
        <w:ind w:leftChars="0" w:left="0" w:firstLineChars="0" w:firstLine="720"/>
        <w:jc w:val="both"/>
        <w:rPr>
          <w:sz w:val="24"/>
          <w:szCs w:val="24"/>
        </w:rPr>
      </w:pPr>
      <w:r>
        <w:rPr>
          <w:sz w:val="24"/>
          <w:szCs w:val="24"/>
        </w:rPr>
        <w:t>O Estado do Maranhão</w:t>
      </w:r>
      <w:r w:rsidR="00BB47FC">
        <w:rPr>
          <w:sz w:val="24"/>
          <w:szCs w:val="24"/>
        </w:rPr>
        <w:t>,</w:t>
      </w:r>
      <w:r>
        <w:rPr>
          <w:sz w:val="24"/>
          <w:szCs w:val="24"/>
        </w:rPr>
        <w:t xml:space="preserve"> durante o século XVIII, enfrentava </w:t>
      </w:r>
      <w:r w:rsidR="003328DF">
        <w:rPr>
          <w:sz w:val="24"/>
          <w:szCs w:val="24"/>
        </w:rPr>
        <w:t>o</w:t>
      </w:r>
      <w:r>
        <w:rPr>
          <w:sz w:val="24"/>
          <w:szCs w:val="24"/>
        </w:rPr>
        <w:t xml:space="preserve"> estancamento </w:t>
      </w:r>
      <w:r w:rsidR="003328DF">
        <w:rPr>
          <w:sz w:val="24"/>
          <w:szCs w:val="24"/>
        </w:rPr>
        <w:t>do</w:t>
      </w:r>
      <w:r>
        <w:rPr>
          <w:sz w:val="24"/>
          <w:szCs w:val="24"/>
        </w:rPr>
        <w:t xml:space="preserve"> desenvolvimento </w:t>
      </w:r>
      <w:r w:rsidR="00BB47FC">
        <w:rPr>
          <w:sz w:val="24"/>
          <w:szCs w:val="24"/>
        </w:rPr>
        <w:t xml:space="preserve">devido </w:t>
      </w:r>
      <w:r w:rsidR="003328DF">
        <w:rPr>
          <w:sz w:val="24"/>
          <w:szCs w:val="24"/>
        </w:rPr>
        <w:t>à</w:t>
      </w:r>
      <w:r w:rsidR="00BB47FC">
        <w:rPr>
          <w:sz w:val="24"/>
          <w:szCs w:val="24"/>
        </w:rPr>
        <w:t xml:space="preserve"> falta de mão de obra, dificuldade de abastecimento, baixa capitalização, monopólio ineficiente e contrabando</w:t>
      </w:r>
      <w:r w:rsidR="006630E2">
        <w:rPr>
          <w:sz w:val="24"/>
          <w:szCs w:val="24"/>
        </w:rPr>
        <w:t>,</w:t>
      </w:r>
      <w:r w:rsidR="00BB47FC">
        <w:rPr>
          <w:sz w:val="24"/>
          <w:szCs w:val="24"/>
        </w:rPr>
        <w:t xml:space="preserve"> quadro revertido com a criação da </w:t>
      </w:r>
      <w:r>
        <w:rPr>
          <w:sz w:val="24"/>
          <w:szCs w:val="24"/>
        </w:rPr>
        <w:t xml:space="preserve">Companhia Geral de Comércio do Grão Pará e Maranhão. </w:t>
      </w:r>
      <w:r w:rsidR="00BB47FC">
        <w:rPr>
          <w:sz w:val="24"/>
          <w:szCs w:val="24"/>
        </w:rPr>
        <w:t xml:space="preserve">Integrando as reformas pombalinas, visava a inserção do estado junto </w:t>
      </w:r>
      <w:r w:rsidR="007B3F06">
        <w:rPr>
          <w:sz w:val="24"/>
          <w:szCs w:val="24"/>
        </w:rPr>
        <w:t>à</w:t>
      </w:r>
      <w:r w:rsidR="00BB47FC">
        <w:rPr>
          <w:sz w:val="24"/>
          <w:szCs w:val="24"/>
        </w:rPr>
        <w:t xml:space="preserve"> metrópole como forma de fortalecer a economia da </w:t>
      </w:r>
      <w:r w:rsidR="007B3F06">
        <w:rPr>
          <w:sz w:val="24"/>
          <w:szCs w:val="24"/>
        </w:rPr>
        <w:t>C</w:t>
      </w:r>
      <w:r w:rsidR="00BB47FC">
        <w:rPr>
          <w:sz w:val="24"/>
          <w:szCs w:val="24"/>
        </w:rPr>
        <w:t xml:space="preserve">oroa e o controle </w:t>
      </w:r>
      <w:r w:rsidR="007B3F06">
        <w:rPr>
          <w:sz w:val="24"/>
          <w:szCs w:val="24"/>
        </w:rPr>
        <w:t>d</w:t>
      </w:r>
      <w:r w:rsidR="00BB47FC">
        <w:rPr>
          <w:sz w:val="24"/>
          <w:szCs w:val="24"/>
        </w:rPr>
        <w:t>a colônia fomentando o comércio e a produção, combatendo o contrabando e dinamizando a economia regional</w:t>
      </w:r>
      <w:r w:rsidR="0035468E">
        <w:rPr>
          <w:sz w:val="24"/>
          <w:szCs w:val="24"/>
        </w:rPr>
        <w:t>, ações possibilitadas pela introdução da mão de obra escravizada, cuja descendência formaria núcleos dos primeiros quilombos.</w:t>
      </w:r>
    </w:p>
    <w:p w14:paraId="10BF13CF" w14:textId="511F39C6" w:rsidR="006A4836" w:rsidRDefault="0035468E" w:rsidP="002F6272">
      <w:pPr>
        <w:spacing w:line="360" w:lineRule="auto"/>
        <w:ind w:leftChars="0" w:left="0" w:firstLineChars="0" w:firstLine="720"/>
        <w:jc w:val="both"/>
        <w:rPr>
          <w:sz w:val="24"/>
          <w:szCs w:val="24"/>
          <w:highlight w:val="white"/>
        </w:rPr>
      </w:pPr>
      <w:r>
        <w:rPr>
          <w:sz w:val="24"/>
          <w:szCs w:val="24"/>
        </w:rPr>
        <w:t>Na segunda metade do século XVIII</w:t>
      </w:r>
      <w:r w:rsidR="000240E0">
        <w:rPr>
          <w:sz w:val="24"/>
          <w:szCs w:val="24"/>
        </w:rPr>
        <w:t>,</w:t>
      </w:r>
      <w:r>
        <w:rPr>
          <w:sz w:val="24"/>
          <w:szCs w:val="24"/>
        </w:rPr>
        <w:t xml:space="preserve"> o Maranhão atinge seu ápice econômico, período conhecido como “idade de ouro”, ao mesmo tempo em que, conforme </w:t>
      </w:r>
      <w:r w:rsidR="001D4BBA">
        <w:rPr>
          <w:sz w:val="24"/>
          <w:szCs w:val="24"/>
        </w:rPr>
        <w:t xml:space="preserve">estimam </w:t>
      </w:r>
      <w:r>
        <w:rPr>
          <w:sz w:val="24"/>
          <w:szCs w:val="24"/>
        </w:rPr>
        <w:t>Mota e Barroso (2017), tenham chegado 77.083 negros escravizados (</w:t>
      </w:r>
      <w:r w:rsidR="001D4BBA">
        <w:rPr>
          <w:sz w:val="24"/>
          <w:szCs w:val="24"/>
        </w:rPr>
        <w:t xml:space="preserve">ente </w:t>
      </w:r>
      <w:r>
        <w:rPr>
          <w:sz w:val="24"/>
          <w:szCs w:val="24"/>
        </w:rPr>
        <w:t>1788</w:t>
      </w:r>
      <w:r w:rsidR="001D4BBA">
        <w:rPr>
          <w:sz w:val="24"/>
          <w:szCs w:val="24"/>
        </w:rPr>
        <w:t xml:space="preserve"> e </w:t>
      </w:r>
      <w:r>
        <w:rPr>
          <w:sz w:val="24"/>
          <w:szCs w:val="24"/>
        </w:rPr>
        <w:t xml:space="preserve">1842) </w:t>
      </w:r>
      <w:r w:rsidR="001D4BBA">
        <w:rPr>
          <w:sz w:val="24"/>
          <w:szCs w:val="24"/>
        </w:rPr>
        <w:t xml:space="preserve">ao estado, </w:t>
      </w:r>
      <w:r>
        <w:rPr>
          <w:sz w:val="24"/>
          <w:szCs w:val="24"/>
          <w:highlight w:val="white"/>
        </w:rPr>
        <w:t>mais que o triplo do número de cativos ingressados no Pará no mesmo período.</w:t>
      </w:r>
    </w:p>
    <w:p w14:paraId="0D67B795" w14:textId="6927ADEA" w:rsidR="006A4836" w:rsidRDefault="007F4BB3" w:rsidP="002F6272">
      <w:pPr>
        <w:spacing w:line="360" w:lineRule="auto"/>
        <w:ind w:leftChars="0" w:left="0" w:firstLineChars="0" w:firstLine="720"/>
        <w:jc w:val="both"/>
        <w:rPr>
          <w:sz w:val="24"/>
          <w:szCs w:val="24"/>
        </w:rPr>
      </w:pPr>
      <w:r>
        <w:rPr>
          <w:sz w:val="24"/>
          <w:szCs w:val="24"/>
        </w:rPr>
        <w:t xml:space="preserve">Atualmente, o Maranhão </w:t>
      </w:r>
      <w:r w:rsidR="000240E0">
        <w:rPr>
          <w:sz w:val="24"/>
          <w:szCs w:val="24"/>
        </w:rPr>
        <w:t>possui</w:t>
      </w:r>
      <w:r>
        <w:rPr>
          <w:sz w:val="24"/>
          <w:szCs w:val="24"/>
        </w:rPr>
        <w:t xml:space="preserve"> o maior número de quilombos reconhecidos e certificados no Brasil (1.569) e a segunda maior população quilombola do país. Ao longo do processo de reconhecimento de suas memórias e identidades</w:t>
      </w:r>
      <w:r w:rsidR="00EC0071">
        <w:rPr>
          <w:sz w:val="24"/>
          <w:szCs w:val="24"/>
        </w:rPr>
        <w:t>,</w:t>
      </w:r>
      <w:r>
        <w:rPr>
          <w:sz w:val="24"/>
          <w:szCs w:val="24"/>
        </w:rPr>
        <w:t xml:space="preserve"> essas comunidades sofrem diversos preconceitos, sendo marginalizadas e negligenciadas </w:t>
      </w:r>
      <w:r>
        <w:rPr>
          <w:sz w:val="24"/>
          <w:szCs w:val="24"/>
        </w:rPr>
        <w:lastRenderedPageBreak/>
        <w:t xml:space="preserve">pelo </w:t>
      </w:r>
      <w:r w:rsidR="00C833CA">
        <w:rPr>
          <w:sz w:val="24"/>
          <w:szCs w:val="24"/>
        </w:rPr>
        <w:t>Estado</w:t>
      </w:r>
      <w:r>
        <w:rPr>
          <w:sz w:val="24"/>
          <w:szCs w:val="24"/>
        </w:rPr>
        <w:t>. O quilombo Rio da Prata se encontra nesse contexto de resistência, intensifica</w:t>
      </w:r>
      <w:r w:rsidR="00EC0071">
        <w:rPr>
          <w:sz w:val="24"/>
          <w:szCs w:val="24"/>
        </w:rPr>
        <w:t>do</w:t>
      </w:r>
      <w:r>
        <w:rPr>
          <w:sz w:val="24"/>
          <w:szCs w:val="24"/>
        </w:rPr>
        <w:t xml:space="preserve"> em virtude da construção das memórias dos mais antigos, ou seja, as vivências e experiências que preservam suas tradições e a identidade dessa comunidade.</w:t>
      </w:r>
    </w:p>
    <w:p w14:paraId="5EFA7843" w14:textId="3247CC2A" w:rsidR="006A4836" w:rsidRDefault="00000000" w:rsidP="002F6272">
      <w:pPr>
        <w:spacing w:line="360" w:lineRule="auto"/>
        <w:ind w:leftChars="0" w:left="0" w:firstLineChars="0" w:firstLine="720"/>
        <w:jc w:val="both"/>
        <w:rPr>
          <w:sz w:val="24"/>
          <w:szCs w:val="24"/>
        </w:rPr>
      </w:pPr>
      <w:r>
        <w:rPr>
          <w:sz w:val="24"/>
          <w:szCs w:val="24"/>
        </w:rPr>
        <w:t>O Quilombo Rio da Prata localiza</w:t>
      </w:r>
      <w:r w:rsidR="00306273">
        <w:rPr>
          <w:sz w:val="24"/>
          <w:szCs w:val="24"/>
        </w:rPr>
        <w:t>-se</w:t>
      </w:r>
      <w:r>
        <w:rPr>
          <w:sz w:val="24"/>
          <w:szCs w:val="24"/>
        </w:rPr>
        <w:t xml:space="preserve"> no município de Peri Mirim, na baixada maranhense, comp</w:t>
      </w:r>
      <w:r w:rsidR="00306273">
        <w:rPr>
          <w:sz w:val="24"/>
          <w:szCs w:val="24"/>
        </w:rPr>
        <w:t>ondo</w:t>
      </w:r>
      <w:r>
        <w:rPr>
          <w:sz w:val="24"/>
          <w:szCs w:val="24"/>
        </w:rPr>
        <w:t xml:space="preserve"> o território de Pericum</w:t>
      </w:r>
      <w:r w:rsidR="002F6272">
        <w:rPr>
          <w:sz w:val="24"/>
          <w:szCs w:val="24"/>
        </w:rPr>
        <w:t>ã</w:t>
      </w:r>
      <w:r>
        <w:rPr>
          <w:sz w:val="24"/>
          <w:szCs w:val="24"/>
        </w:rPr>
        <w:t xml:space="preserve"> com mais oito comunidades quilombolas (Pericumã, Pedrinhas, </w:t>
      </w:r>
      <w:proofErr w:type="spellStart"/>
      <w:r>
        <w:rPr>
          <w:sz w:val="24"/>
          <w:szCs w:val="24"/>
        </w:rPr>
        <w:t>Muritim</w:t>
      </w:r>
      <w:proofErr w:type="spellEnd"/>
      <w:r>
        <w:rPr>
          <w:sz w:val="24"/>
          <w:szCs w:val="24"/>
        </w:rPr>
        <w:t xml:space="preserve">, Tijuca, Capoeira Grande, Santa Cruz, Malhada Grande e </w:t>
      </w:r>
      <w:proofErr w:type="spellStart"/>
      <w:r>
        <w:rPr>
          <w:sz w:val="24"/>
          <w:szCs w:val="24"/>
        </w:rPr>
        <w:t>Itaquipé</w:t>
      </w:r>
      <w:proofErr w:type="spellEnd"/>
      <w:r>
        <w:rPr>
          <w:sz w:val="24"/>
          <w:szCs w:val="24"/>
        </w:rPr>
        <w:t xml:space="preserve">). </w:t>
      </w:r>
      <w:r w:rsidR="00306273">
        <w:rPr>
          <w:sz w:val="24"/>
          <w:szCs w:val="24"/>
        </w:rPr>
        <w:t xml:space="preserve">Segundo dados do </w:t>
      </w:r>
      <w:r>
        <w:rPr>
          <w:sz w:val="24"/>
          <w:szCs w:val="24"/>
        </w:rPr>
        <w:t>IBGE (2022)</w:t>
      </w:r>
      <w:r w:rsidR="00306273">
        <w:rPr>
          <w:sz w:val="24"/>
          <w:szCs w:val="24"/>
        </w:rPr>
        <w:t xml:space="preserve">, </w:t>
      </w:r>
      <w:r>
        <w:rPr>
          <w:sz w:val="24"/>
          <w:szCs w:val="24"/>
        </w:rPr>
        <w:t>a extensão territorial de Peri-Mirim é de 397,994 km², população de 11.108 pessoas e uma densidade demográfica de 27,91hab/km². </w:t>
      </w:r>
    </w:p>
    <w:p w14:paraId="49E497D4" w14:textId="07703F27" w:rsidR="006A4836" w:rsidRDefault="00000000" w:rsidP="002F6272">
      <w:pPr>
        <w:spacing w:line="360" w:lineRule="auto"/>
        <w:ind w:leftChars="0" w:left="0" w:firstLineChars="0" w:firstLine="720"/>
        <w:jc w:val="both"/>
        <w:rPr>
          <w:sz w:val="24"/>
          <w:szCs w:val="24"/>
        </w:rPr>
      </w:pPr>
      <w:r>
        <w:rPr>
          <w:sz w:val="24"/>
          <w:szCs w:val="24"/>
        </w:rPr>
        <w:t>A construção da identidade do</w:t>
      </w:r>
      <w:r w:rsidR="00576FF2">
        <w:rPr>
          <w:sz w:val="24"/>
          <w:szCs w:val="24"/>
        </w:rPr>
        <w:t>s</w:t>
      </w:r>
      <w:r>
        <w:rPr>
          <w:sz w:val="24"/>
          <w:szCs w:val="24"/>
        </w:rPr>
        <w:t xml:space="preserve"> quilombola</w:t>
      </w:r>
      <w:r w:rsidR="00576FF2">
        <w:rPr>
          <w:sz w:val="24"/>
          <w:szCs w:val="24"/>
        </w:rPr>
        <w:t xml:space="preserve">s de </w:t>
      </w:r>
      <w:r>
        <w:rPr>
          <w:sz w:val="24"/>
          <w:szCs w:val="24"/>
        </w:rPr>
        <w:t>Rio da Prata nasce com o surgimento da comunidade e os mitos acerca do nome do quilombo. Em entrevista com os idosos da comunidade, eles destacam duas versões das histórias</w:t>
      </w:r>
      <w:r w:rsidR="00576FF2">
        <w:rPr>
          <w:sz w:val="24"/>
          <w:szCs w:val="24"/>
        </w:rPr>
        <w:t>:</w:t>
      </w:r>
      <w:r>
        <w:rPr>
          <w:sz w:val="24"/>
          <w:szCs w:val="24"/>
        </w:rPr>
        <w:t xml:space="preserve">   </w:t>
      </w:r>
    </w:p>
    <w:p w14:paraId="61A172A9" w14:textId="7833711D" w:rsidR="006A4836" w:rsidRDefault="00000000" w:rsidP="00C833CA">
      <w:pPr>
        <w:spacing w:after="240" w:line="240" w:lineRule="auto"/>
        <w:ind w:leftChars="1030" w:left="2268" w:hanging="2"/>
        <w:jc w:val="both"/>
        <w:rPr>
          <w:sz w:val="20"/>
          <w:szCs w:val="20"/>
        </w:rPr>
      </w:pPr>
      <w:r>
        <w:rPr>
          <w:sz w:val="20"/>
          <w:szCs w:val="20"/>
        </w:rPr>
        <w:t>[...] o nome veio assim: no cair do sol, ou no nascer do sol também, subia muito e brilhava quando o sol batia na água do rio cheio de piaba e brilhava. E aí passou a ser chamado Rio da Prata, porque brilhava e parecia com prata</w:t>
      </w:r>
      <w:r w:rsidR="00B44533">
        <w:rPr>
          <w:sz w:val="20"/>
          <w:szCs w:val="20"/>
        </w:rPr>
        <w:t>.</w:t>
      </w:r>
    </w:p>
    <w:p w14:paraId="09B8A4A6" w14:textId="77777777" w:rsidR="006A4836" w:rsidRDefault="00000000" w:rsidP="00C833CA">
      <w:pPr>
        <w:tabs>
          <w:tab w:val="left" w:pos="2580"/>
        </w:tabs>
        <w:spacing w:line="360" w:lineRule="auto"/>
        <w:ind w:leftChars="321" w:left="708" w:hanging="2"/>
        <w:jc w:val="both"/>
        <w:rPr>
          <w:sz w:val="24"/>
          <w:szCs w:val="24"/>
        </w:rPr>
      </w:pPr>
      <w:r>
        <w:rPr>
          <w:sz w:val="24"/>
          <w:szCs w:val="24"/>
        </w:rPr>
        <w:t xml:space="preserve">A segunda versão: </w:t>
      </w:r>
      <w:r>
        <w:rPr>
          <w:sz w:val="24"/>
          <w:szCs w:val="24"/>
        </w:rPr>
        <w:tab/>
      </w:r>
    </w:p>
    <w:p w14:paraId="0B913353" w14:textId="4B27FE6B" w:rsidR="006A4836" w:rsidRDefault="00000000" w:rsidP="002F6272">
      <w:pPr>
        <w:spacing w:after="200" w:line="240" w:lineRule="auto"/>
        <w:ind w:leftChars="1030" w:left="2268" w:hanging="2"/>
        <w:jc w:val="both"/>
        <w:rPr>
          <w:sz w:val="20"/>
          <w:szCs w:val="20"/>
        </w:rPr>
      </w:pPr>
      <w:r>
        <w:rPr>
          <w:sz w:val="20"/>
          <w:szCs w:val="20"/>
        </w:rPr>
        <w:t>Rio da Prata, ele vem de nomes que dava aos lugares. Ouro, prata, e pra mim é isso. O nome da fazenda Rio da Prata, eles colocaram, não tem muita origem.</w:t>
      </w:r>
      <w:r>
        <w:rPr>
          <w:sz w:val="20"/>
          <w:szCs w:val="20"/>
          <w:vertAlign w:val="superscript"/>
        </w:rPr>
        <w:footnoteReference w:id="4"/>
      </w:r>
    </w:p>
    <w:p w14:paraId="5C6AA169" w14:textId="3F50E4B1" w:rsidR="006A4836" w:rsidRDefault="00000000" w:rsidP="002F6272">
      <w:pPr>
        <w:spacing w:line="360" w:lineRule="auto"/>
        <w:ind w:leftChars="0" w:left="0" w:firstLineChars="0" w:firstLine="720"/>
        <w:jc w:val="both"/>
        <w:rPr>
          <w:sz w:val="24"/>
          <w:szCs w:val="24"/>
          <w:highlight w:val="white"/>
        </w:rPr>
      </w:pPr>
      <w:r>
        <w:rPr>
          <w:sz w:val="24"/>
          <w:szCs w:val="24"/>
          <w:highlight w:val="white"/>
        </w:rPr>
        <w:t xml:space="preserve">Todavia, </w:t>
      </w:r>
      <w:r w:rsidR="0022694B">
        <w:rPr>
          <w:sz w:val="24"/>
          <w:szCs w:val="24"/>
          <w:highlight w:val="white"/>
        </w:rPr>
        <w:t xml:space="preserve">prevalece </w:t>
      </w:r>
      <w:r>
        <w:rPr>
          <w:sz w:val="24"/>
          <w:szCs w:val="24"/>
          <w:highlight w:val="white"/>
        </w:rPr>
        <w:t xml:space="preserve">a primeira versão, o </w:t>
      </w:r>
      <w:r w:rsidR="0022694B">
        <w:rPr>
          <w:sz w:val="24"/>
          <w:szCs w:val="24"/>
          <w:highlight w:val="white"/>
        </w:rPr>
        <w:t>R</w:t>
      </w:r>
      <w:r>
        <w:rPr>
          <w:sz w:val="24"/>
          <w:szCs w:val="24"/>
          <w:highlight w:val="white"/>
        </w:rPr>
        <w:t>io Grande,</w:t>
      </w:r>
      <w:r>
        <w:rPr>
          <w:color w:val="FF0000"/>
          <w:sz w:val="24"/>
          <w:szCs w:val="24"/>
          <w:highlight w:val="white"/>
        </w:rPr>
        <w:t xml:space="preserve"> </w:t>
      </w:r>
      <w:r>
        <w:rPr>
          <w:sz w:val="24"/>
          <w:szCs w:val="24"/>
          <w:highlight w:val="white"/>
        </w:rPr>
        <w:t>cheio de piaba</w:t>
      </w:r>
      <w:r w:rsidR="0022694B">
        <w:rPr>
          <w:sz w:val="24"/>
          <w:szCs w:val="24"/>
          <w:highlight w:val="white"/>
        </w:rPr>
        <w:t>s que refletindo a luz do sol, davam um aspecto prateado às águas.</w:t>
      </w:r>
    </w:p>
    <w:p w14:paraId="6AA13835" w14:textId="77777777" w:rsidR="008E7666" w:rsidRDefault="00BA198C" w:rsidP="008E7666">
      <w:pPr>
        <w:spacing w:line="360" w:lineRule="auto"/>
        <w:ind w:leftChars="0" w:left="0" w:firstLineChars="0" w:firstLine="720"/>
        <w:jc w:val="both"/>
        <w:rPr>
          <w:sz w:val="24"/>
          <w:szCs w:val="24"/>
        </w:rPr>
      </w:pPr>
      <w:r>
        <w:rPr>
          <w:sz w:val="24"/>
          <w:szCs w:val="24"/>
          <w:highlight w:val="white"/>
        </w:rPr>
        <w:t>Os quilombolas de Rio da Prata vivem da plantação de subsistência</w:t>
      </w:r>
      <w:r w:rsidR="005C19EB">
        <w:rPr>
          <w:sz w:val="24"/>
          <w:szCs w:val="24"/>
          <w:highlight w:val="white"/>
        </w:rPr>
        <w:t xml:space="preserve"> de mandioca, milho, arroz e feijão, suprindo o consumo próprio das famílias </w:t>
      </w:r>
      <w:r w:rsidR="0054037C">
        <w:rPr>
          <w:sz w:val="24"/>
          <w:szCs w:val="24"/>
          <w:highlight w:val="white"/>
        </w:rPr>
        <w:t>através da</w:t>
      </w:r>
      <w:r>
        <w:rPr>
          <w:sz w:val="24"/>
          <w:szCs w:val="24"/>
          <w:highlight w:val="white"/>
        </w:rPr>
        <w:t xml:space="preserve"> produção </w:t>
      </w:r>
      <w:r w:rsidR="0054037C">
        <w:rPr>
          <w:sz w:val="24"/>
          <w:szCs w:val="24"/>
          <w:highlight w:val="white"/>
        </w:rPr>
        <w:t xml:space="preserve">manual </w:t>
      </w:r>
      <w:r>
        <w:rPr>
          <w:sz w:val="24"/>
          <w:szCs w:val="24"/>
          <w:highlight w:val="white"/>
        </w:rPr>
        <w:t>em pequena escala, onde geralmente o cultivo é em uma horta ou local pequeno</w:t>
      </w:r>
      <w:r w:rsidR="00F74EA4">
        <w:rPr>
          <w:sz w:val="24"/>
          <w:szCs w:val="24"/>
          <w:highlight w:val="white"/>
        </w:rPr>
        <w:t xml:space="preserve">, empregando pouco maquinário e fertilizantes. </w:t>
      </w:r>
      <w:r w:rsidR="003716EC">
        <w:rPr>
          <w:sz w:val="24"/>
          <w:szCs w:val="24"/>
          <w:highlight w:val="white"/>
        </w:rPr>
        <w:t>A</w:t>
      </w:r>
      <w:r>
        <w:rPr>
          <w:sz w:val="24"/>
          <w:szCs w:val="24"/>
          <w:highlight w:val="white"/>
        </w:rPr>
        <w:t xml:space="preserve"> produção depende d</w:t>
      </w:r>
      <w:r w:rsidR="003716EC">
        <w:rPr>
          <w:sz w:val="24"/>
          <w:szCs w:val="24"/>
          <w:highlight w:val="white"/>
        </w:rPr>
        <w:t>e</w:t>
      </w:r>
      <w:r>
        <w:rPr>
          <w:sz w:val="24"/>
          <w:szCs w:val="24"/>
          <w:highlight w:val="white"/>
        </w:rPr>
        <w:t xml:space="preserve"> fatores naturais, </w:t>
      </w:r>
      <w:r w:rsidR="003716EC">
        <w:rPr>
          <w:sz w:val="24"/>
          <w:szCs w:val="24"/>
          <w:highlight w:val="white"/>
        </w:rPr>
        <w:t xml:space="preserve">estando </w:t>
      </w:r>
      <w:r>
        <w:rPr>
          <w:sz w:val="24"/>
          <w:szCs w:val="24"/>
          <w:highlight w:val="white"/>
        </w:rPr>
        <w:t>sujeit</w:t>
      </w:r>
      <w:r w:rsidR="003716EC">
        <w:rPr>
          <w:sz w:val="24"/>
          <w:szCs w:val="24"/>
          <w:highlight w:val="white"/>
        </w:rPr>
        <w:t>a</w:t>
      </w:r>
      <w:r>
        <w:rPr>
          <w:sz w:val="24"/>
          <w:szCs w:val="24"/>
          <w:highlight w:val="white"/>
        </w:rPr>
        <w:t xml:space="preserve"> às condições climáticas</w:t>
      </w:r>
      <w:r w:rsidR="00A82C77">
        <w:rPr>
          <w:sz w:val="24"/>
          <w:szCs w:val="24"/>
          <w:highlight w:val="white"/>
        </w:rPr>
        <w:t xml:space="preserve">: </w:t>
      </w:r>
      <w:r>
        <w:rPr>
          <w:sz w:val="24"/>
          <w:szCs w:val="24"/>
          <w:highlight w:val="white"/>
        </w:rPr>
        <w:t xml:space="preserve">seca, excesso de chuva, alagamento </w:t>
      </w:r>
      <w:r w:rsidR="00447875">
        <w:rPr>
          <w:sz w:val="24"/>
          <w:szCs w:val="24"/>
          <w:highlight w:val="white"/>
        </w:rPr>
        <w:t>e afins</w:t>
      </w:r>
      <w:r>
        <w:rPr>
          <w:sz w:val="24"/>
          <w:szCs w:val="24"/>
          <w:highlight w:val="white"/>
        </w:rPr>
        <w:t xml:space="preserve">. </w:t>
      </w:r>
      <w:r w:rsidR="00E5316E">
        <w:rPr>
          <w:sz w:val="24"/>
          <w:szCs w:val="24"/>
        </w:rPr>
        <w:t>A</w:t>
      </w:r>
      <w:r>
        <w:rPr>
          <w:sz w:val="24"/>
          <w:szCs w:val="24"/>
        </w:rPr>
        <w:t xml:space="preserve"> comunidade</w:t>
      </w:r>
      <w:r w:rsidR="00E5316E">
        <w:rPr>
          <w:sz w:val="24"/>
          <w:szCs w:val="24"/>
        </w:rPr>
        <w:t xml:space="preserve"> também</w:t>
      </w:r>
      <w:r>
        <w:rPr>
          <w:sz w:val="24"/>
          <w:szCs w:val="24"/>
        </w:rPr>
        <w:t xml:space="preserve"> destaca as datas d</w:t>
      </w:r>
      <w:r w:rsidR="005F186A">
        <w:rPr>
          <w:sz w:val="24"/>
          <w:szCs w:val="24"/>
        </w:rPr>
        <w:t>e</w:t>
      </w:r>
      <w:r>
        <w:rPr>
          <w:sz w:val="24"/>
          <w:szCs w:val="24"/>
        </w:rPr>
        <w:t xml:space="preserve"> festejos importantes: </w:t>
      </w:r>
      <w:r w:rsidR="005F186A">
        <w:rPr>
          <w:sz w:val="24"/>
          <w:szCs w:val="24"/>
        </w:rPr>
        <w:lastRenderedPageBreak/>
        <w:t xml:space="preserve">A </w:t>
      </w:r>
      <w:r>
        <w:rPr>
          <w:sz w:val="24"/>
          <w:szCs w:val="24"/>
        </w:rPr>
        <w:t xml:space="preserve">Festa do padroeiro de Peri Mirim (São Sebastião), Festa da padroeira do Rio da Prata (Nossa Senhora dos Remédios), Nossa Senhora Aparecida, São Caetano (Padroeiro da Tijuca), São Domingos (padroeiro de Capoeira). </w:t>
      </w:r>
    </w:p>
    <w:p w14:paraId="01BF2412" w14:textId="39C1CA6C" w:rsidR="006A4836" w:rsidRPr="008E7666" w:rsidRDefault="00000000" w:rsidP="00722BBA">
      <w:pPr>
        <w:spacing w:after="240" w:line="360" w:lineRule="auto"/>
        <w:ind w:leftChars="0" w:left="0" w:firstLineChars="0" w:firstLine="720"/>
        <w:jc w:val="both"/>
        <w:rPr>
          <w:sz w:val="24"/>
          <w:szCs w:val="24"/>
        </w:rPr>
      </w:pPr>
      <w:r>
        <w:rPr>
          <w:sz w:val="24"/>
          <w:szCs w:val="24"/>
        </w:rPr>
        <w:t>A identidade e memória quilombola no território Rio da Prata são cruciais para o desenvolvimento do sentimento de pertencimento da comunidade</w:t>
      </w:r>
      <w:r w:rsidR="004341B3">
        <w:rPr>
          <w:sz w:val="24"/>
          <w:szCs w:val="24"/>
        </w:rPr>
        <w:t>, reproduzida n</w:t>
      </w:r>
      <w:r>
        <w:rPr>
          <w:sz w:val="24"/>
          <w:szCs w:val="24"/>
        </w:rPr>
        <w:t xml:space="preserve">as tradições orais, </w:t>
      </w:r>
      <w:r w:rsidR="004341B3">
        <w:rPr>
          <w:sz w:val="24"/>
          <w:szCs w:val="24"/>
        </w:rPr>
        <w:t>n</w:t>
      </w:r>
      <w:r>
        <w:rPr>
          <w:sz w:val="24"/>
          <w:szCs w:val="24"/>
        </w:rPr>
        <w:t xml:space="preserve">os rituais e </w:t>
      </w:r>
      <w:r w:rsidR="004341B3">
        <w:rPr>
          <w:sz w:val="24"/>
          <w:szCs w:val="24"/>
        </w:rPr>
        <w:t>n</w:t>
      </w:r>
      <w:r>
        <w:rPr>
          <w:sz w:val="24"/>
          <w:szCs w:val="24"/>
        </w:rPr>
        <w:t>as práticas culturais</w:t>
      </w:r>
      <w:r w:rsidR="008D6790">
        <w:rPr>
          <w:sz w:val="24"/>
          <w:szCs w:val="24"/>
        </w:rPr>
        <w:t xml:space="preserve"> como</w:t>
      </w:r>
      <w:r>
        <w:rPr>
          <w:sz w:val="24"/>
          <w:szCs w:val="24"/>
        </w:rPr>
        <w:t xml:space="preserve"> o tambor de crioula</w:t>
      </w:r>
      <w:r w:rsidR="008D6790">
        <w:rPr>
          <w:sz w:val="24"/>
          <w:szCs w:val="24"/>
        </w:rPr>
        <w:t xml:space="preserve"> e a</w:t>
      </w:r>
      <w:r>
        <w:rPr>
          <w:sz w:val="24"/>
          <w:szCs w:val="24"/>
        </w:rPr>
        <w:t xml:space="preserve"> farra de caixa, </w:t>
      </w:r>
      <w:r w:rsidR="008D6790">
        <w:rPr>
          <w:sz w:val="24"/>
          <w:szCs w:val="24"/>
        </w:rPr>
        <w:t>sendo</w:t>
      </w:r>
      <w:r>
        <w:rPr>
          <w:sz w:val="24"/>
          <w:szCs w:val="24"/>
        </w:rPr>
        <w:t xml:space="preserve"> a base na construção e afirmação da identidade quilombola.</w:t>
      </w:r>
    </w:p>
    <w:bookmarkEnd w:id="0"/>
    <w:p w14:paraId="1CD781BC" w14:textId="77777777" w:rsidR="006A4836" w:rsidRDefault="00000000">
      <w:pPr>
        <w:spacing w:after="200" w:line="360" w:lineRule="auto"/>
        <w:ind w:left="0" w:hanging="2"/>
        <w:jc w:val="both"/>
        <w:rPr>
          <w:b/>
          <w:sz w:val="24"/>
          <w:szCs w:val="24"/>
        </w:rPr>
      </w:pPr>
      <w:r>
        <w:rPr>
          <w:b/>
          <w:sz w:val="24"/>
          <w:szCs w:val="24"/>
        </w:rPr>
        <w:t>3</w:t>
      </w:r>
      <w:r>
        <w:rPr>
          <w:b/>
          <w:sz w:val="24"/>
          <w:szCs w:val="24"/>
        </w:rPr>
        <w:tab/>
        <w:t>MOSAICO DE LUTAS: A COESÃO FRAGMENTADA DE BAÍA FORMOSA</w:t>
      </w:r>
    </w:p>
    <w:p w14:paraId="1298CFCF" w14:textId="77777777" w:rsidR="006A4836" w:rsidRDefault="00000000" w:rsidP="002F6272">
      <w:pPr>
        <w:spacing w:line="360" w:lineRule="auto"/>
        <w:ind w:leftChars="0" w:left="0" w:firstLineChars="0" w:firstLine="720"/>
        <w:jc w:val="both"/>
        <w:rPr>
          <w:sz w:val="24"/>
          <w:szCs w:val="24"/>
        </w:rPr>
      </w:pPr>
      <w:r>
        <w:rPr>
          <w:sz w:val="24"/>
          <w:szCs w:val="24"/>
        </w:rPr>
        <w:t>Localizado no município de Armação dos Búzios, na Baixada Litorânea do estado do Rio de Janeiro, o quilombo de Baía Formosa é composto por mais de 200 famílias organizadas por meio da Associação de Remanescentes do Quilombo de Baía Formosa (ARQBAF) desde o ano de 2011, ano em que o grupo recebeu sua Certidão de Autodefinição como Remanescentes de Quilombo por meio da Portaria nº 211/2011 da Fundação Cultural Palmares.</w:t>
      </w:r>
    </w:p>
    <w:p w14:paraId="0B68FFC2" w14:textId="096909E4" w:rsidR="006A4836" w:rsidRDefault="00000000" w:rsidP="005F2CDC">
      <w:pPr>
        <w:spacing w:line="360" w:lineRule="auto"/>
        <w:ind w:leftChars="0" w:left="0" w:firstLineChars="0" w:firstLine="720"/>
        <w:jc w:val="both"/>
        <w:rPr>
          <w:sz w:val="24"/>
          <w:szCs w:val="24"/>
        </w:rPr>
      </w:pPr>
      <w:r>
        <w:rPr>
          <w:sz w:val="24"/>
          <w:szCs w:val="24"/>
        </w:rPr>
        <w:t>Territorialmente, a comunidade divide-se em 4 núcleos: Expulsos/Originários, Sezarina, “Perto da Sede” e Zebina. A organização fragmentária se deve aos conflitos territoriais vivenciados ao longo de sua história, cujo acirramento reflete-se na intensidade da mobilização e organização social dos núcleos. Com efeito, os Núcleos dos Expulsos/Originários e Zebina estão em posição de vanguarda diante da comunidade em sua organização sociopolítica, em grande medida devido aos conflitos territoriais que enfrentam.</w:t>
      </w:r>
    </w:p>
    <w:p w14:paraId="56D3F452" w14:textId="77777777" w:rsidR="006A4836" w:rsidRDefault="00000000" w:rsidP="005F2CDC">
      <w:pPr>
        <w:spacing w:line="360" w:lineRule="auto"/>
        <w:ind w:leftChars="0" w:left="0" w:firstLineChars="0" w:firstLine="720"/>
        <w:jc w:val="both"/>
        <w:rPr>
          <w:sz w:val="24"/>
          <w:szCs w:val="24"/>
        </w:rPr>
      </w:pPr>
      <w:r>
        <w:rPr>
          <w:sz w:val="24"/>
          <w:szCs w:val="24"/>
        </w:rPr>
        <w:t>Na década de 1970, integrando a crescente tensão no campo na região de Cabo Frio e São Pedro da Aldeia, dezenas de famílias de trabalhadores negros foram expulsas de Baía Formosa por grileiros, instalando-se em regiões periféricas de Cabo Frio, como os bairros do Jardim Esperança e Jardim Peró (Soares, 2021).</w:t>
      </w:r>
    </w:p>
    <w:p w14:paraId="62353B17" w14:textId="2675F35E" w:rsidR="006A4836" w:rsidRDefault="00000000" w:rsidP="005F2CDC">
      <w:pPr>
        <w:spacing w:line="360" w:lineRule="auto"/>
        <w:ind w:leftChars="0" w:left="0" w:firstLineChars="0" w:firstLine="720"/>
        <w:jc w:val="both"/>
        <w:rPr>
          <w:sz w:val="24"/>
          <w:szCs w:val="24"/>
        </w:rPr>
      </w:pPr>
      <w:r>
        <w:rPr>
          <w:sz w:val="24"/>
          <w:szCs w:val="24"/>
        </w:rPr>
        <w:t xml:space="preserve">Formando o primeiro núcleo organizado do quilombo de Baía Formosa, o “Núcleo dos Expulsos” reivindica o retorno das famílias expulsas e seus descendentes às suas terras de origem, conquista parcialmente alcançada entre 2019 e 2022, </w:t>
      </w:r>
      <w:r>
        <w:rPr>
          <w:sz w:val="24"/>
          <w:szCs w:val="24"/>
        </w:rPr>
        <w:lastRenderedPageBreak/>
        <w:t>quando os Cunha Bueno</w:t>
      </w:r>
      <w:r w:rsidR="006013FD">
        <w:rPr>
          <w:sz w:val="24"/>
          <w:szCs w:val="24"/>
        </w:rPr>
        <w:t>, herdeiros dos grileiros que os expulsaram no passado,</w:t>
      </w:r>
      <w:r>
        <w:rPr>
          <w:sz w:val="24"/>
          <w:szCs w:val="24"/>
        </w:rPr>
        <w:t xml:space="preserve"> devolveram uma área com cerca de 800 mil metros quadrados à comunidade. Destaca-se que, uma vez criadas as condições de retorno das famílias às suas terras de origem, se tem um movimento de ressignificação da identidade do Núcleo, passando de “Expulsos” para “Originários”.</w:t>
      </w:r>
    </w:p>
    <w:p w14:paraId="2F28C589" w14:textId="77777777" w:rsidR="006A4836" w:rsidRDefault="00000000" w:rsidP="00826DC2">
      <w:pPr>
        <w:spacing w:line="360" w:lineRule="auto"/>
        <w:ind w:leftChars="0" w:left="0" w:firstLineChars="0" w:firstLine="720"/>
        <w:jc w:val="both"/>
        <w:rPr>
          <w:sz w:val="20"/>
          <w:szCs w:val="20"/>
        </w:rPr>
      </w:pPr>
      <w:r>
        <w:rPr>
          <w:sz w:val="24"/>
          <w:szCs w:val="24"/>
        </w:rPr>
        <w:t xml:space="preserve">A devolução das terras é fruto de um Acordo de Cooperação Técnica entre a ARQBAF, os Cunha Bueno e o empreendimento de luxo </w:t>
      </w:r>
      <w:proofErr w:type="spellStart"/>
      <w:r>
        <w:rPr>
          <w:sz w:val="24"/>
          <w:szCs w:val="24"/>
        </w:rPr>
        <w:t>Aretê</w:t>
      </w:r>
      <w:proofErr w:type="spellEnd"/>
      <w:r>
        <w:rPr>
          <w:sz w:val="24"/>
          <w:szCs w:val="24"/>
        </w:rPr>
        <w:t>, mediado pelo Ministério Público via Termo de Ajustamento de Conduta (TAC), já que o processo de licenciamento ambiental do condomínio se deu em terras sob pleito do quilombo, ignorando a existência da comunidade. Fugindo de um imbróglio jurídico infindável, os Cunha Bueno cederam parte das terras fora da área de abrangência do condomínio, tendo como contrapartida a retirada da área diretamente afetada pelo empreendimento do processo de titulação das terras do quilombo (Soares, 2021; 2022).</w:t>
      </w:r>
    </w:p>
    <w:p w14:paraId="4A2EECFD" w14:textId="77777777" w:rsidR="006A4836" w:rsidRDefault="00000000" w:rsidP="00826DC2">
      <w:pPr>
        <w:spacing w:line="360" w:lineRule="auto"/>
        <w:ind w:leftChars="0" w:left="0" w:firstLineChars="0" w:firstLine="720"/>
        <w:jc w:val="both"/>
        <w:rPr>
          <w:sz w:val="24"/>
          <w:szCs w:val="24"/>
        </w:rPr>
      </w:pPr>
      <w:r>
        <w:rPr>
          <w:sz w:val="24"/>
          <w:szCs w:val="24"/>
        </w:rPr>
        <w:t>Acerca dos conflitos territoriais vivenciados pelos quilombolas do Núcleo Zebina, tem-se o episódio de tentativa de remoção, por parte do Instituto Estadual do Ambiente (</w:t>
      </w:r>
      <w:proofErr w:type="spellStart"/>
      <w:r>
        <w:rPr>
          <w:sz w:val="24"/>
          <w:szCs w:val="24"/>
        </w:rPr>
        <w:t>Inea</w:t>
      </w:r>
      <w:proofErr w:type="spellEnd"/>
      <w:r>
        <w:rPr>
          <w:sz w:val="24"/>
          <w:szCs w:val="24"/>
        </w:rPr>
        <w:t>), de mais de 50 famílias quilombolas sob a justificativa de que teriam invadido áreas da Área de Proteção Ambiental do Pau-Brasil e do Parque Estadual da Costa do Sol, unidades de conservação criadas respectivamente nos anos de 2002 e 2011, para construções irregulares.</w:t>
      </w:r>
    </w:p>
    <w:p w14:paraId="0546860C" w14:textId="77777777" w:rsidR="006A4836" w:rsidRDefault="00000000" w:rsidP="00826DC2">
      <w:pPr>
        <w:spacing w:line="360" w:lineRule="auto"/>
        <w:ind w:leftChars="0" w:left="0" w:firstLineChars="0" w:firstLine="720"/>
        <w:jc w:val="both"/>
        <w:rPr>
          <w:sz w:val="20"/>
          <w:szCs w:val="20"/>
        </w:rPr>
      </w:pPr>
      <w:r>
        <w:rPr>
          <w:sz w:val="24"/>
          <w:szCs w:val="24"/>
        </w:rPr>
        <w:t>O Núcleo Zebina recebe esse nome em homenagem à ancestral comum das famílias residentes, Zebina Antunes dos Santos, nascida em 19 de novembro de 1912, estabelecendo esse ponto como referência temporal da ocupação territorial da comunidade, muito anterior ao zoneamento das unidades de conservação, e assim mesmo, completamente ignoradas pela atuação do órgão ambiental.</w:t>
      </w:r>
    </w:p>
    <w:p w14:paraId="7D912F8E" w14:textId="77777777" w:rsidR="006A4836" w:rsidRDefault="00000000" w:rsidP="00826DC2">
      <w:pPr>
        <w:spacing w:after="200" w:line="360" w:lineRule="auto"/>
        <w:ind w:leftChars="0" w:left="0" w:firstLineChars="0" w:firstLine="720"/>
        <w:jc w:val="both"/>
        <w:rPr>
          <w:sz w:val="20"/>
          <w:szCs w:val="20"/>
        </w:rPr>
      </w:pPr>
      <w:r>
        <w:rPr>
          <w:sz w:val="24"/>
          <w:szCs w:val="24"/>
        </w:rPr>
        <w:t xml:space="preserve">A partir de sua articulação política, a ARQBAF conseguiu garantir a permanência das famílias, inclusive, ocupando durante alguns anos uma cadeira no conselho gestor da APA do Pau-Brasil. Porém, certo tensionamento entre a comunidade e o </w:t>
      </w:r>
      <w:proofErr w:type="spellStart"/>
      <w:r>
        <w:rPr>
          <w:sz w:val="24"/>
          <w:szCs w:val="24"/>
        </w:rPr>
        <w:t>Inea</w:t>
      </w:r>
      <w:proofErr w:type="spellEnd"/>
      <w:r>
        <w:rPr>
          <w:sz w:val="24"/>
          <w:szCs w:val="24"/>
        </w:rPr>
        <w:t xml:space="preserve"> manteve-se sempre presente desde então, por exemplo, nas </w:t>
      </w:r>
      <w:r>
        <w:rPr>
          <w:sz w:val="24"/>
          <w:szCs w:val="24"/>
        </w:rPr>
        <w:lastRenderedPageBreak/>
        <w:t xml:space="preserve">constantes negativas para o licenciamento ambiental referente à autorização de implantação de serviços de energia elétrica e abastecimento de água, conquistas efetivamente alcançadas pela comunidade somente em 2024, a partir da intervenção de setores da justiça mediando as negociações entre ARQBAF, Incra, Prefeitura Municipal de Armação dos Búzios, </w:t>
      </w:r>
      <w:proofErr w:type="spellStart"/>
      <w:r>
        <w:rPr>
          <w:sz w:val="24"/>
          <w:szCs w:val="24"/>
        </w:rPr>
        <w:t>Inea</w:t>
      </w:r>
      <w:proofErr w:type="spellEnd"/>
      <w:r>
        <w:rPr>
          <w:sz w:val="24"/>
          <w:szCs w:val="24"/>
        </w:rPr>
        <w:t xml:space="preserve"> e concessionárias de luz e água (Rede Observação, 2024).</w:t>
      </w:r>
    </w:p>
    <w:p w14:paraId="45DA5971" w14:textId="77777777" w:rsidR="006A4836" w:rsidRDefault="00000000">
      <w:pPr>
        <w:spacing w:line="360" w:lineRule="auto"/>
        <w:ind w:left="0" w:hanging="2"/>
        <w:jc w:val="both"/>
        <w:rPr>
          <w:b/>
          <w:sz w:val="24"/>
          <w:szCs w:val="24"/>
        </w:rPr>
      </w:pPr>
      <w:r>
        <w:rPr>
          <w:b/>
          <w:sz w:val="24"/>
          <w:szCs w:val="24"/>
        </w:rPr>
        <w:t>4</w:t>
      </w:r>
      <w:r>
        <w:rPr>
          <w:b/>
          <w:sz w:val="24"/>
          <w:szCs w:val="24"/>
        </w:rPr>
        <w:tab/>
        <w:t>UMA PROPOSTA DE SÍNTESE: AQUILOMBAMENTO DE TERRITÓRIOS NEGROS</w:t>
      </w:r>
    </w:p>
    <w:p w14:paraId="64A60B75" w14:textId="40430A27" w:rsidR="006A4836" w:rsidRDefault="00000000" w:rsidP="00B84EA2">
      <w:pPr>
        <w:spacing w:line="360" w:lineRule="auto"/>
        <w:ind w:leftChars="0" w:left="0" w:firstLineChars="0" w:firstLine="720"/>
        <w:jc w:val="both"/>
        <w:rPr>
          <w:sz w:val="24"/>
          <w:szCs w:val="24"/>
        </w:rPr>
      </w:pPr>
      <w:r>
        <w:rPr>
          <w:sz w:val="24"/>
          <w:szCs w:val="24"/>
        </w:rPr>
        <w:t xml:space="preserve">Os quilombos de Rio da Prata (MA), Baía Formosa (RJ) e tantas outras comunidades no Brasil são reconhecidos institucionalmente, inscrevendo-se em um circuito de direitos territoriais, sociais, culturais e econômicos enquanto sujeitos coletivos de direito a partir do previsto no artigo 68 dos Atos das Disposições Constitucionais Transitórias e </w:t>
      </w:r>
      <w:r w:rsidR="005E438E">
        <w:rPr>
          <w:sz w:val="24"/>
          <w:szCs w:val="24"/>
        </w:rPr>
        <w:t>sua</w:t>
      </w:r>
      <w:r>
        <w:rPr>
          <w:sz w:val="24"/>
          <w:szCs w:val="24"/>
        </w:rPr>
        <w:t xml:space="preserve"> regula</w:t>
      </w:r>
      <w:r w:rsidR="005E438E">
        <w:rPr>
          <w:sz w:val="24"/>
          <w:szCs w:val="24"/>
        </w:rPr>
        <w:t>menta</w:t>
      </w:r>
      <w:r>
        <w:rPr>
          <w:sz w:val="24"/>
          <w:szCs w:val="24"/>
        </w:rPr>
        <w:t>ção a partir do Decreto 4.887/2003.</w:t>
      </w:r>
    </w:p>
    <w:p w14:paraId="4FF11AB6" w14:textId="77777777" w:rsidR="00B84EA2" w:rsidRDefault="00000000" w:rsidP="00B84EA2">
      <w:pPr>
        <w:spacing w:line="360" w:lineRule="auto"/>
        <w:ind w:leftChars="0" w:left="0" w:firstLineChars="0" w:firstLine="720"/>
        <w:jc w:val="both"/>
        <w:rPr>
          <w:sz w:val="24"/>
          <w:szCs w:val="24"/>
        </w:rPr>
      </w:pPr>
      <w:r>
        <w:rPr>
          <w:sz w:val="24"/>
          <w:szCs w:val="24"/>
        </w:rPr>
        <w:t>Afirmam os instrumentos legais que “aos remanescentes das comunidades dos quilombos</w:t>
      </w:r>
      <w:r>
        <w:rPr>
          <w:sz w:val="24"/>
          <w:szCs w:val="24"/>
          <w:vertAlign w:val="superscript"/>
        </w:rPr>
        <w:footnoteReference w:id="5"/>
      </w:r>
      <w:r>
        <w:rPr>
          <w:sz w:val="24"/>
          <w:szCs w:val="24"/>
        </w:rPr>
        <w:t xml:space="preserve"> que estejam ocupando suas terras é reconhecida a propriedade definitiva, devendo o Estado emitir-lhes os títulos respectivos” (Brasil, 1988), sendo considerados remanescentes das comunidades dos quilombos os “grupos étnico-raciais, segundo critérios de </w:t>
      </w:r>
      <w:r w:rsidR="00B84EA2">
        <w:rPr>
          <w:sz w:val="24"/>
          <w:szCs w:val="24"/>
        </w:rPr>
        <w:t>auto atribuição</w:t>
      </w:r>
      <w:r>
        <w:rPr>
          <w:sz w:val="24"/>
          <w:szCs w:val="24"/>
        </w:rPr>
        <w:t>, com trajetória própria, dotados de relações territoriais específicas, com presunção de ancestralidade negra relacionada com a resistência à opressão histórica sofrida” (Brasil, 2003).</w:t>
      </w:r>
    </w:p>
    <w:p w14:paraId="49C597C9" w14:textId="4702C29F" w:rsidR="006A4836" w:rsidRDefault="00000000" w:rsidP="00B84EA2">
      <w:pPr>
        <w:spacing w:line="360" w:lineRule="auto"/>
        <w:ind w:leftChars="0" w:left="0" w:firstLineChars="0" w:firstLine="720"/>
        <w:jc w:val="both"/>
        <w:rPr>
          <w:sz w:val="24"/>
          <w:szCs w:val="24"/>
        </w:rPr>
      </w:pPr>
      <w:r>
        <w:rPr>
          <w:sz w:val="24"/>
          <w:szCs w:val="24"/>
        </w:rPr>
        <w:t>Em outros termos, os quilombos contemporâneos são definidos pelo autorreconhecimento da identidade étnica</w:t>
      </w:r>
      <w:r>
        <w:rPr>
          <w:sz w:val="24"/>
          <w:szCs w:val="24"/>
          <w:vertAlign w:val="superscript"/>
        </w:rPr>
        <w:footnoteReference w:id="6"/>
      </w:r>
      <w:r>
        <w:rPr>
          <w:sz w:val="24"/>
          <w:szCs w:val="24"/>
        </w:rPr>
        <w:t xml:space="preserve"> e as territorialidades produzidas a partir da </w:t>
      </w:r>
      <w:r>
        <w:rPr>
          <w:sz w:val="24"/>
          <w:szCs w:val="24"/>
        </w:rPr>
        <w:lastRenderedPageBreak/>
        <w:t>experiência desses grupos. Etnia e território, por sua vez, são sentidos que emergem no debate político protagonizado pelas comunidades negras a partir dos conflitos fundiários vivenciados, demonstrando como a resistência frente às conjunturas locais de tensão, determinadas pelos movimentos estruturais da expansão capitalista e da expropriação das condições de vida de trabalhadores negros, é uma etapa fundamental na consolidação das identidades coletivas desses grupos:</w:t>
      </w:r>
    </w:p>
    <w:p w14:paraId="3C5CDF2C" w14:textId="77777777" w:rsidR="006A4836" w:rsidRDefault="00000000" w:rsidP="00B84EA2">
      <w:pPr>
        <w:spacing w:line="240" w:lineRule="auto"/>
        <w:ind w:leftChars="1030" w:left="2268" w:hanging="2"/>
        <w:jc w:val="both"/>
        <w:rPr>
          <w:sz w:val="20"/>
          <w:szCs w:val="20"/>
        </w:rPr>
      </w:pPr>
      <w:r>
        <w:rPr>
          <w:sz w:val="20"/>
          <w:szCs w:val="20"/>
        </w:rPr>
        <w:t>Desnuda-se, na construção da identidade, um processo de dominação econômica e política que se move no sentido de desagregar o universo camponês negro. A historicidade de que se reveste tal universo, supõe a sutura entre relações sociais efetivas e possíveis formas de consciência do grupo social. Como processo, a condição étnica parte do real em direção ao universo simbólico e retorna à ação de forma reobjetivada (Gusmão, 1995, p. 18).</w:t>
      </w:r>
    </w:p>
    <w:p w14:paraId="51EA7D11" w14:textId="77777777" w:rsidR="006A4836" w:rsidRDefault="00000000" w:rsidP="00B84EA2">
      <w:pPr>
        <w:spacing w:line="360" w:lineRule="auto"/>
        <w:ind w:leftChars="0" w:left="0" w:firstLineChars="0" w:firstLine="720"/>
        <w:jc w:val="both"/>
        <w:rPr>
          <w:sz w:val="24"/>
          <w:szCs w:val="24"/>
        </w:rPr>
      </w:pPr>
      <w:r>
        <w:rPr>
          <w:sz w:val="24"/>
          <w:szCs w:val="24"/>
        </w:rPr>
        <w:t>Os espaços e os grupos hoje reconhecidos como “quilombos” emergem do amálgama entre identidade étnica e territórios prenhes de sentido, reivindicados diante de situações de conflito (Gusmão, 1995). Esses territórios não nascem a partir de quadros conflituosos, mas adquirem conteúdo político a partir das disputas em torno de sua apropriação.</w:t>
      </w:r>
    </w:p>
    <w:p w14:paraId="2BCCC61A" w14:textId="5B2E5174" w:rsidR="006A4836" w:rsidRDefault="00000000" w:rsidP="00B84EA2">
      <w:pPr>
        <w:spacing w:line="360" w:lineRule="auto"/>
        <w:ind w:leftChars="0" w:left="0" w:firstLineChars="0" w:firstLine="720"/>
        <w:jc w:val="both"/>
        <w:rPr>
          <w:sz w:val="24"/>
          <w:szCs w:val="24"/>
        </w:rPr>
      </w:pPr>
      <w:r>
        <w:rPr>
          <w:sz w:val="24"/>
          <w:szCs w:val="24"/>
        </w:rPr>
        <w:t>Marcelo Lopes de Souza (2020), discutindo conceitos que compõem o quadro da pesquisa socioespacial, propõe debate em torno do “território”. Sua análise reverbera no que se argumenta neste trabalho: território é um espaço definido a partir de relações de poder. Porém, o próprio autor aponta a insuficiência dessa aproximação, sob o risco de cair em uma reificação estéril sobre o conceito. No centro da exposição, argumenta-se que apesar de:</w:t>
      </w:r>
    </w:p>
    <w:p w14:paraId="69D88D83" w14:textId="77777777" w:rsidR="006A4836" w:rsidRDefault="00000000" w:rsidP="00B84EA2">
      <w:pPr>
        <w:spacing w:after="240" w:line="240" w:lineRule="auto"/>
        <w:ind w:leftChars="1030" w:left="2268" w:hanging="2"/>
        <w:jc w:val="both"/>
        <w:rPr>
          <w:sz w:val="20"/>
          <w:szCs w:val="20"/>
        </w:rPr>
      </w:pPr>
      <w:r>
        <w:rPr>
          <w:sz w:val="20"/>
          <w:szCs w:val="20"/>
        </w:rPr>
        <w:t>[...] O território corresponde a uma faceta do espaço social (ou, em outras palavras, a uma das formas de qualifica-lo), ele é, em si mesmo, intangível, assim como o próprio poder o é, por ser uma relação social (ou melhor, uma das dimensões das relações sociais). Se o poder é uma das dimensões das relações sociais, o território é a expressão espacial disso: uma relação social tornada espaço – mesmo que não de modo diretamente material, como ocorre com o substrato, ainda que o território dependa, de várias maneiras, deste último. (Souza, 2020, p. 97, 98).</w:t>
      </w:r>
    </w:p>
    <w:p w14:paraId="33B9D207" w14:textId="5F81594A" w:rsidR="006A4836" w:rsidRDefault="00000000" w:rsidP="00B84EA2">
      <w:pPr>
        <w:spacing w:before="240" w:line="360" w:lineRule="auto"/>
        <w:ind w:leftChars="0" w:left="0" w:firstLineChars="0" w:firstLine="720"/>
        <w:jc w:val="both"/>
        <w:rPr>
          <w:sz w:val="24"/>
          <w:szCs w:val="24"/>
        </w:rPr>
      </w:pPr>
      <w:r>
        <w:rPr>
          <w:sz w:val="24"/>
          <w:szCs w:val="24"/>
        </w:rPr>
        <w:t xml:space="preserve">Neste trabalho, fala-se de territórios que possuem um demarcador definido: a raça. Determinação incontornável para a análise, </w:t>
      </w:r>
      <w:r w:rsidR="00CF6ECA">
        <w:rPr>
          <w:sz w:val="24"/>
          <w:szCs w:val="24"/>
        </w:rPr>
        <w:t xml:space="preserve">com </w:t>
      </w:r>
      <w:r>
        <w:rPr>
          <w:sz w:val="24"/>
          <w:szCs w:val="24"/>
        </w:rPr>
        <w:t xml:space="preserve">a racialização da questão </w:t>
      </w:r>
      <w:r>
        <w:rPr>
          <w:sz w:val="24"/>
          <w:szCs w:val="24"/>
        </w:rPr>
        <w:lastRenderedPageBreak/>
        <w:t>territorial</w:t>
      </w:r>
      <w:r>
        <w:rPr>
          <w:sz w:val="24"/>
          <w:szCs w:val="24"/>
          <w:vertAlign w:val="superscript"/>
        </w:rPr>
        <w:footnoteReference w:id="7"/>
      </w:r>
      <w:r>
        <w:rPr>
          <w:sz w:val="24"/>
          <w:szCs w:val="24"/>
        </w:rPr>
        <w:t xml:space="preserve">, seja no espaço rural (Gusmão, 1995) ou urbano (Rolnik, 2009), </w:t>
      </w:r>
      <w:r w:rsidR="00B84EA2">
        <w:rPr>
          <w:sz w:val="24"/>
          <w:szCs w:val="24"/>
        </w:rPr>
        <w:t>observa-se</w:t>
      </w:r>
      <w:r>
        <w:rPr>
          <w:sz w:val="24"/>
          <w:szCs w:val="24"/>
        </w:rPr>
        <w:t xml:space="preserve"> a formação de territórios negros, espaços que marcam “não apenas uma história de exclusão, mas também de construção de singularidade e elaboração de um repertório comum” (op. cit., p. 76). </w:t>
      </w:r>
    </w:p>
    <w:p w14:paraId="7ABB1E8C" w14:textId="0B01AC1F" w:rsidR="006A4836" w:rsidRDefault="00000000" w:rsidP="00B84EA2">
      <w:pPr>
        <w:spacing w:line="360" w:lineRule="auto"/>
        <w:ind w:leftChars="0" w:left="0" w:firstLineChars="0" w:firstLine="720"/>
        <w:jc w:val="both"/>
        <w:rPr>
          <w:sz w:val="24"/>
          <w:szCs w:val="24"/>
        </w:rPr>
      </w:pPr>
      <w:r>
        <w:rPr>
          <w:sz w:val="24"/>
          <w:szCs w:val="24"/>
        </w:rPr>
        <w:t>O salto qualitativo na organização sociopolítica de Rio da Prata e Baía Formosa em suas lutas coletivas</w:t>
      </w:r>
      <w:r w:rsidR="00CF6ECA">
        <w:rPr>
          <w:sz w:val="24"/>
          <w:szCs w:val="24"/>
        </w:rPr>
        <w:t xml:space="preserve"> por reconhecimento</w:t>
      </w:r>
      <w:r>
        <w:rPr>
          <w:sz w:val="24"/>
          <w:szCs w:val="24"/>
        </w:rPr>
        <w:t xml:space="preserve"> e efetivação de seus direitos territoriais e culturais se dá no momento em que passam a aquilombar seus territórios negros, tornando suas unidades afetivas em unidades políticas (Almeida, 2008). </w:t>
      </w:r>
    </w:p>
    <w:p w14:paraId="778FD00D" w14:textId="77777777" w:rsidR="006A4836" w:rsidRDefault="00000000" w:rsidP="00B84EA2">
      <w:pPr>
        <w:spacing w:line="360" w:lineRule="auto"/>
        <w:ind w:leftChars="0" w:left="0" w:firstLineChars="0" w:firstLine="720"/>
        <w:jc w:val="both"/>
        <w:rPr>
          <w:sz w:val="24"/>
          <w:szCs w:val="24"/>
        </w:rPr>
      </w:pPr>
      <w:r>
        <w:rPr>
          <w:sz w:val="24"/>
          <w:szCs w:val="24"/>
        </w:rPr>
        <w:t xml:space="preserve">Em diálogo com Leite (2016), pode-se compreender o aquilombamento de territórios negros em quatro dimensões distintas, indissociáveis e complementares, que englobam o território, mas a ele extrapolam. Em primeiro lugar, o quilombo enquanto sujeito, o quilombola, que de sua experiência “em uma região extraordinariamente estéril e árida” (Fanon, 2008, p. 26), inaugura um novo momento de si, reconhecendo-se enquanto sujeito em seu próprio processo, individual, mas sobretudo coletivo.  </w:t>
      </w:r>
    </w:p>
    <w:p w14:paraId="632D71D7" w14:textId="77777777" w:rsidR="006A4836" w:rsidRDefault="00000000" w:rsidP="00B84EA2">
      <w:pPr>
        <w:spacing w:line="360" w:lineRule="auto"/>
        <w:ind w:leftChars="0" w:left="0" w:firstLineChars="0" w:firstLine="720"/>
        <w:jc w:val="both"/>
        <w:rPr>
          <w:sz w:val="24"/>
          <w:szCs w:val="24"/>
        </w:rPr>
      </w:pPr>
      <w:r>
        <w:rPr>
          <w:sz w:val="24"/>
          <w:szCs w:val="24"/>
        </w:rPr>
        <w:t xml:space="preserve">Na sequência, o quilombo território, amplamente discutido neste trabalho, a produção de um espaço vivido, a “possibilidade de conceber, em diversas etapas, a invenção compartilhada de uma humanidade possível” (Leite, 2016, p. 298). O quilombo patrimônio cultural, que ressignifica passado e presente, reivindicando sua contribuição na formação sociocultural brasileira e delineando experiências sensíveis de sonoridades, cores e sabores nas práticas </w:t>
      </w:r>
      <w:proofErr w:type="gramStart"/>
      <w:r>
        <w:rPr>
          <w:sz w:val="24"/>
          <w:szCs w:val="24"/>
        </w:rPr>
        <w:t>quilombolas contemporâneas</w:t>
      </w:r>
      <w:proofErr w:type="gramEnd"/>
      <w:r>
        <w:rPr>
          <w:sz w:val="24"/>
          <w:szCs w:val="24"/>
        </w:rPr>
        <w:t>.</w:t>
      </w:r>
    </w:p>
    <w:p w14:paraId="61752D54" w14:textId="77777777" w:rsidR="006A4836" w:rsidRDefault="00000000" w:rsidP="00B94BA2">
      <w:pPr>
        <w:spacing w:after="240" w:line="360" w:lineRule="auto"/>
        <w:ind w:leftChars="0" w:left="0" w:firstLineChars="0" w:firstLine="720"/>
        <w:jc w:val="both"/>
        <w:rPr>
          <w:sz w:val="24"/>
          <w:szCs w:val="24"/>
        </w:rPr>
      </w:pPr>
      <w:r>
        <w:rPr>
          <w:sz w:val="24"/>
          <w:szCs w:val="24"/>
        </w:rPr>
        <w:t xml:space="preserve">E por último, o quilombo enquanto projeto de um futuro ancestral, que pensa a concretização da cidadania negra a partir da superação das estruturas de dominação, demandando um projeto outro de nação a partir da contribuição do quilombo como </w:t>
      </w:r>
      <w:r>
        <w:rPr>
          <w:sz w:val="24"/>
          <w:szCs w:val="24"/>
        </w:rPr>
        <w:lastRenderedPageBreak/>
        <w:t xml:space="preserve">utopia e metáfora, mas também programa político-ideológico capaz de se contrapor à mercantilização da vida humana em suas diversas formas. </w:t>
      </w:r>
    </w:p>
    <w:p w14:paraId="6758E2C1" w14:textId="77777777" w:rsidR="006A4836" w:rsidRDefault="00000000">
      <w:pPr>
        <w:spacing w:line="360" w:lineRule="auto"/>
        <w:ind w:left="0" w:hanging="2"/>
        <w:jc w:val="both"/>
        <w:rPr>
          <w:b/>
          <w:sz w:val="24"/>
          <w:szCs w:val="24"/>
        </w:rPr>
      </w:pPr>
      <w:r>
        <w:rPr>
          <w:b/>
          <w:sz w:val="24"/>
          <w:szCs w:val="24"/>
        </w:rPr>
        <w:t>5</w:t>
      </w:r>
      <w:r>
        <w:rPr>
          <w:b/>
          <w:sz w:val="24"/>
          <w:szCs w:val="24"/>
        </w:rPr>
        <w:tab/>
        <w:t xml:space="preserve">CONSIDERAÇÕES FINAIS </w:t>
      </w:r>
    </w:p>
    <w:p w14:paraId="57FFEDE3" w14:textId="77777777" w:rsidR="006A4836" w:rsidRDefault="00000000" w:rsidP="00B84EA2">
      <w:pPr>
        <w:spacing w:line="360" w:lineRule="auto"/>
        <w:ind w:leftChars="0" w:left="0" w:firstLineChars="0" w:firstLine="720"/>
        <w:jc w:val="both"/>
        <w:rPr>
          <w:sz w:val="24"/>
          <w:szCs w:val="24"/>
        </w:rPr>
      </w:pPr>
      <w:r>
        <w:rPr>
          <w:sz w:val="24"/>
          <w:szCs w:val="24"/>
        </w:rPr>
        <w:t>Este estudo teve como objetivo central comparar as experiências de aquilombamento dos territórios negros das comunidades de Rio da Prata (MA) e Baía Formosa (RJ). Além de destacar as singularidades de cada experiência, nossa investigação procurou, sobretudo, aprofundar a análise da condição atual dos quilombos brasileiros</w:t>
      </w:r>
      <w:r>
        <w:rPr>
          <w:b/>
          <w:sz w:val="24"/>
          <w:szCs w:val="24"/>
        </w:rPr>
        <w:t xml:space="preserve"> </w:t>
      </w:r>
      <w:r>
        <w:rPr>
          <w:sz w:val="24"/>
          <w:szCs w:val="24"/>
        </w:rPr>
        <w:t>e</w:t>
      </w:r>
      <w:r>
        <w:rPr>
          <w:b/>
          <w:sz w:val="24"/>
          <w:szCs w:val="24"/>
        </w:rPr>
        <w:t xml:space="preserve"> </w:t>
      </w:r>
      <w:r>
        <w:rPr>
          <w:sz w:val="24"/>
          <w:szCs w:val="24"/>
        </w:rPr>
        <w:t xml:space="preserve">demonstrar que o reconhecimento institucional dessas comunidades, garantido pela Constituição e pelo Decreto 4.887/2003, fundamenta-se no autorreconhecimento étnico e nas territorialidades construídas pela resistência histórica. </w:t>
      </w:r>
    </w:p>
    <w:p w14:paraId="10560D43" w14:textId="6FCBA662" w:rsidR="006A4836" w:rsidRDefault="00000000" w:rsidP="00B84EA2">
      <w:pPr>
        <w:spacing w:after="240" w:line="360" w:lineRule="auto"/>
        <w:ind w:leftChars="0" w:left="0" w:firstLineChars="0" w:firstLine="720"/>
        <w:jc w:val="both"/>
        <w:rPr>
          <w:sz w:val="24"/>
          <w:szCs w:val="24"/>
        </w:rPr>
      </w:pPr>
      <w:r>
        <w:rPr>
          <w:sz w:val="24"/>
          <w:szCs w:val="24"/>
        </w:rPr>
        <w:t>Ao longo deste trabalho, buscou-se reivindicar lugar na tradição de reflexão crítica sobre quilombos. Superando, ou ao menos problematizando as desigualdades regionais, propusemos uma síntese criativa de saberes e experiências do Nordeste e Sudeste brasileiro, partindo dos conflitos fundiários que esses grupos sociais específicos enfrentam e os desafios que se impõem para a efetivação de seus direitos. Evidenciou-se que a territorialidade é forjada na mistura entre a identidade e resistência que emerge politicamente em situações de conflito frente à exploração do capital. Ao discutir a complexidade do "território" como expressão espacial de relações de poder, e o "aquilombamento" como a transformação de unidades afetivas em políticas, este trabalho ressalta as quatro dimensões indissociáveis do quilombo: sujeito, território, patrimônio cultural e projeto de um futuro ancestral. Assim, as lutas de Rio da Prata (MA) e Baía Formosa (RJ) não apenas reconfiguram o passado e o presente, mas também apontam para um projeto de nação que clama pela superação das estruturas de dominação e pela efetivação plena da cidadania negra.</w:t>
      </w:r>
    </w:p>
    <w:p w14:paraId="671E0ACC" w14:textId="06D731C5" w:rsidR="00AB3347" w:rsidRDefault="00AB3347" w:rsidP="00B84EA2">
      <w:pPr>
        <w:spacing w:after="240" w:line="360" w:lineRule="auto"/>
        <w:ind w:leftChars="0" w:left="0" w:firstLineChars="0" w:firstLine="720"/>
        <w:jc w:val="both"/>
        <w:rPr>
          <w:sz w:val="24"/>
          <w:szCs w:val="24"/>
        </w:rPr>
      </w:pPr>
    </w:p>
    <w:p w14:paraId="089D188E" w14:textId="77777777" w:rsidR="00BD5B2D" w:rsidRDefault="00BD5B2D" w:rsidP="00B84EA2">
      <w:pPr>
        <w:spacing w:after="240" w:line="360" w:lineRule="auto"/>
        <w:ind w:leftChars="0" w:left="0" w:firstLineChars="0" w:firstLine="720"/>
        <w:jc w:val="both"/>
        <w:rPr>
          <w:sz w:val="24"/>
          <w:szCs w:val="24"/>
        </w:rPr>
      </w:pPr>
    </w:p>
    <w:p w14:paraId="5047771D" w14:textId="77777777" w:rsidR="006A4836" w:rsidRDefault="00000000" w:rsidP="000009D8">
      <w:pPr>
        <w:spacing w:line="240" w:lineRule="auto"/>
        <w:ind w:left="0" w:hanging="2"/>
        <w:jc w:val="both"/>
        <w:rPr>
          <w:sz w:val="24"/>
          <w:szCs w:val="24"/>
        </w:rPr>
      </w:pPr>
      <w:r>
        <w:rPr>
          <w:b/>
          <w:sz w:val="24"/>
          <w:szCs w:val="24"/>
        </w:rPr>
        <w:lastRenderedPageBreak/>
        <w:t>6</w:t>
      </w:r>
      <w:r>
        <w:rPr>
          <w:b/>
          <w:sz w:val="24"/>
          <w:szCs w:val="24"/>
        </w:rPr>
        <w:tab/>
        <w:t>REFERÊNCIAS</w:t>
      </w:r>
    </w:p>
    <w:p w14:paraId="60B18114"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ALMEIDA, Alfredo Wagner </w:t>
      </w:r>
      <w:proofErr w:type="spellStart"/>
      <w:r>
        <w:rPr>
          <w:sz w:val="24"/>
          <w:szCs w:val="24"/>
        </w:rPr>
        <w:t>Berno</w:t>
      </w:r>
      <w:proofErr w:type="spellEnd"/>
      <w:r>
        <w:rPr>
          <w:sz w:val="24"/>
          <w:szCs w:val="24"/>
        </w:rPr>
        <w:t xml:space="preserve">. Os quilombos e as novas etnias. </w:t>
      </w:r>
      <w:r w:rsidRPr="002F6272">
        <w:rPr>
          <w:sz w:val="24"/>
          <w:szCs w:val="24"/>
          <w:lang w:val="en-US"/>
        </w:rPr>
        <w:t xml:space="preserve">In: O’DWYER, Eliane Cantarino (Org.). </w:t>
      </w:r>
      <w:r>
        <w:rPr>
          <w:sz w:val="24"/>
          <w:szCs w:val="24"/>
        </w:rPr>
        <w:t>Quilombos: Identidade étnica e territorialidade. Rio de Janeiro: Editora FGV. 2002. P. 43-82.</w:t>
      </w:r>
    </w:p>
    <w:p w14:paraId="14B1CB89"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ALMEIDA, Alfredo Wagner </w:t>
      </w:r>
      <w:proofErr w:type="spellStart"/>
      <w:r>
        <w:rPr>
          <w:sz w:val="24"/>
          <w:szCs w:val="24"/>
        </w:rPr>
        <w:t>Berno</w:t>
      </w:r>
      <w:proofErr w:type="spellEnd"/>
      <w:r>
        <w:rPr>
          <w:sz w:val="24"/>
          <w:szCs w:val="24"/>
        </w:rPr>
        <w:t xml:space="preserve"> de. Terras de quilombos, terras indígenas, “babaçuais livres”, “castanhais do povo”, faxinais e fundos de pasto: Terras tradicionalmente ocupadas. 2ª Ed. Manaus: PGSCA-UFAM, 2008. P. 25-132</w:t>
      </w:r>
    </w:p>
    <w:p w14:paraId="03DA167F"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ARRUTI, José Maurício. Entre campo e cidade: quilombos, hibridismos conceituais e vetores de urbanização. In: OLIVEIRA, Osvaldo Martins de (Org.). </w:t>
      </w:r>
      <w:r>
        <w:rPr>
          <w:b/>
          <w:sz w:val="24"/>
          <w:szCs w:val="24"/>
        </w:rPr>
        <w:t>Direitos Quilombolas &amp; Dever de Estado em 25 Anos de Constituição Federal de 1988</w:t>
      </w:r>
      <w:r>
        <w:rPr>
          <w:sz w:val="24"/>
          <w:szCs w:val="24"/>
        </w:rPr>
        <w:t>. Rio de Janeiro: Associação Brasileira de Antropologia. 2016. P. 241-254</w:t>
      </w:r>
    </w:p>
    <w:p w14:paraId="609DC3CD"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BAGU, Sérgio. </w:t>
      </w:r>
      <w:r>
        <w:rPr>
          <w:b/>
          <w:sz w:val="24"/>
          <w:szCs w:val="24"/>
        </w:rPr>
        <w:t xml:space="preserve">Economia de </w:t>
      </w:r>
      <w:proofErr w:type="spellStart"/>
      <w:r>
        <w:rPr>
          <w:b/>
          <w:sz w:val="24"/>
          <w:szCs w:val="24"/>
        </w:rPr>
        <w:t>la</w:t>
      </w:r>
      <w:proofErr w:type="spellEnd"/>
      <w:r>
        <w:rPr>
          <w:b/>
          <w:sz w:val="24"/>
          <w:szCs w:val="24"/>
        </w:rPr>
        <w:t xml:space="preserve"> Sociedade Colonial</w:t>
      </w:r>
      <w:r>
        <w:rPr>
          <w:sz w:val="24"/>
          <w:szCs w:val="24"/>
        </w:rPr>
        <w:t xml:space="preserve">: </w:t>
      </w:r>
      <w:proofErr w:type="spellStart"/>
      <w:r>
        <w:rPr>
          <w:sz w:val="24"/>
          <w:szCs w:val="24"/>
        </w:rPr>
        <w:t>Ensayo</w:t>
      </w:r>
      <w:proofErr w:type="spellEnd"/>
      <w:r>
        <w:rPr>
          <w:sz w:val="24"/>
          <w:szCs w:val="24"/>
        </w:rPr>
        <w:t xml:space="preserve"> de </w:t>
      </w:r>
      <w:proofErr w:type="spellStart"/>
      <w:proofErr w:type="gramStart"/>
      <w:r>
        <w:rPr>
          <w:sz w:val="24"/>
          <w:szCs w:val="24"/>
        </w:rPr>
        <w:t>historia</w:t>
      </w:r>
      <w:proofErr w:type="spellEnd"/>
      <w:proofErr w:type="gramEnd"/>
      <w:r>
        <w:rPr>
          <w:sz w:val="24"/>
          <w:szCs w:val="24"/>
        </w:rPr>
        <w:t xml:space="preserve"> comparada de </w:t>
      </w:r>
      <w:proofErr w:type="spellStart"/>
      <w:r>
        <w:rPr>
          <w:sz w:val="24"/>
          <w:szCs w:val="24"/>
        </w:rPr>
        <w:t>America</w:t>
      </w:r>
      <w:proofErr w:type="spellEnd"/>
      <w:r>
        <w:rPr>
          <w:sz w:val="24"/>
          <w:szCs w:val="24"/>
        </w:rPr>
        <w:t xml:space="preserve"> Latina. Buenos Aires: Gráficas </w:t>
      </w:r>
      <w:proofErr w:type="spellStart"/>
      <w:r>
        <w:rPr>
          <w:sz w:val="24"/>
          <w:szCs w:val="24"/>
        </w:rPr>
        <w:t>Bartolomé</w:t>
      </w:r>
      <w:proofErr w:type="spellEnd"/>
      <w:r>
        <w:rPr>
          <w:sz w:val="24"/>
          <w:szCs w:val="24"/>
        </w:rPr>
        <w:t>, 1949.</w:t>
      </w:r>
    </w:p>
    <w:p w14:paraId="1F6D7C1F" w14:textId="77777777" w:rsidR="006A4836" w:rsidRDefault="00000000" w:rsidP="000009D8">
      <w:pPr>
        <w:spacing w:beforeLines="100" w:before="240" w:afterLines="100" w:after="240" w:line="240" w:lineRule="auto"/>
        <w:ind w:left="0" w:hanging="2"/>
        <w:jc w:val="both"/>
        <w:rPr>
          <w:sz w:val="24"/>
          <w:szCs w:val="24"/>
        </w:rPr>
      </w:pPr>
      <w:r>
        <w:rPr>
          <w:sz w:val="24"/>
          <w:szCs w:val="24"/>
        </w:rPr>
        <w:t>BANDEIRA, Maria de Lourdes. Terras negras: invisibilidade expropriadora. In: LEITE, Ilka Boaventura (Org.). Terras e Territórios de Negros no Brasil. Textos e Debates - Publicação do Núcleo de Estudos sobre Identidade e Relações Interétnicas - UFSC, ano I, nº 2, 1991; P. 7-24.</w:t>
      </w:r>
    </w:p>
    <w:p w14:paraId="463F7346"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BRASIL. Constituição (1988). Constituição da República Federativa do Brasil. Diário Oficial da União, Brasília, DF, 05 de out. de 1988. Seção 1, p. 1. </w:t>
      </w:r>
    </w:p>
    <w:p w14:paraId="0B361F3F" w14:textId="77777777" w:rsidR="006A4836" w:rsidRPr="00B076FB" w:rsidRDefault="00000000" w:rsidP="000009D8">
      <w:pPr>
        <w:spacing w:beforeLines="100" w:before="240" w:afterLines="100" w:after="240" w:line="240" w:lineRule="auto"/>
        <w:ind w:left="0" w:hanging="2"/>
        <w:jc w:val="both"/>
        <w:rPr>
          <w:sz w:val="23"/>
          <w:szCs w:val="23"/>
        </w:rPr>
      </w:pPr>
      <w:r w:rsidRPr="00B076FB">
        <w:rPr>
          <w:sz w:val="23"/>
          <w:szCs w:val="23"/>
        </w:rPr>
        <w:t xml:space="preserve">BRASIL. Decreto Federal nº 4.887, de 20 de novembro de 2003. Regulamenta o procedimento para identificação, reconhecimento, delimitação, demarcação e titulação das terras ocupadas por remanescentes das comunidades dos quilombos de que trata o art. 68 do Ato das Disposições Constitucionais Transitórias. Diário Oficial da União, Brasília, DF, 21 de novembro de 2003. </w:t>
      </w:r>
    </w:p>
    <w:p w14:paraId="36596D0F"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COSTA, Yuri Michael Pereira. Sociedade e escravidão no Maranhão do século XIX. </w:t>
      </w:r>
      <w:r>
        <w:rPr>
          <w:b/>
          <w:sz w:val="24"/>
          <w:szCs w:val="24"/>
        </w:rPr>
        <w:t xml:space="preserve">Revista Brasileira de História &amp; Ciências Sociais – </w:t>
      </w:r>
      <w:proofErr w:type="gramStart"/>
      <w:r>
        <w:rPr>
          <w:b/>
          <w:sz w:val="24"/>
          <w:szCs w:val="24"/>
        </w:rPr>
        <w:t xml:space="preserve">RBHCS </w:t>
      </w:r>
      <w:r>
        <w:rPr>
          <w:sz w:val="24"/>
          <w:szCs w:val="24"/>
        </w:rPr>
        <w:t>,</w:t>
      </w:r>
      <w:proofErr w:type="gramEnd"/>
      <w:r>
        <w:rPr>
          <w:sz w:val="24"/>
          <w:szCs w:val="24"/>
        </w:rPr>
        <w:t xml:space="preserve"> v. 10, n. 20, p. 23 , jul./dez. 2018.</w:t>
      </w:r>
    </w:p>
    <w:p w14:paraId="1FB9A2A1"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FANON, Frantz. Pele negra, máscaras brancas. Salvador: EDUFBA, 2008. </w:t>
      </w:r>
    </w:p>
    <w:p w14:paraId="46FBB7D4" w14:textId="77777777" w:rsidR="006A4836" w:rsidRDefault="00000000" w:rsidP="000009D8">
      <w:pPr>
        <w:spacing w:beforeLines="100" w:before="240" w:afterLines="100" w:after="240" w:line="240" w:lineRule="auto"/>
        <w:ind w:left="0" w:hanging="2"/>
        <w:jc w:val="both"/>
        <w:rPr>
          <w:sz w:val="24"/>
          <w:szCs w:val="24"/>
        </w:rPr>
      </w:pPr>
      <w:r>
        <w:rPr>
          <w:sz w:val="24"/>
          <w:szCs w:val="24"/>
        </w:rPr>
        <w:t>GUSMÃO, Neusa Maria de. Terra de pretos, terra de mulheres: Terra, mulher e raça num bairro rural negro. Brasília: MINC/Fundação Cultural Palmares. 1995.</w:t>
      </w:r>
    </w:p>
    <w:p w14:paraId="41C80CAB"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INSTITUTO BRASILEIRO DE GEOGRAFIA E ESTATÍSTICA (IBGE). </w:t>
      </w:r>
      <w:r>
        <w:rPr>
          <w:b/>
          <w:sz w:val="24"/>
          <w:szCs w:val="24"/>
        </w:rPr>
        <w:t>Cidades e Estados</w:t>
      </w:r>
      <w:r>
        <w:rPr>
          <w:sz w:val="24"/>
          <w:szCs w:val="24"/>
        </w:rPr>
        <w:t>: Peri Mirim. Disponível em:</w:t>
      </w:r>
      <w:hyperlink r:id="rId8">
        <w:r>
          <w:rPr>
            <w:sz w:val="24"/>
            <w:szCs w:val="24"/>
          </w:rPr>
          <w:t xml:space="preserve"> </w:t>
        </w:r>
      </w:hyperlink>
      <w:hyperlink r:id="rId9">
        <w:r>
          <w:rPr>
            <w:color w:val="1155CC"/>
            <w:sz w:val="24"/>
            <w:szCs w:val="24"/>
            <w:u w:val="single"/>
          </w:rPr>
          <w:t>https://www.ibge.gov.br/cidades-e-estados/ma/peri-mirim/panorama.html</w:t>
        </w:r>
      </w:hyperlink>
      <w:r>
        <w:rPr>
          <w:sz w:val="24"/>
          <w:szCs w:val="24"/>
        </w:rPr>
        <w:t xml:space="preserve">. Acesso em: 26 </w:t>
      </w:r>
      <w:proofErr w:type="spellStart"/>
      <w:r>
        <w:rPr>
          <w:sz w:val="24"/>
          <w:szCs w:val="24"/>
        </w:rPr>
        <w:t>mai</w:t>
      </w:r>
      <w:proofErr w:type="spellEnd"/>
      <w:r>
        <w:rPr>
          <w:sz w:val="24"/>
          <w:szCs w:val="24"/>
        </w:rPr>
        <w:t xml:space="preserve"> .2025.</w:t>
      </w:r>
    </w:p>
    <w:p w14:paraId="329ACEFE" w14:textId="77777777" w:rsidR="006A4836" w:rsidRPr="00AB3347" w:rsidRDefault="00000000" w:rsidP="000009D8">
      <w:pPr>
        <w:spacing w:beforeLines="100" w:before="240" w:afterLines="100" w:after="240" w:line="240" w:lineRule="auto"/>
        <w:ind w:left="0" w:hanging="2"/>
        <w:jc w:val="both"/>
        <w:rPr>
          <w:sz w:val="23"/>
          <w:szCs w:val="23"/>
        </w:rPr>
      </w:pPr>
      <w:r w:rsidRPr="00AB3347">
        <w:rPr>
          <w:sz w:val="23"/>
          <w:szCs w:val="23"/>
        </w:rPr>
        <w:lastRenderedPageBreak/>
        <w:t>LEITE, Ilka Boaventura. Diásporas africanas e direitos territoriais: as várias dimensões do quilombo no Brasil. In: OLIVEIRA, Osvaldo Martins de (Org.). Direitos Quilombolas &amp; Dever de Estado em 25 Anos de Constituição Federal de 1988. Rio de Janeiro: Associação Brasileira de Antropologia. 2016. P. 289-304</w:t>
      </w:r>
    </w:p>
    <w:p w14:paraId="4252B131"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MOTA, </w:t>
      </w:r>
      <w:proofErr w:type="spellStart"/>
      <w:r>
        <w:rPr>
          <w:sz w:val="24"/>
          <w:szCs w:val="24"/>
        </w:rPr>
        <w:t>Antonia</w:t>
      </w:r>
      <w:proofErr w:type="spellEnd"/>
      <w:r>
        <w:rPr>
          <w:sz w:val="24"/>
          <w:szCs w:val="24"/>
        </w:rPr>
        <w:t xml:space="preserve"> da Silva; BARROSO, Daniel Souza. Economia e demografia da escravidão no Maranhão e no Grão-Pará: uma análise comparativa da estrutura da posse de cativos (1785-1850). rev. hist. (São Paulo), n. 176, a07815, 2017.</w:t>
      </w:r>
    </w:p>
    <w:p w14:paraId="7964768B" w14:textId="77777777" w:rsidR="006A4836" w:rsidRDefault="00000000" w:rsidP="000009D8">
      <w:pPr>
        <w:spacing w:beforeLines="100" w:before="240" w:afterLines="100" w:after="240" w:line="240" w:lineRule="auto"/>
        <w:ind w:left="0" w:hanging="2"/>
        <w:jc w:val="both"/>
        <w:rPr>
          <w:sz w:val="24"/>
          <w:szCs w:val="24"/>
        </w:rPr>
      </w:pPr>
      <w:r>
        <w:rPr>
          <w:sz w:val="24"/>
          <w:szCs w:val="24"/>
        </w:rPr>
        <w:t>MOURA, Clóvis.</w:t>
      </w:r>
      <w:r>
        <w:rPr>
          <w:b/>
          <w:sz w:val="24"/>
          <w:szCs w:val="24"/>
        </w:rPr>
        <w:t xml:space="preserve"> Rebeliões da Senzala</w:t>
      </w:r>
      <w:r>
        <w:rPr>
          <w:sz w:val="24"/>
          <w:szCs w:val="24"/>
        </w:rPr>
        <w:t xml:space="preserve">. 3ª ed. “A questão social no Brasil 6”, São Paulo, 1981. </w:t>
      </w:r>
    </w:p>
    <w:p w14:paraId="1E24B938"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MOURA, Clóvis. </w:t>
      </w:r>
      <w:r>
        <w:rPr>
          <w:b/>
          <w:sz w:val="24"/>
          <w:szCs w:val="24"/>
        </w:rPr>
        <w:t>Sociologia do negro brasileiro</w:t>
      </w:r>
      <w:r>
        <w:rPr>
          <w:sz w:val="24"/>
          <w:szCs w:val="24"/>
        </w:rPr>
        <w:t>. São Paulo: Perspectiva, 2019.</w:t>
      </w:r>
    </w:p>
    <w:p w14:paraId="01E2639A"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NASCIMENTO, Maria Beatriz do. O conceito de Quilombo e a resistência cultural negra. In: RATTS, Alex. </w:t>
      </w:r>
      <w:r>
        <w:rPr>
          <w:b/>
          <w:sz w:val="24"/>
          <w:szCs w:val="24"/>
        </w:rPr>
        <w:t>Eu sou atlântica</w:t>
      </w:r>
      <w:r>
        <w:rPr>
          <w:sz w:val="24"/>
          <w:szCs w:val="24"/>
        </w:rPr>
        <w:t xml:space="preserve"> – Sobre a trajetória de vida de Beatriz Nascimento. Instituto </w:t>
      </w:r>
      <w:proofErr w:type="spellStart"/>
      <w:r>
        <w:rPr>
          <w:sz w:val="24"/>
          <w:szCs w:val="24"/>
        </w:rPr>
        <w:t>Kuanza</w:t>
      </w:r>
      <w:proofErr w:type="spellEnd"/>
      <w:r>
        <w:rPr>
          <w:sz w:val="24"/>
          <w:szCs w:val="24"/>
        </w:rPr>
        <w:t>, São Paulo. 2006. P. 117- 125</w:t>
      </w:r>
    </w:p>
    <w:p w14:paraId="4185A685"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O’DWYER, Eliane </w:t>
      </w:r>
      <w:proofErr w:type="spellStart"/>
      <w:r>
        <w:rPr>
          <w:sz w:val="24"/>
          <w:szCs w:val="24"/>
        </w:rPr>
        <w:t>Cantarino</w:t>
      </w:r>
      <w:proofErr w:type="spellEnd"/>
      <w:r>
        <w:rPr>
          <w:sz w:val="24"/>
          <w:szCs w:val="24"/>
        </w:rPr>
        <w:t xml:space="preserve">. Os quilombos e a prática profissional dos antropólogos. In: O’DWYER, Eliane </w:t>
      </w:r>
      <w:proofErr w:type="spellStart"/>
      <w:r>
        <w:rPr>
          <w:sz w:val="24"/>
          <w:szCs w:val="24"/>
        </w:rPr>
        <w:t>Cantarino</w:t>
      </w:r>
      <w:proofErr w:type="spellEnd"/>
      <w:r>
        <w:rPr>
          <w:sz w:val="24"/>
          <w:szCs w:val="24"/>
        </w:rPr>
        <w:t xml:space="preserve"> (Org.). Quilombos: identidade étnica e territorialidade. Rio de Janeiro: Editora FGV, 2002. P. 13-42. </w:t>
      </w:r>
    </w:p>
    <w:p w14:paraId="3F522059"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REDE OBSERVAÇÃO. Quilombo de Baía Formosa conquista água e luz. In: </w:t>
      </w:r>
      <w:r>
        <w:rPr>
          <w:b/>
          <w:sz w:val="24"/>
          <w:szCs w:val="24"/>
        </w:rPr>
        <w:t>PEA Rede Observação</w:t>
      </w:r>
      <w:r>
        <w:rPr>
          <w:sz w:val="24"/>
          <w:szCs w:val="24"/>
        </w:rPr>
        <w:t>. Disponível em: &lt;https://www.pearedeobservacao.com/noticias/Quilombo%20de%20Baia%20Formosa%20conquista%20%C3%A1gua%20e%20luz&gt;.  Acesso em junho de 2025.</w:t>
      </w:r>
    </w:p>
    <w:p w14:paraId="4CAFBC9D" w14:textId="77777777" w:rsidR="006A4836" w:rsidRPr="00B076FB" w:rsidRDefault="00000000" w:rsidP="000009D8">
      <w:pPr>
        <w:spacing w:beforeLines="100" w:before="240" w:afterLines="100" w:after="240" w:line="240" w:lineRule="auto"/>
        <w:ind w:left="0" w:hanging="2"/>
        <w:jc w:val="both"/>
        <w:rPr>
          <w:sz w:val="23"/>
          <w:szCs w:val="23"/>
        </w:rPr>
      </w:pPr>
      <w:r w:rsidRPr="00B076FB">
        <w:rPr>
          <w:sz w:val="23"/>
          <w:szCs w:val="23"/>
        </w:rPr>
        <w:t>ROLNIK, Raquel. Territórios negros nas cidades brasileiras: etnicidade e cidade em São Paulo e Rio de Janeiro. In: SANTOS, Renato Emerson dos (Org.). Diversidade, espaço e relações étnico-raciais: o negro na geografia do Brasil. 3ª Ed. Belo Horizonte: Editora Gutenberg. 2009. P. 75-90.</w:t>
      </w:r>
    </w:p>
    <w:p w14:paraId="0CE3BB6A"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SOARES, Patrick Almeida. </w:t>
      </w:r>
      <w:r>
        <w:rPr>
          <w:b/>
          <w:sz w:val="24"/>
          <w:szCs w:val="24"/>
        </w:rPr>
        <w:t>Território Quilombola</w:t>
      </w:r>
      <w:r>
        <w:rPr>
          <w:sz w:val="24"/>
          <w:szCs w:val="24"/>
        </w:rPr>
        <w:t xml:space="preserve">: Formas de r-existência territorial da comunidade de remanescentes do quilombo de Baía Formosa. [Dissertação de Mestrado] Rio de Janeiro: </w:t>
      </w:r>
      <w:proofErr w:type="gramStart"/>
      <w:r>
        <w:rPr>
          <w:sz w:val="24"/>
          <w:szCs w:val="24"/>
        </w:rPr>
        <w:t>Departamento  de</w:t>
      </w:r>
      <w:proofErr w:type="gramEnd"/>
      <w:r>
        <w:rPr>
          <w:sz w:val="24"/>
          <w:szCs w:val="24"/>
        </w:rPr>
        <w:t xml:space="preserve">  Serviço  Social  -  Pontifícia  Universidade  Católica  do  Rio  de  Janeiro, 2021, 122p.</w:t>
      </w:r>
    </w:p>
    <w:p w14:paraId="179985F6" w14:textId="77777777" w:rsidR="006A4836" w:rsidRPr="00B076FB" w:rsidRDefault="00000000" w:rsidP="000009D8">
      <w:pPr>
        <w:spacing w:beforeLines="100" w:before="240" w:afterLines="100" w:after="240" w:line="240" w:lineRule="auto"/>
        <w:ind w:left="0" w:hanging="2"/>
        <w:jc w:val="both"/>
        <w:rPr>
          <w:sz w:val="23"/>
          <w:szCs w:val="23"/>
        </w:rPr>
      </w:pPr>
      <w:r w:rsidRPr="00B076FB">
        <w:rPr>
          <w:sz w:val="23"/>
          <w:szCs w:val="23"/>
        </w:rPr>
        <w:t xml:space="preserve">SOARES, Patrick Almeida. Comunidade Quilombola de Baía Formosa: Desmistificando a narrativa da “doação de terras”. In: </w:t>
      </w:r>
      <w:r w:rsidRPr="00B076FB">
        <w:rPr>
          <w:b/>
          <w:sz w:val="23"/>
          <w:szCs w:val="23"/>
        </w:rPr>
        <w:t>Prensa de Babel</w:t>
      </w:r>
      <w:r w:rsidRPr="00B076FB">
        <w:rPr>
          <w:sz w:val="23"/>
          <w:szCs w:val="23"/>
        </w:rPr>
        <w:t>, 2022. Disponível em: &lt;https://prensadebabel.com.br/opiniao-comunidade-quilombola-de-baia-formosa-desmistificando-a-narrativa-da-doacao-de-terras/&gt;. Acesso em maio de 2025.</w:t>
      </w:r>
    </w:p>
    <w:p w14:paraId="77B4E789" w14:textId="77777777" w:rsidR="006A4836" w:rsidRDefault="00000000" w:rsidP="000009D8">
      <w:pPr>
        <w:spacing w:beforeLines="100" w:before="240" w:afterLines="100" w:after="240" w:line="240" w:lineRule="auto"/>
        <w:ind w:left="0" w:hanging="2"/>
        <w:jc w:val="both"/>
        <w:rPr>
          <w:sz w:val="24"/>
          <w:szCs w:val="24"/>
        </w:rPr>
      </w:pPr>
      <w:r>
        <w:rPr>
          <w:sz w:val="24"/>
          <w:szCs w:val="24"/>
        </w:rPr>
        <w:t xml:space="preserve">SOUZA, Marcelo Lopes de. Os conceitos Fundamentais da Pesquisa </w:t>
      </w:r>
      <w:proofErr w:type="spellStart"/>
      <w:r>
        <w:rPr>
          <w:sz w:val="24"/>
          <w:szCs w:val="24"/>
        </w:rPr>
        <w:t>Socio-espacial</w:t>
      </w:r>
      <w:proofErr w:type="spellEnd"/>
      <w:r>
        <w:rPr>
          <w:sz w:val="24"/>
          <w:szCs w:val="24"/>
        </w:rPr>
        <w:t>. 5ª Ed. – Rio de Janeiro: Bertrand Brasil, 2020.</w:t>
      </w:r>
    </w:p>
    <w:sectPr w:rsidR="006A4836" w:rsidSect="002F6272">
      <w:headerReference w:type="even" r:id="rId10"/>
      <w:headerReference w:type="default" r:id="rId11"/>
      <w:footerReference w:type="even" r:id="rId12"/>
      <w:footerReference w:type="default" r:id="rId13"/>
      <w:headerReference w:type="first" r:id="rId14"/>
      <w:footerReference w:type="first" r:id="rId15"/>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67E30" w14:textId="77777777" w:rsidR="00400A4A" w:rsidRDefault="00400A4A">
      <w:pPr>
        <w:spacing w:line="240" w:lineRule="auto"/>
        <w:ind w:left="0" w:hanging="2"/>
      </w:pPr>
      <w:r>
        <w:separator/>
      </w:r>
    </w:p>
  </w:endnote>
  <w:endnote w:type="continuationSeparator" w:id="0">
    <w:p w14:paraId="2CA97A35" w14:textId="77777777" w:rsidR="00400A4A" w:rsidRDefault="00400A4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7B33" w14:textId="77777777" w:rsidR="002F6272" w:rsidRDefault="002F627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5583" w14:textId="77777777" w:rsidR="002F6272" w:rsidRDefault="002F6272">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8C25" w14:textId="77777777" w:rsidR="002F6272" w:rsidRDefault="002F627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1AFA" w14:textId="77777777" w:rsidR="00400A4A" w:rsidRDefault="00400A4A">
      <w:pPr>
        <w:spacing w:line="240" w:lineRule="auto"/>
        <w:ind w:left="0" w:hanging="2"/>
      </w:pPr>
      <w:r>
        <w:separator/>
      </w:r>
    </w:p>
  </w:footnote>
  <w:footnote w:type="continuationSeparator" w:id="0">
    <w:p w14:paraId="093C4B58" w14:textId="77777777" w:rsidR="00400A4A" w:rsidRDefault="00400A4A">
      <w:pPr>
        <w:spacing w:line="240" w:lineRule="auto"/>
        <w:ind w:left="0" w:hanging="2"/>
      </w:pPr>
      <w:r>
        <w:continuationSeparator/>
      </w:r>
    </w:p>
  </w:footnote>
  <w:footnote w:id="1">
    <w:p w14:paraId="6C39DA93" w14:textId="04198263" w:rsidR="00CF034A" w:rsidRDefault="00CF034A" w:rsidP="006040C6">
      <w:pPr>
        <w:pStyle w:val="FootnoteText"/>
        <w:ind w:left="0" w:hanging="2"/>
        <w:jc w:val="both"/>
      </w:pPr>
      <w:r>
        <w:rPr>
          <w:rStyle w:val="FootnoteReference"/>
        </w:rPr>
        <w:footnoteRef/>
      </w:r>
      <w:r>
        <w:t xml:space="preserve"> Doutorando e Mestre em Serviço Social (PUC-Rio). Pesquisador no Laboratório de Estudos Urbanos e Socioambientais (LEUS) do Departamento de Serviço Social da PUC-Rio.</w:t>
      </w:r>
      <w:r w:rsidR="005B060D">
        <w:t xml:space="preserve"> E-mail: patricksoares_cf@hotmail.com</w:t>
      </w:r>
    </w:p>
  </w:footnote>
  <w:footnote w:id="2">
    <w:p w14:paraId="4D9D61A5" w14:textId="3FB83591" w:rsidR="00CF034A" w:rsidRDefault="00CF034A" w:rsidP="006040C6">
      <w:pPr>
        <w:pStyle w:val="FootnoteText"/>
        <w:ind w:left="0" w:hanging="2"/>
        <w:jc w:val="both"/>
      </w:pPr>
      <w:r>
        <w:rPr>
          <w:rStyle w:val="FootnoteReference"/>
        </w:rPr>
        <w:footnoteRef/>
      </w:r>
      <w:r>
        <w:t xml:space="preserve"> Graduanda em Serviço Social (UFMA). E-mail: s</w:t>
      </w:r>
      <w:r w:rsidRPr="00CF034A">
        <w:t>tefany.sodre@discente.ufma.br</w:t>
      </w:r>
    </w:p>
  </w:footnote>
  <w:footnote w:id="3">
    <w:p w14:paraId="0EF0E937" w14:textId="41C16CEF" w:rsidR="00CF034A" w:rsidRDefault="00CF034A" w:rsidP="006040C6">
      <w:pPr>
        <w:pStyle w:val="FootnoteText"/>
        <w:ind w:left="0" w:hanging="2"/>
        <w:jc w:val="both"/>
      </w:pPr>
      <w:r>
        <w:rPr>
          <w:rStyle w:val="FootnoteReference"/>
        </w:rPr>
        <w:footnoteRef/>
      </w:r>
      <w:r>
        <w:t xml:space="preserve"> Aluna especial do Programa de Pós-Graduação em Sociologia (PPGS/UFMA). Especialista em Serviço Social na Saúde (</w:t>
      </w:r>
      <w:r w:rsidR="00233008">
        <w:t>FATAP</w:t>
      </w:r>
      <w:r>
        <w:t>). E-mail: adrianaoliveirafreitas@gmail.com</w:t>
      </w:r>
    </w:p>
    <w:p w14:paraId="68BE9A6A" w14:textId="77777777" w:rsidR="00CF034A" w:rsidRDefault="00CF034A">
      <w:pPr>
        <w:pStyle w:val="FootnoteText"/>
        <w:ind w:left="0" w:hanging="2"/>
      </w:pPr>
    </w:p>
  </w:footnote>
  <w:footnote w:id="4">
    <w:p w14:paraId="45BC7A21" w14:textId="68BB187A" w:rsidR="006A4836" w:rsidRPr="002F6272" w:rsidRDefault="00000000" w:rsidP="002F6272">
      <w:pPr>
        <w:spacing w:line="240" w:lineRule="auto"/>
        <w:ind w:left="0" w:hanging="2"/>
        <w:jc w:val="both"/>
        <w:rPr>
          <w:sz w:val="20"/>
          <w:szCs w:val="20"/>
        </w:rPr>
      </w:pPr>
      <w:r w:rsidRPr="002F6272">
        <w:rPr>
          <w:sz w:val="20"/>
          <w:szCs w:val="20"/>
          <w:vertAlign w:val="superscript"/>
        </w:rPr>
        <w:footnoteRef/>
      </w:r>
      <w:r w:rsidRPr="002F6272">
        <w:rPr>
          <w:sz w:val="20"/>
          <w:szCs w:val="20"/>
        </w:rPr>
        <w:t xml:space="preserve"> Informação obtida </w:t>
      </w:r>
      <w:r w:rsidR="002F6272">
        <w:rPr>
          <w:sz w:val="20"/>
          <w:szCs w:val="20"/>
        </w:rPr>
        <w:t xml:space="preserve">junto aos </w:t>
      </w:r>
      <w:r w:rsidRPr="002F6272">
        <w:rPr>
          <w:sz w:val="20"/>
          <w:szCs w:val="20"/>
        </w:rPr>
        <w:t>morador</w:t>
      </w:r>
      <w:r w:rsidR="002F6272">
        <w:rPr>
          <w:sz w:val="20"/>
          <w:szCs w:val="20"/>
        </w:rPr>
        <w:t>es</w:t>
      </w:r>
      <w:r w:rsidRPr="002F6272">
        <w:rPr>
          <w:sz w:val="20"/>
          <w:szCs w:val="20"/>
        </w:rPr>
        <w:t xml:space="preserve"> Ribamar </w:t>
      </w:r>
      <w:proofErr w:type="spellStart"/>
      <w:r w:rsidRPr="002F6272">
        <w:rPr>
          <w:sz w:val="20"/>
          <w:szCs w:val="20"/>
        </w:rPr>
        <w:t>Durans</w:t>
      </w:r>
      <w:proofErr w:type="spellEnd"/>
      <w:r w:rsidRPr="002F6272">
        <w:rPr>
          <w:sz w:val="20"/>
          <w:szCs w:val="20"/>
        </w:rPr>
        <w:t xml:space="preserve"> e </w:t>
      </w:r>
      <w:proofErr w:type="spellStart"/>
      <w:r w:rsidRPr="002F6272">
        <w:rPr>
          <w:sz w:val="20"/>
          <w:szCs w:val="20"/>
        </w:rPr>
        <w:t>Lelico</w:t>
      </w:r>
      <w:proofErr w:type="spellEnd"/>
      <w:r w:rsidRPr="002F6272">
        <w:rPr>
          <w:sz w:val="20"/>
          <w:szCs w:val="20"/>
        </w:rPr>
        <w:t xml:space="preserve"> </w:t>
      </w:r>
      <w:r w:rsidR="002F6272">
        <w:rPr>
          <w:sz w:val="20"/>
          <w:szCs w:val="20"/>
        </w:rPr>
        <w:t>na</w:t>
      </w:r>
      <w:r w:rsidRPr="002F6272">
        <w:rPr>
          <w:sz w:val="20"/>
          <w:szCs w:val="20"/>
        </w:rPr>
        <w:t xml:space="preserve"> comunidade Rio da Prata em Peri </w:t>
      </w:r>
      <w:proofErr w:type="spellStart"/>
      <w:r w:rsidRPr="002F6272">
        <w:rPr>
          <w:sz w:val="20"/>
          <w:szCs w:val="20"/>
        </w:rPr>
        <w:t>Mirim-Ma</w:t>
      </w:r>
      <w:proofErr w:type="spellEnd"/>
      <w:r w:rsidRPr="002F6272">
        <w:rPr>
          <w:sz w:val="20"/>
          <w:szCs w:val="20"/>
        </w:rPr>
        <w:t>,</w:t>
      </w:r>
      <w:r w:rsidR="002F6272">
        <w:rPr>
          <w:sz w:val="20"/>
          <w:szCs w:val="20"/>
        </w:rPr>
        <w:t xml:space="preserve"> em e</w:t>
      </w:r>
      <w:r w:rsidR="002F6272" w:rsidRPr="002F6272">
        <w:rPr>
          <w:sz w:val="20"/>
          <w:szCs w:val="20"/>
        </w:rPr>
        <w:t>ntrevista concedida à pesquisadora Stefany Sodré</w:t>
      </w:r>
      <w:r w:rsidRPr="002F6272">
        <w:rPr>
          <w:sz w:val="20"/>
          <w:szCs w:val="20"/>
        </w:rPr>
        <w:t xml:space="preserve"> em 25 de </w:t>
      </w:r>
      <w:r w:rsidR="002F6272">
        <w:rPr>
          <w:sz w:val="20"/>
          <w:szCs w:val="20"/>
        </w:rPr>
        <w:t>n</w:t>
      </w:r>
      <w:r w:rsidRPr="002F6272">
        <w:rPr>
          <w:sz w:val="20"/>
          <w:szCs w:val="20"/>
        </w:rPr>
        <w:t xml:space="preserve">ovembro de 2022. </w:t>
      </w:r>
    </w:p>
    <w:p w14:paraId="6AA61A3A" w14:textId="77777777" w:rsidR="006A4836" w:rsidRDefault="006A4836">
      <w:pPr>
        <w:spacing w:line="240" w:lineRule="auto"/>
        <w:ind w:left="0" w:hanging="2"/>
        <w:rPr>
          <w:sz w:val="20"/>
          <w:szCs w:val="20"/>
        </w:rPr>
      </w:pPr>
    </w:p>
  </w:footnote>
  <w:footnote w:id="5">
    <w:p w14:paraId="6E3FA193" w14:textId="126C2E06" w:rsidR="006A4836" w:rsidRDefault="00000000" w:rsidP="00427ED7">
      <w:pPr>
        <w:keepLines/>
        <w:spacing w:line="240" w:lineRule="auto"/>
        <w:ind w:left="0" w:hanging="2"/>
        <w:jc w:val="both"/>
        <w:rPr>
          <w:sz w:val="18"/>
          <w:szCs w:val="18"/>
        </w:rPr>
      </w:pPr>
      <w:r>
        <w:rPr>
          <w:vertAlign w:val="superscript"/>
        </w:rPr>
        <w:footnoteRef/>
      </w:r>
      <w:r>
        <w:rPr>
          <w:sz w:val="18"/>
          <w:szCs w:val="18"/>
        </w:rPr>
        <w:t xml:space="preserve"> Inicialmente</w:t>
      </w:r>
      <w:r w:rsidR="00CF6ECA">
        <w:rPr>
          <w:sz w:val="18"/>
          <w:szCs w:val="18"/>
        </w:rPr>
        <w:t>,</w:t>
      </w:r>
      <w:r>
        <w:rPr>
          <w:sz w:val="18"/>
          <w:szCs w:val="18"/>
        </w:rPr>
        <w:t xml:space="preserve"> a noção de “remanescentes das comunidades dos quilombos” era problemática em sua aplicabilidade institucional devido a noções passadistas imbuídas em sua formulação, pensando os “remanescentes” como resquícios arqueológicos de ocupações quilombolas anteriores à Abolição. Isso foi equalizado a partir de intensos debates sobre a ressemantização da categoria “quilombo”. A definição presente no Decreto 4.887/2003 é fruto do amadurecimento dessa discussão (Almeida, 2002).</w:t>
      </w:r>
    </w:p>
  </w:footnote>
  <w:footnote w:id="6">
    <w:p w14:paraId="4E4A9E9A" w14:textId="1AF7AE9A" w:rsidR="006A4836" w:rsidRPr="00CF6ECA" w:rsidRDefault="00000000" w:rsidP="00CF6ECA">
      <w:pPr>
        <w:spacing w:line="240" w:lineRule="auto"/>
        <w:ind w:left="0" w:hanging="2"/>
        <w:jc w:val="both"/>
        <w:rPr>
          <w:sz w:val="18"/>
          <w:szCs w:val="18"/>
        </w:rPr>
      </w:pPr>
      <w:r>
        <w:rPr>
          <w:vertAlign w:val="superscript"/>
        </w:rPr>
        <w:footnoteRef/>
      </w:r>
      <w:r>
        <w:rPr>
          <w:sz w:val="18"/>
          <w:szCs w:val="18"/>
        </w:rPr>
        <w:t xml:space="preserve"> Conceitualmente, identidade étnica diz respeito ao processo social no qual um grupo identifica-se a partir de características que considera determinantes em sua identidade coletiva (laços de parentesco, práticas religiosas, identidade racial, unidade residencial, noção ancestral comum, etc.). Em suma, são os critérios de inclusão e exclusão entre “nós” (os grupos quilombolas) e os “outros” (demais grupos sociais) estabelecidos pelos próprios grupos étnicos (Gusmão, 1995; </w:t>
      </w:r>
      <w:proofErr w:type="spellStart"/>
      <w:r>
        <w:rPr>
          <w:sz w:val="18"/>
          <w:szCs w:val="18"/>
        </w:rPr>
        <w:t>O’Dwyer</w:t>
      </w:r>
      <w:proofErr w:type="spellEnd"/>
      <w:r>
        <w:rPr>
          <w:sz w:val="18"/>
          <w:szCs w:val="18"/>
        </w:rPr>
        <w:t>, 2002).</w:t>
      </w:r>
    </w:p>
  </w:footnote>
  <w:footnote w:id="7">
    <w:p w14:paraId="1FB362D9" w14:textId="77777777" w:rsidR="006A4836" w:rsidRDefault="00000000">
      <w:pPr>
        <w:spacing w:line="240" w:lineRule="auto"/>
        <w:ind w:left="0" w:hanging="2"/>
        <w:jc w:val="both"/>
        <w:rPr>
          <w:sz w:val="18"/>
          <w:szCs w:val="18"/>
        </w:rPr>
      </w:pPr>
      <w:r>
        <w:rPr>
          <w:vertAlign w:val="superscript"/>
        </w:rPr>
        <w:footnoteRef/>
      </w:r>
      <w:r>
        <w:rPr>
          <w:sz w:val="18"/>
          <w:szCs w:val="18"/>
        </w:rPr>
        <w:t xml:space="preserve"> Talvez seja até mesmo mais adequado falar em territorialização da questão étnico-racial. Conforme Bandeira (1991), entre as décadas de 1970 e 1980, vários estudos foram desenvolvidos em comunidades negras rurais por diversos estados e com distintas abordagens teórico-metodológicas, mas compartilhando uma dimensão em comum que representou um salto qualitativo na compreensão da condição do negro na sociedade brasileira: a base geográfica dos grupamentos negros.</w:t>
      </w:r>
    </w:p>
    <w:p w14:paraId="3FE3DDB2" w14:textId="77777777" w:rsidR="006A4836" w:rsidRDefault="006A4836">
      <w:pPr>
        <w:spacing w:line="240" w:lineRule="auto"/>
        <w:ind w:left="0" w:hanging="2"/>
        <w:jc w:val="both"/>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65EB" w14:textId="77777777" w:rsidR="002F6272" w:rsidRDefault="002F627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8260" w14:textId="77777777" w:rsidR="006A4836" w:rsidRDefault="00000000" w:rsidP="002F6272">
    <w:pPr>
      <w:ind w:leftChars="0" w:left="0" w:firstLineChars="0" w:firstLine="0"/>
    </w:pPr>
    <w:r>
      <w:rPr>
        <w:noProof/>
      </w:rPr>
      <w:drawing>
        <wp:anchor distT="0" distB="0" distL="0" distR="0" simplePos="0" relativeHeight="251658240" behindDoc="1" locked="0" layoutInCell="1" hidden="0" allowOverlap="1" wp14:anchorId="048D3025" wp14:editId="62D0D62A">
          <wp:simplePos x="0" y="0"/>
          <wp:positionH relativeFrom="page">
            <wp:posOffset>0</wp:posOffset>
          </wp:positionH>
          <wp:positionV relativeFrom="page">
            <wp:posOffset>6985</wp:posOffset>
          </wp:positionV>
          <wp:extent cx="7563485" cy="10727690"/>
          <wp:effectExtent l="0" t="0" r="0"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2DBC" w14:textId="77777777" w:rsidR="002F6272" w:rsidRDefault="002F6272">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836"/>
    <w:rsid w:val="000009D8"/>
    <w:rsid w:val="000240E0"/>
    <w:rsid w:val="0013225A"/>
    <w:rsid w:val="00180974"/>
    <w:rsid w:val="00187777"/>
    <w:rsid w:val="001D4BBA"/>
    <w:rsid w:val="00220E09"/>
    <w:rsid w:val="0022694B"/>
    <w:rsid w:val="00233008"/>
    <w:rsid w:val="0028425A"/>
    <w:rsid w:val="002E4BE5"/>
    <w:rsid w:val="002F57BA"/>
    <w:rsid w:val="002F6272"/>
    <w:rsid w:val="00306273"/>
    <w:rsid w:val="003328DF"/>
    <w:rsid w:val="00332F17"/>
    <w:rsid w:val="00335146"/>
    <w:rsid w:val="0035468E"/>
    <w:rsid w:val="003716EC"/>
    <w:rsid w:val="003767AF"/>
    <w:rsid w:val="003E08A7"/>
    <w:rsid w:val="003F780F"/>
    <w:rsid w:val="00400A4A"/>
    <w:rsid w:val="00400E37"/>
    <w:rsid w:val="004148E0"/>
    <w:rsid w:val="004216EE"/>
    <w:rsid w:val="00421A2C"/>
    <w:rsid w:val="00427ED7"/>
    <w:rsid w:val="004341B3"/>
    <w:rsid w:val="00447875"/>
    <w:rsid w:val="004757EA"/>
    <w:rsid w:val="0048674C"/>
    <w:rsid w:val="004E1521"/>
    <w:rsid w:val="0050002F"/>
    <w:rsid w:val="0054037C"/>
    <w:rsid w:val="0054594C"/>
    <w:rsid w:val="00576FF2"/>
    <w:rsid w:val="005A0963"/>
    <w:rsid w:val="005A13ED"/>
    <w:rsid w:val="005A3590"/>
    <w:rsid w:val="005B060D"/>
    <w:rsid w:val="005C19EB"/>
    <w:rsid w:val="005E438E"/>
    <w:rsid w:val="005E7220"/>
    <w:rsid w:val="005F186A"/>
    <w:rsid w:val="005F2CDC"/>
    <w:rsid w:val="006013FD"/>
    <w:rsid w:val="006040C6"/>
    <w:rsid w:val="0065256E"/>
    <w:rsid w:val="006630E2"/>
    <w:rsid w:val="006801BF"/>
    <w:rsid w:val="006A4836"/>
    <w:rsid w:val="006B4369"/>
    <w:rsid w:val="00722BBA"/>
    <w:rsid w:val="0073728A"/>
    <w:rsid w:val="0076623A"/>
    <w:rsid w:val="007964F2"/>
    <w:rsid w:val="007B3F06"/>
    <w:rsid w:val="007C5011"/>
    <w:rsid w:val="007E6CAC"/>
    <w:rsid w:val="007F1F4C"/>
    <w:rsid w:val="007F4BB3"/>
    <w:rsid w:val="00826DC2"/>
    <w:rsid w:val="0085158F"/>
    <w:rsid w:val="008C77A2"/>
    <w:rsid w:val="008D6790"/>
    <w:rsid w:val="008E7666"/>
    <w:rsid w:val="009212A5"/>
    <w:rsid w:val="00932D14"/>
    <w:rsid w:val="00950951"/>
    <w:rsid w:val="009622D7"/>
    <w:rsid w:val="009D5933"/>
    <w:rsid w:val="00A82C77"/>
    <w:rsid w:val="00AB3347"/>
    <w:rsid w:val="00B03996"/>
    <w:rsid w:val="00B076FB"/>
    <w:rsid w:val="00B147D7"/>
    <w:rsid w:val="00B269C2"/>
    <w:rsid w:val="00B44533"/>
    <w:rsid w:val="00B75DC7"/>
    <w:rsid w:val="00B84EA2"/>
    <w:rsid w:val="00B94BA2"/>
    <w:rsid w:val="00BA198C"/>
    <w:rsid w:val="00BA4F43"/>
    <w:rsid w:val="00BB47FC"/>
    <w:rsid w:val="00BD5B2D"/>
    <w:rsid w:val="00BE4260"/>
    <w:rsid w:val="00C13DD4"/>
    <w:rsid w:val="00C72669"/>
    <w:rsid w:val="00C7578F"/>
    <w:rsid w:val="00C833CA"/>
    <w:rsid w:val="00CE3A5A"/>
    <w:rsid w:val="00CF034A"/>
    <w:rsid w:val="00CF6ECA"/>
    <w:rsid w:val="00D2351A"/>
    <w:rsid w:val="00D337B6"/>
    <w:rsid w:val="00DB5F5E"/>
    <w:rsid w:val="00E059C8"/>
    <w:rsid w:val="00E1433F"/>
    <w:rsid w:val="00E17764"/>
    <w:rsid w:val="00E5316E"/>
    <w:rsid w:val="00E61496"/>
    <w:rsid w:val="00E70A57"/>
    <w:rsid w:val="00E94EDD"/>
    <w:rsid w:val="00EB47AA"/>
    <w:rsid w:val="00EC0071"/>
    <w:rsid w:val="00F22CDD"/>
    <w:rsid w:val="00F522E8"/>
    <w:rsid w:val="00F537DB"/>
    <w:rsid w:val="00F74EA4"/>
    <w:rsid w:val="00F84C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AADF7"/>
  <w15:docId w15:val="{55D713D9-E3F9-4D3B-9312-A989AB3D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00" w:after="12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qFormat/>
    <w:pPr>
      <w:tabs>
        <w:tab w:val="center" w:pos="4252"/>
        <w:tab w:val="right" w:pos="8504"/>
      </w:tabs>
      <w:spacing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252"/>
        <w:tab w:val="right" w:pos="8504"/>
      </w:tabs>
      <w:spacing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FootnoteText">
    <w:name w:val="footnote text"/>
    <w:basedOn w:val="Normal"/>
    <w:link w:val="FootnoteTextChar"/>
    <w:uiPriority w:val="99"/>
    <w:semiHidden/>
    <w:unhideWhenUsed/>
    <w:rsid w:val="00CF034A"/>
    <w:pPr>
      <w:spacing w:line="240" w:lineRule="auto"/>
    </w:pPr>
    <w:rPr>
      <w:sz w:val="20"/>
      <w:szCs w:val="20"/>
    </w:rPr>
  </w:style>
  <w:style w:type="character" w:customStyle="1" w:styleId="FootnoteTextChar">
    <w:name w:val="Footnote Text Char"/>
    <w:basedOn w:val="DefaultParagraphFont"/>
    <w:link w:val="FootnoteText"/>
    <w:uiPriority w:val="99"/>
    <w:semiHidden/>
    <w:rsid w:val="00CF034A"/>
    <w:rPr>
      <w:position w:val="-1"/>
      <w:sz w:val="20"/>
      <w:szCs w:val="20"/>
    </w:rPr>
  </w:style>
  <w:style w:type="character" w:styleId="FootnoteReference">
    <w:name w:val="footnote reference"/>
    <w:basedOn w:val="DefaultParagraphFont"/>
    <w:uiPriority w:val="99"/>
    <w:semiHidden/>
    <w:unhideWhenUsed/>
    <w:rsid w:val="00CF034A"/>
    <w:rPr>
      <w:vertAlign w:val="superscript"/>
    </w:rPr>
  </w:style>
  <w:style w:type="character" w:styleId="Hyperlink">
    <w:name w:val="Hyperlink"/>
    <w:basedOn w:val="DefaultParagraphFont"/>
    <w:uiPriority w:val="99"/>
    <w:unhideWhenUsed/>
    <w:rsid w:val="00CF034A"/>
    <w:rPr>
      <w:color w:val="0000FF" w:themeColor="hyperlink"/>
      <w:u w:val="single"/>
    </w:rPr>
  </w:style>
  <w:style w:type="character" w:styleId="UnresolvedMention">
    <w:name w:val="Unresolved Mention"/>
    <w:basedOn w:val="DefaultParagraphFont"/>
    <w:uiPriority w:val="99"/>
    <w:semiHidden/>
    <w:unhideWhenUsed/>
    <w:rsid w:val="00CF0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ogle.com/search?q=https://www.ibge.gov.br/cidades-e-estados/ma/peri-mirim/panorama.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q=https://www.ibge.gov.br/cidades-e-estados/ma/peri-mirim/panorama.html"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4bRTI8ZsaZ06/3WG7tbz7EP9Q==">CgMxLjA4AHIhMXNmZEJ2QmtHWGxSSEJ3OHJfNlZuSXAyMWxIcndwSUMy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93C5DD-F753-4EAE-8306-F28B8245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12</Pages>
  <Words>3904</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Patrick Soares</cp:lastModifiedBy>
  <cp:revision>116</cp:revision>
  <dcterms:created xsi:type="dcterms:W3CDTF">2025-02-17T16:43:00Z</dcterms:created>
  <dcterms:modified xsi:type="dcterms:W3CDTF">2025-07-01T14:02:00Z</dcterms:modified>
</cp:coreProperties>
</file>