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FD5" w:rsidRDefault="0061410B">
      <w:pPr>
        <w:rPr>
          <w:rFonts w:ascii="Arial" w:hAnsi="Arial" w:cs="Arial"/>
          <w:b/>
          <w:bCs/>
          <w:kern w:val="2"/>
          <w:sz w:val="24"/>
          <w:szCs w:val="24"/>
        </w:rPr>
      </w:pPr>
      <w:bookmarkStart w:id="0" w:name="_GoBack"/>
      <w:bookmarkEnd w:id="0"/>
      <w:r>
        <w:rPr>
          <w:rFonts w:ascii="Arial" w:hAnsi="Arial" w:cs="Arial"/>
          <w:b/>
          <w:bCs/>
          <w:kern w:val="2"/>
          <w:sz w:val="24"/>
          <w:szCs w:val="24"/>
        </w:rPr>
        <w:t>EPISTEMICÍDIO, RACISMO E EDUCAÇÃO: A RESISTÊNCIA NEGRA E A CONSTRUÇÃO DE UM CURRÍCULO DECOLONIAL</w:t>
      </w:r>
    </w:p>
    <w:p w:rsidR="00E65FD5" w:rsidRDefault="0061410B">
      <w:pPr>
        <w:jc w:val="right"/>
        <w:rPr>
          <w:rFonts w:ascii="Arial" w:hAnsi="Arial" w:cs="Arial"/>
          <w:kern w:val="2"/>
          <w:sz w:val="20"/>
          <w:szCs w:val="20"/>
        </w:rPr>
      </w:pPr>
      <w:r>
        <w:rPr>
          <w:rFonts w:ascii="Arial" w:hAnsi="Arial" w:cs="Arial"/>
          <w:kern w:val="2"/>
          <w:sz w:val="20"/>
          <w:szCs w:val="20"/>
        </w:rPr>
        <w:t xml:space="preserve">Maria </w:t>
      </w:r>
      <w:proofErr w:type="spellStart"/>
      <w:r>
        <w:rPr>
          <w:rFonts w:ascii="Arial" w:hAnsi="Arial" w:cs="Arial"/>
          <w:kern w:val="2"/>
          <w:sz w:val="20"/>
          <w:szCs w:val="20"/>
        </w:rPr>
        <w:t>Iranildes</w:t>
      </w:r>
      <w:proofErr w:type="spellEnd"/>
      <w:r>
        <w:rPr>
          <w:rFonts w:ascii="Arial" w:hAnsi="Arial" w:cs="Arial"/>
          <w:kern w:val="2"/>
          <w:sz w:val="20"/>
          <w:szCs w:val="20"/>
        </w:rPr>
        <w:t xml:space="preserve"> Alves de Almeida Martins</w:t>
      </w:r>
      <w:r>
        <w:rPr>
          <w:rStyle w:val="Refdenotaderodap"/>
          <w:rFonts w:ascii="Arial" w:hAnsi="Arial" w:cs="Arial"/>
          <w:kern w:val="2"/>
          <w:sz w:val="20"/>
          <w:szCs w:val="20"/>
        </w:rPr>
        <w:footnoteReference w:id="1"/>
      </w:r>
    </w:p>
    <w:p w:rsidR="00E65FD5" w:rsidRDefault="0061410B">
      <w:pPr>
        <w:jc w:val="right"/>
        <w:rPr>
          <w:rFonts w:ascii="Arial" w:hAnsi="Arial" w:cs="Arial"/>
          <w:kern w:val="2"/>
          <w:sz w:val="20"/>
          <w:szCs w:val="20"/>
        </w:rPr>
      </w:pPr>
      <w:r>
        <w:rPr>
          <w:rFonts w:ascii="Arial" w:hAnsi="Arial" w:cs="Arial"/>
          <w:kern w:val="2"/>
          <w:sz w:val="20"/>
          <w:szCs w:val="20"/>
        </w:rPr>
        <w:t xml:space="preserve">Antônio </w:t>
      </w:r>
      <w:proofErr w:type="spellStart"/>
      <w:r>
        <w:rPr>
          <w:rFonts w:ascii="Arial" w:hAnsi="Arial" w:cs="Arial"/>
          <w:kern w:val="2"/>
          <w:sz w:val="20"/>
          <w:szCs w:val="20"/>
        </w:rPr>
        <w:t>Edivar</w:t>
      </w:r>
      <w:proofErr w:type="spellEnd"/>
      <w:r>
        <w:rPr>
          <w:rFonts w:ascii="Arial" w:hAnsi="Arial" w:cs="Arial"/>
          <w:kern w:val="2"/>
          <w:sz w:val="20"/>
          <w:szCs w:val="20"/>
        </w:rPr>
        <w:t xml:space="preserve"> Alves Pereira</w:t>
      </w:r>
      <w:r>
        <w:rPr>
          <w:rStyle w:val="Refdenotaderodap"/>
          <w:rFonts w:ascii="Arial" w:hAnsi="Arial" w:cs="Arial"/>
          <w:kern w:val="2"/>
          <w:sz w:val="20"/>
          <w:szCs w:val="20"/>
        </w:rPr>
        <w:footnoteReference w:id="2"/>
      </w:r>
    </w:p>
    <w:p w:rsidR="00E65FD5" w:rsidRDefault="0061410B">
      <w:pPr>
        <w:jc w:val="right"/>
        <w:rPr>
          <w:rFonts w:ascii="Arial" w:hAnsi="Arial" w:cs="Arial"/>
          <w:kern w:val="2"/>
          <w:sz w:val="20"/>
          <w:szCs w:val="20"/>
        </w:rPr>
      </w:pPr>
      <w:r>
        <w:rPr>
          <w:rFonts w:ascii="Arial" w:hAnsi="Arial" w:cs="Arial"/>
          <w:kern w:val="2"/>
          <w:sz w:val="20"/>
          <w:szCs w:val="20"/>
        </w:rPr>
        <w:t>Tatiana Emídio Correia</w:t>
      </w:r>
      <w:r>
        <w:rPr>
          <w:rStyle w:val="Refdenotaderodap"/>
          <w:rFonts w:ascii="Arial" w:hAnsi="Arial" w:cs="Arial"/>
          <w:kern w:val="2"/>
          <w:sz w:val="20"/>
          <w:szCs w:val="20"/>
        </w:rPr>
        <w:footnoteReference w:id="3"/>
      </w:r>
    </w:p>
    <w:p w:rsidR="00E65FD5" w:rsidRDefault="00E65FD5" w:rsidP="00656826">
      <w:pPr>
        <w:spacing w:line="240" w:lineRule="auto"/>
        <w:jc w:val="both"/>
        <w:rPr>
          <w:rFonts w:ascii="Arial" w:hAnsi="Arial" w:cs="Arial"/>
          <w:b/>
          <w:sz w:val="20"/>
          <w:szCs w:val="20"/>
        </w:rPr>
      </w:pPr>
    </w:p>
    <w:p w:rsidR="00E65FD5" w:rsidRDefault="00E65FD5">
      <w:pPr>
        <w:spacing w:line="240" w:lineRule="auto"/>
        <w:ind w:left="2835"/>
        <w:jc w:val="both"/>
        <w:rPr>
          <w:rFonts w:ascii="Arial" w:hAnsi="Arial" w:cs="Arial"/>
          <w:b/>
          <w:sz w:val="20"/>
          <w:szCs w:val="20"/>
        </w:rPr>
      </w:pPr>
    </w:p>
    <w:p w:rsidR="00E65FD5" w:rsidRDefault="0061410B">
      <w:pPr>
        <w:spacing w:line="240" w:lineRule="auto"/>
        <w:ind w:left="2835"/>
        <w:jc w:val="both"/>
        <w:rPr>
          <w:rFonts w:ascii="Arial" w:hAnsi="Arial" w:cs="Arial"/>
          <w:b/>
          <w:sz w:val="20"/>
          <w:szCs w:val="20"/>
        </w:rPr>
      </w:pPr>
      <w:r>
        <w:rPr>
          <w:rFonts w:ascii="Arial" w:hAnsi="Arial" w:cs="Arial"/>
          <w:b/>
          <w:sz w:val="20"/>
          <w:szCs w:val="20"/>
        </w:rPr>
        <w:t>Resumo</w:t>
      </w:r>
    </w:p>
    <w:p w:rsidR="00E65FD5" w:rsidRDefault="0061410B">
      <w:pPr>
        <w:spacing w:line="240" w:lineRule="auto"/>
        <w:ind w:left="2835"/>
        <w:jc w:val="both"/>
        <w:rPr>
          <w:rFonts w:ascii="Arial" w:hAnsi="Arial" w:cs="Arial"/>
          <w:sz w:val="20"/>
          <w:szCs w:val="20"/>
        </w:rPr>
      </w:pPr>
      <w:r>
        <w:rPr>
          <w:rFonts w:ascii="Arial" w:hAnsi="Arial" w:cs="Arial"/>
          <w:sz w:val="20"/>
          <w:szCs w:val="20"/>
        </w:rPr>
        <w:t xml:space="preserve">Este artigo discute o </w:t>
      </w:r>
      <w:proofErr w:type="spellStart"/>
      <w:r>
        <w:rPr>
          <w:rFonts w:ascii="Arial" w:hAnsi="Arial" w:cs="Arial"/>
          <w:sz w:val="20"/>
          <w:szCs w:val="20"/>
        </w:rPr>
        <w:t>epistemicídio</w:t>
      </w:r>
      <w:proofErr w:type="spellEnd"/>
      <w:r>
        <w:rPr>
          <w:rFonts w:ascii="Arial" w:hAnsi="Arial" w:cs="Arial"/>
          <w:sz w:val="20"/>
          <w:szCs w:val="20"/>
        </w:rPr>
        <w:t xml:space="preserve"> como um dos legados mais perversos do colonialismo e do racismo na constituição do sistema educacional brasileiro. A partir da análise crítica da Lei 10.639/03, investiga-se como a escola historicamente operou como um espaço de apagamento dos saberes africanos e afro-brasileiros, contribuindo para a perpetuação de uma estrutura curricular </w:t>
      </w:r>
      <w:proofErr w:type="spellStart"/>
      <w:r>
        <w:rPr>
          <w:rFonts w:ascii="Arial" w:hAnsi="Arial" w:cs="Arial"/>
          <w:sz w:val="20"/>
          <w:szCs w:val="20"/>
        </w:rPr>
        <w:t>eurocentrada</w:t>
      </w:r>
      <w:proofErr w:type="spellEnd"/>
      <w:r>
        <w:rPr>
          <w:rFonts w:ascii="Arial" w:hAnsi="Arial" w:cs="Arial"/>
          <w:sz w:val="20"/>
          <w:szCs w:val="20"/>
        </w:rPr>
        <w:t xml:space="preserve"> e </w:t>
      </w:r>
      <w:proofErr w:type="spellStart"/>
      <w:r>
        <w:rPr>
          <w:rFonts w:ascii="Arial" w:hAnsi="Arial" w:cs="Arial"/>
          <w:sz w:val="20"/>
          <w:szCs w:val="20"/>
        </w:rPr>
        <w:t>monocultural</w:t>
      </w:r>
      <w:proofErr w:type="spellEnd"/>
      <w:r>
        <w:rPr>
          <w:rFonts w:ascii="Arial" w:hAnsi="Arial" w:cs="Arial"/>
          <w:sz w:val="20"/>
          <w:szCs w:val="20"/>
        </w:rPr>
        <w:t xml:space="preserve">. </w:t>
      </w:r>
      <w:r w:rsidR="00951F1A">
        <w:rPr>
          <w:rFonts w:ascii="Arial" w:hAnsi="Arial" w:cs="Arial"/>
          <w:sz w:val="20"/>
          <w:szCs w:val="20"/>
        </w:rPr>
        <w:t xml:space="preserve">A bibliografia utilizada busca </w:t>
      </w:r>
      <w:r>
        <w:rPr>
          <w:rFonts w:ascii="Arial" w:hAnsi="Arial" w:cs="Arial"/>
          <w:sz w:val="20"/>
          <w:szCs w:val="20"/>
        </w:rPr>
        <w:t xml:space="preserve">refletir sobre a resistência do movimento negro educador e o papel da educação na construção de um currículo </w:t>
      </w:r>
      <w:proofErr w:type="spellStart"/>
      <w:r>
        <w:rPr>
          <w:rFonts w:ascii="Arial" w:hAnsi="Arial" w:cs="Arial"/>
          <w:sz w:val="20"/>
          <w:szCs w:val="20"/>
        </w:rPr>
        <w:t>decolonial</w:t>
      </w:r>
      <w:proofErr w:type="spellEnd"/>
      <w:r>
        <w:rPr>
          <w:rFonts w:ascii="Arial" w:hAnsi="Arial" w:cs="Arial"/>
          <w:sz w:val="20"/>
          <w:szCs w:val="20"/>
        </w:rPr>
        <w:t>. O artigo articula imperialismo, colonialismo e racismo com a centralidade da disputa epistemológica, apresentando caminhos para uma educação que reconheça a pluralidade de saberes e promova a justiça cognitiva.</w:t>
      </w:r>
    </w:p>
    <w:p w:rsidR="00E65FD5" w:rsidRDefault="0061410B">
      <w:pPr>
        <w:spacing w:line="240" w:lineRule="auto"/>
        <w:ind w:left="2835"/>
        <w:jc w:val="both"/>
        <w:rPr>
          <w:rFonts w:ascii="Arial" w:hAnsi="Arial" w:cs="Arial"/>
          <w:sz w:val="20"/>
          <w:szCs w:val="20"/>
        </w:rPr>
      </w:pPr>
      <w:r>
        <w:rPr>
          <w:rFonts w:ascii="Arial" w:hAnsi="Arial" w:cs="Arial"/>
          <w:b/>
          <w:sz w:val="20"/>
          <w:szCs w:val="20"/>
        </w:rPr>
        <w:t>Palavras-chave</w:t>
      </w:r>
      <w:r>
        <w:rPr>
          <w:rFonts w:ascii="Arial" w:hAnsi="Arial" w:cs="Arial"/>
          <w:sz w:val="20"/>
          <w:szCs w:val="20"/>
        </w:rPr>
        <w:t xml:space="preserve">: </w:t>
      </w:r>
      <w:proofErr w:type="spellStart"/>
      <w:r>
        <w:rPr>
          <w:rFonts w:ascii="Arial" w:hAnsi="Arial" w:cs="Arial"/>
          <w:sz w:val="20"/>
          <w:szCs w:val="20"/>
        </w:rPr>
        <w:t>Epistemicídio</w:t>
      </w:r>
      <w:proofErr w:type="spellEnd"/>
      <w:r>
        <w:rPr>
          <w:rFonts w:ascii="Arial" w:hAnsi="Arial" w:cs="Arial"/>
          <w:sz w:val="20"/>
          <w:szCs w:val="20"/>
        </w:rPr>
        <w:t xml:space="preserve">; Currículo </w:t>
      </w:r>
      <w:proofErr w:type="spellStart"/>
      <w:r>
        <w:rPr>
          <w:rFonts w:ascii="Arial" w:hAnsi="Arial" w:cs="Arial"/>
          <w:sz w:val="20"/>
          <w:szCs w:val="20"/>
        </w:rPr>
        <w:t>Decolonial</w:t>
      </w:r>
      <w:proofErr w:type="spellEnd"/>
      <w:r>
        <w:rPr>
          <w:rFonts w:ascii="Arial" w:hAnsi="Arial" w:cs="Arial"/>
          <w:sz w:val="20"/>
          <w:szCs w:val="20"/>
        </w:rPr>
        <w:t>; Lei 10.639/03.</w:t>
      </w:r>
    </w:p>
    <w:p w:rsidR="00E65FD5" w:rsidRDefault="00E65FD5">
      <w:pPr>
        <w:spacing w:line="240" w:lineRule="auto"/>
        <w:ind w:left="2835"/>
        <w:jc w:val="both"/>
        <w:rPr>
          <w:rFonts w:ascii="Arial" w:hAnsi="Arial" w:cs="Arial"/>
          <w:sz w:val="20"/>
          <w:szCs w:val="20"/>
          <w:lang w:val="en-US"/>
        </w:rPr>
      </w:pPr>
    </w:p>
    <w:p w:rsidR="00E65FD5" w:rsidRDefault="0061410B">
      <w:pPr>
        <w:spacing w:line="240" w:lineRule="auto"/>
        <w:ind w:left="2835"/>
        <w:jc w:val="both"/>
        <w:rPr>
          <w:rFonts w:ascii="Arial" w:hAnsi="Arial" w:cs="Arial"/>
          <w:b/>
          <w:sz w:val="20"/>
          <w:szCs w:val="20"/>
          <w:lang w:val="en-US"/>
        </w:rPr>
      </w:pPr>
      <w:r>
        <w:rPr>
          <w:rFonts w:ascii="Arial" w:hAnsi="Arial" w:cs="Arial"/>
          <w:b/>
          <w:sz w:val="20"/>
          <w:szCs w:val="20"/>
          <w:lang w:val="en-US"/>
        </w:rPr>
        <w:t>Abstract</w:t>
      </w:r>
    </w:p>
    <w:p w:rsidR="00951F1A" w:rsidRDefault="00951F1A">
      <w:pPr>
        <w:spacing w:line="240" w:lineRule="auto"/>
        <w:ind w:left="2835"/>
        <w:jc w:val="both"/>
        <w:rPr>
          <w:rFonts w:ascii="Arial" w:hAnsi="Arial" w:cs="Arial"/>
          <w:bCs/>
          <w:sz w:val="20"/>
          <w:szCs w:val="20"/>
          <w:lang w:val="en-US"/>
        </w:rPr>
      </w:pPr>
      <w:r w:rsidRPr="00951F1A">
        <w:rPr>
          <w:rFonts w:ascii="Arial" w:hAnsi="Arial" w:cs="Arial"/>
          <w:bCs/>
          <w:sz w:val="20"/>
          <w:szCs w:val="20"/>
          <w:lang w:val="en-US"/>
        </w:rPr>
        <w:t xml:space="preserve">This article discusses </w:t>
      </w:r>
      <w:proofErr w:type="spellStart"/>
      <w:r w:rsidRPr="00951F1A">
        <w:rPr>
          <w:rFonts w:ascii="Arial" w:hAnsi="Arial" w:cs="Arial"/>
          <w:bCs/>
          <w:sz w:val="20"/>
          <w:szCs w:val="20"/>
          <w:lang w:val="en-US"/>
        </w:rPr>
        <w:t>epistemicide</w:t>
      </w:r>
      <w:proofErr w:type="spellEnd"/>
      <w:r w:rsidRPr="00951F1A">
        <w:rPr>
          <w:rFonts w:ascii="Arial" w:hAnsi="Arial" w:cs="Arial"/>
          <w:bCs/>
          <w:sz w:val="20"/>
          <w:szCs w:val="20"/>
          <w:lang w:val="en-US"/>
        </w:rPr>
        <w:t xml:space="preserve"> as one of the most perverse legacies of colonialism and racism in the constitution of the Brazilian educational system. Based on a critical analysis of Law 10.639/03, the article investigates how schools have historically operated as a space for the erasure of African and Afro-Brazilian knowledge, contributing to the perpetuation of a Eurocentric and monocultural curricular structure. The bibliography used seeks to reflect on the resistance of the black education movement and the role of education in the construction of a decolonial curriculum. The article articulates imperialism, colonialism and racism with the centrality of the epistemological dispute, presenting paths for an education that recognizes the plurality of knowledge and promotes cognitive justice.</w:t>
      </w:r>
    </w:p>
    <w:p w:rsidR="00E65FD5" w:rsidRDefault="0061410B">
      <w:pPr>
        <w:spacing w:line="240" w:lineRule="auto"/>
        <w:ind w:left="2835"/>
        <w:jc w:val="both"/>
        <w:rPr>
          <w:rFonts w:ascii="Arial" w:hAnsi="Arial" w:cs="Arial"/>
          <w:sz w:val="20"/>
          <w:szCs w:val="20"/>
        </w:rPr>
      </w:pPr>
      <w:r>
        <w:rPr>
          <w:rFonts w:ascii="Arial" w:hAnsi="Arial" w:cs="Arial"/>
          <w:b/>
          <w:sz w:val="20"/>
          <w:szCs w:val="20"/>
          <w:lang w:val="en-US"/>
        </w:rPr>
        <w:t>Keywords</w:t>
      </w:r>
      <w:r>
        <w:rPr>
          <w:rFonts w:ascii="Arial" w:hAnsi="Arial" w:cs="Arial"/>
          <w:sz w:val="20"/>
          <w:szCs w:val="20"/>
          <w:lang w:val="en-US"/>
        </w:rPr>
        <w:t xml:space="preserve">: </w:t>
      </w:r>
      <w:proofErr w:type="spellStart"/>
      <w:r>
        <w:rPr>
          <w:rFonts w:ascii="Arial" w:hAnsi="Arial" w:cs="Arial"/>
          <w:sz w:val="20"/>
          <w:szCs w:val="20"/>
          <w:lang w:val="en-US"/>
        </w:rPr>
        <w:t>Epistemicide</w:t>
      </w:r>
      <w:proofErr w:type="spellEnd"/>
      <w:r>
        <w:rPr>
          <w:rFonts w:ascii="Arial" w:hAnsi="Arial" w:cs="Arial"/>
          <w:sz w:val="20"/>
          <w:szCs w:val="20"/>
          <w:lang w:val="en-US"/>
        </w:rPr>
        <w:t>; Decolonial Curriculum; Law 10</w:t>
      </w:r>
      <w:r w:rsidR="00951F1A">
        <w:rPr>
          <w:rFonts w:ascii="Arial" w:hAnsi="Arial" w:cs="Arial"/>
          <w:sz w:val="20"/>
          <w:szCs w:val="20"/>
          <w:lang w:val="en-US"/>
        </w:rPr>
        <w:t>.</w:t>
      </w:r>
      <w:r>
        <w:rPr>
          <w:rFonts w:ascii="Arial" w:hAnsi="Arial" w:cs="Arial"/>
          <w:sz w:val="20"/>
          <w:szCs w:val="20"/>
          <w:lang w:val="en-US"/>
        </w:rPr>
        <w:t>639/03.</w:t>
      </w:r>
    </w:p>
    <w:p w:rsidR="008817DA" w:rsidRPr="008817DA" w:rsidRDefault="008817DA" w:rsidP="008817DA">
      <w:pPr>
        <w:rPr>
          <w:rFonts w:ascii="Arial" w:hAnsi="Arial" w:cs="Arial"/>
          <w:sz w:val="24"/>
          <w:szCs w:val="24"/>
        </w:rPr>
      </w:pPr>
    </w:p>
    <w:p w:rsidR="008817DA" w:rsidRPr="008817DA" w:rsidRDefault="008817DA" w:rsidP="008817DA">
      <w:pPr>
        <w:rPr>
          <w:rFonts w:ascii="Arial" w:hAnsi="Arial" w:cs="Arial"/>
          <w:sz w:val="24"/>
          <w:szCs w:val="24"/>
        </w:rPr>
      </w:pPr>
    </w:p>
    <w:p w:rsidR="00E65FD5" w:rsidRDefault="0061410B">
      <w:pPr>
        <w:spacing w:line="360" w:lineRule="auto"/>
        <w:rPr>
          <w:rFonts w:ascii="Arial" w:hAnsi="Arial" w:cs="Arial"/>
          <w:b/>
          <w:sz w:val="24"/>
          <w:szCs w:val="24"/>
        </w:rPr>
      </w:pPr>
      <w:r>
        <w:rPr>
          <w:rFonts w:ascii="Arial" w:hAnsi="Arial" w:cs="Arial"/>
          <w:b/>
          <w:sz w:val="24"/>
          <w:szCs w:val="24"/>
        </w:rPr>
        <w:lastRenderedPageBreak/>
        <w:t>1</w:t>
      </w:r>
      <w:r>
        <w:rPr>
          <w:rFonts w:ascii="Arial" w:hAnsi="Arial" w:cs="Arial"/>
          <w:b/>
          <w:sz w:val="24"/>
          <w:szCs w:val="24"/>
        </w:rPr>
        <w:tab/>
        <w:t>INTRODUÇÃO</w:t>
      </w:r>
    </w:p>
    <w:p w:rsidR="00951F1A" w:rsidRDefault="00951F1A">
      <w:pPr>
        <w:spacing w:line="360" w:lineRule="auto"/>
        <w:rPr>
          <w:rFonts w:ascii="Arial" w:hAnsi="Arial" w:cs="Arial"/>
          <w:b/>
          <w:sz w:val="24"/>
          <w:szCs w:val="24"/>
        </w:rPr>
      </w:pP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A educação brasileira foi forjada sob as marcas do colonialismo, da escravização e do racismo estrutural. Como projeto político e cultural, o colonialismo operou não apenas pela expropriação territorial, mas sobretudo pela deslegitimação das formas de conhecimento dos povos colonizados. </w:t>
      </w:r>
      <w:bookmarkStart w:id="1" w:name="_Hlk202353842"/>
      <w:r>
        <w:rPr>
          <w:rFonts w:ascii="Arial" w:hAnsi="Arial" w:cs="Arial"/>
          <w:sz w:val="24"/>
          <w:szCs w:val="24"/>
        </w:rPr>
        <w:t xml:space="preserve">Esse processo, conceituado por Sueli Carneiro (2005) como </w:t>
      </w:r>
      <w:proofErr w:type="spellStart"/>
      <w:r>
        <w:rPr>
          <w:rFonts w:ascii="Arial" w:hAnsi="Arial" w:cs="Arial"/>
          <w:bCs/>
          <w:sz w:val="24"/>
          <w:szCs w:val="24"/>
        </w:rPr>
        <w:t>epistemicídio</w:t>
      </w:r>
      <w:proofErr w:type="spellEnd"/>
      <w:r>
        <w:rPr>
          <w:rFonts w:ascii="Arial" w:hAnsi="Arial" w:cs="Arial"/>
          <w:sz w:val="24"/>
          <w:szCs w:val="24"/>
        </w:rPr>
        <w:t>, constitui a base simbólica da exclusão dos saberes africanos e afro-brasileiros da formação escolar</w:t>
      </w:r>
      <w:r w:rsidR="00396921">
        <w:rPr>
          <w:rFonts w:ascii="Arial" w:hAnsi="Arial" w:cs="Arial"/>
          <w:sz w:val="24"/>
          <w:szCs w:val="24"/>
        </w:rPr>
        <w:t xml:space="preserve">. </w:t>
      </w:r>
      <w:bookmarkEnd w:id="1"/>
      <w:r>
        <w:rPr>
          <w:rFonts w:ascii="Arial" w:hAnsi="Arial" w:cs="Arial"/>
          <w:sz w:val="24"/>
          <w:szCs w:val="24"/>
        </w:rPr>
        <w:t xml:space="preserve">Neste artigo, propõe-se refletir sobre a permanência do </w:t>
      </w:r>
      <w:proofErr w:type="spellStart"/>
      <w:r>
        <w:rPr>
          <w:rFonts w:ascii="Arial" w:hAnsi="Arial" w:cs="Arial"/>
          <w:sz w:val="24"/>
          <w:szCs w:val="24"/>
        </w:rPr>
        <w:t>epistemicídio</w:t>
      </w:r>
      <w:proofErr w:type="spellEnd"/>
      <w:r>
        <w:rPr>
          <w:rFonts w:ascii="Arial" w:hAnsi="Arial" w:cs="Arial"/>
          <w:sz w:val="24"/>
          <w:szCs w:val="24"/>
        </w:rPr>
        <w:t xml:space="preserve"> na escola brasileira e sobre os caminhos de resistência traçados por educadores(as) e intelectuais negros(as), sobretudo a partir da promulgação da Lei 10.639/03, que torna obrigatória a inserção da história e cultura afro-brasileira e africana no currículo escolar. A discussão se articula com os eixos: imperialismo, colonialismo, racismo e guerras, ao compreender o currículo como campo de batalha simbólico, onde se disputa o que deve ser ensinado, por quem e com que finalidade.</w:t>
      </w:r>
    </w:p>
    <w:p w:rsidR="00E65FD5" w:rsidRDefault="0061410B">
      <w:pPr>
        <w:spacing w:line="360" w:lineRule="auto"/>
        <w:ind w:firstLine="720"/>
        <w:jc w:val="both"/>
        <w:rPr>
          <w:rFonts w:ascii="Arial" w:hAnsi="Arial" w:cs="Arial"/>
          <w:b/>
          <w:bCs/>
          <w:sz w:val="24"/>
          <w:szCs w:val="24"/>
        </w:rPr>
      </w:pPr>
      <w:r>
        <w:rPr>
          <w:rFonts w:ascii="Arial" w:hAnsi="Arial" w:cs="Arial"/>
          <w:sz w:val="24"/>
          <w:szCs w:val="24"/>
        </w:rPr>
        <w:t xml:space="preserve">Neste contexto, analisamos uma iniciativa de promoção de uma educação antirracista no município de Aquiraz-Ceará, ao inserir no currículo dos alunos dos Anos Finais do Ensino Fundamental, no componente curricular de Língua Portuguesa, o projeto de leitura “Desvendando Narrativas Literárias Antirracistas.” O </w:t>
      </w:r>
      <w:proofErr w:type="gramStart"/>
      <w:r>
        <w:rPr>
          <w:rFonts w:ascii="Arial" w:hAnsi="Arial" w:cs="Arial"/>
          <w:sz w:val="24"/>
          <w:szCs w:val="24"/>
        </w:rPr>
        <w:t>supracitado</w:t>
      </w:r>
      <w:r w:rsidR="008817DA">
        <w:rPr>
          <w:rFonts w:ascii="Arial" w:hAnsi="Arial" w:cs="Arial"/>
          <w:sz w:val="24"/>
          <w:szCs w:val="24"/>
        </w:rPr>
        <w:t xml:space="preserve"> </w:t>
      </w:r>
      <w:r>
        <w:rPr>
          <w:rFonts w:ascii="Arial" w:hAnsi="Arial" w:cs="Arial"/>
          <w:sz w:val="24"/>
          <w:szCs w:val="24"/>
        </w:rPr>
        <w:t>projeto objetiva</w:t>
      </w:r>
      <w:proofErr w:type="gramEnd"/>
      <w:r>
        <w:rPr>
          <w:rFonts w:ascii="Arial" w:hAnsi="Arial" w:cs="Arial"/>
          <w:sz w:val="24"/>
          <w:szCs w:val="24"/>
        </w:rPr>
        <w:t xml:space="preserve"> descolonizar o currículo, através de ações que enalteçam a história e a cultura africana e afro-brasileira através da leitura de autoras negras.</w:t>
      </w:r>
    </w:p>
    <w:p w:rsidR="00E65FD5" w:rsidRDefault="00E65FD5">
      <w:pPr>
        <w:spacing w:line="360" w:lineRule="auto"/>
        <w:jc w:val="both"/>
        <w:rPr>
          <w:rFonts w:ascii="Arial" w:hAnsi="Arial" w:cs="Arial"/>
          <w:sz w:val="24"/>
          <w:szCs w:val="24"/>
        </w:rPr>
      </w:pPr>
    </w:p>
    <w:p w:rsidR="00E65FD5" w:rsidRDefault="0061410B">
      <w:pPr>
        <w:spacing w:line="360" w:lineRule="auto"/>
        <w:jc w:val="both"/>
        <w:rPr>
          <w:rFonts w:ascii="Arial" w:hAnsi="Arial" w:cs="Arial"/>
          <w:b/>
          <w:sz w:val="24"/>
          <w:szCs w:val="24"/>
        </w:rPr>
      </w:pPr>
      <w:r>
        <w:rPr>
          <w:rFonts w:ascii="Arial" w:hAnsi="Arial" w:cs="Arial"/>
          <w:b/>
          <w:sz w:val="24"/>
          <w:szCs w:val="24"/>
        </w:rPr>
        <w:t>2</w:t>
      </w:r>
      <w:r>
        <w:rPr>
          <w:rFonts w:ascii="Arial" w:hAnsi="Arial" w:cs="Arial"/>
          <w:b/>
          <w:sz w:val="24"/>
          <w:szCs w:val="24"/>
        </w:rPr>
        <w:tab/>
        <w:t>EPISTEMICÍDIO E RACISMO: HERANÇAS COLONIAIS NA EDUCAÇÃO</w:t>
      </w:r>
    </w:p>
    <w:p w:rsidR="00E65FD5" w:rsidRDefault="00E65FD5">
      <w:pPr>
        <w:spacing w:line="360" w:lineRule="auto"/>
        <w:jc w:val="both"/>
        <w:rPr>
          <w:rFonts w:ascii="Arial" w:hAnsi="Arial" w:cs="Arial"/>
          <w:sz w:val="24"/>
          <w:szCs w:val="24"/>
        </w:rPr>
      </w:pP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O conceito de </w:t>
      </w:r>
      <w:proofErr w:type="spellStart"/>
      <w:r>
        <w:rPr>
          <w:rFonts w:ascii="Arial" w:hAnsi="Arial" w:cs="Arial"/>
          <w:sz w:val="24"/>
          <w:szCs w:val="24"/>
        </w:rPr>
        <w:t>epistemicídio</w:t>
      </w:r>
      <w:proofErr w:type="spellEnd"/>
      <w:r>
        <w:rPr>
          <w:rFonts w:ascii="Arial" w:hAnsi="Arial" w:cs="Arial"/>
          <w:sz w:val="24"/>
          <w:szCs w:val="24"/>
        </w:rPr>
        <w:t>, segundo Sueli Carneiro (2005), refere-se à anulação sistemática dos saberes dos povos subjugados, promovida por um modelo hegemônico de conhecimento. Esse modelo, ancorado na racionalidade europeia, instituiu uma hierarquia entre saberes, relegando os conhecimentos africanos, ameríndios e populares ao campo do não saber, da ignorância ou da superstição.</w:t>
      </w:r>
    </w:p>
    <w:p w:rsidR="00F40494" w:rsidRDefault="00F40494" w:rsidP="00F40494">
      <w:pPr>
        <w:ind w:firstLine="720"/>
        <w:jc w:val="both"/>
        <w:rPr>
          <w:rFonts w:ascii="Arial" w:hAnsi="Arial" w:cs="Arial"/>
          <w:sz w:val="24"/>
          <w:szCs w:val="24"/>
        </w:rPr>
      </w:pPr>
      <w:r>
        <w:rPr>
          <w:rFonts w:ascii="Arial" w:hAnsi="Arial" w:cs="Arial"/>
          <w:sz w:val="24"/>
          <w:szCs w:val="24"/>
        </w:rPr>
        <w:lastRenderedPageBreak/>
        <w:t>Contudo, a</w:t>
      </w:r>
      <w:r w:rsidR="0061410B" w:rsidRPr="00F40494">
        <w:rPr>
          <w:rFonts w:ascii="Arial" w:hAnsi="Arial" w:cs="Arial"/>
          <w:sz w:val="24"/>
          <w:szCs w:val="24"/>
        </w:rPr>
        <w:t xml:space="preserve"> e</w:t>
      </w:r>
      <w:r>
        <w:rPr>
          <w:rFonts w:ascii="Arial" w:hAnsi="Arial" w:cs="Arial"/>
          <w:sz w:val="24"/>
          <w:szCs w:val="24"/>
        </w:rPr>
        <w:t>ducação</w:t>
      </w:r>
      <w:r w:rsidR="0061410B" w:rsidRPr="00F40494">
        <w:rPr>
          <w:rFonts w:ascii="Arial" w:hAnsi="Arial" w:cs="Arial"/>
          <w:sz w:val="24"/>
          <w:szCs w:val="24"/>
        </w:rPr>
        <w:t xml:space="preserve"> brasileira</w:t>
      </w:r>
      <w:r w:rsidRPr="00F40494">
        <w:rPr>
          <w:rFonts w:ascii="Arial" w:hAnsi="Arial" w:cs="Arial"/>
          <w:sz w:val="24"/>
          <w:szCs w:val="24"/>
        </w:rPr>
        <w:t xml:space="preserve">, </w:t>
      </w:r>
      <w:r w:rsidR="0061410B" w:rsidRPr="00F40494">
        <w:rPr>
          <w:rFonts w:ascii="Arial" w:hAnsi="Arial" w:cs="Arial"/>
          <w:sz w:val="24"/>
          <w:szCs w:val="24"/>
        </w:rPr>
        <w:t>especialmente após a implantação da educação republicana e laica no início do século XX</w:t>
      </w:r>
      <w:r w:rsidRPr="00F40494">
        <w:rPr>
          <w:rFonts w:ascii="Arial" w:hAnsi="Arial" w:cs="Arial"/>
          <w:sz w:val="24"/>
          <w:szCs w:val="24"/>
        </w:rPr>
        <w:t xml:space="preserve">, </w:t>
      </w:r>
      <w:r w:rsidR="0061410B" w:rsidRPr="00F40494">
        <w:rPr>
          <w:rFonts w:ascii="Arial" w:hAnsi="Arial" w:cs="Arial"/>
          <w:sz w:val="24"/>
          <w:szCs w:val="24"/>
        </w:rPr>
        <w:t xml:space="preserve">consolidou-se como espaço de reafirmação da </w:t>
      </w:r>
      <w:proofErr w:type="spellStart"/>
      <w:r w:rsidR="0061410B" w:rsidRPr="00F40494">
        <w:rPr>
          <w:rFonts w:ascii="Arial" w:hAnsi="Arial" w:cs="Arial"/>
          <w:sz w:val="24"/>
          <w:szCs w:val="24"/>
        </w:rPr>
        <w:t>branquitude</w:t>
      </w:r>
      <w:proofErr w:type="spellEnd"/>
      <w:r w:rsidR="0061410B" w:rsidRPr="00F40494">
        <w:rPr>
          <w:rFonts w:ascii="Arial" w:hAnsi="Arial" w:cs="Arial"/>
          <w:sz w:val="24"/>
          <w:szCs w:val="24"/>
        </w:rPr>
        <w:t xml:space="preserve"> e da história oficial. </w:t>
      </w:r>
      <w:r w:rsidRPr="00F40494">
        <w:rPr>
          <w:rFonts w:ascii="Arial" w:hAnsi="Arial" w:cs="Arial"/>
          <w:sz w:val="24"/>
          <w:szCs w:val="24"/>
        </w:rPr>
        <w:t xml:space="preserve">Acerca do assunto, Bento enfatiza </w:t>
      </w:r>
    </w:p>
    <w:p w:rsidR="00F40494" w:rsidRPr="00F40494" w:rsidRDefault="00F40494" w:rsidP="00F40494">
      <w:pPr>
        <w:ind w:firstLine="720"/>
        <w:jc w:val="both"/>
        <w:rPr>
          <w:rFonts w:ascii="Arial" w:hAnsi="Arial" w:cs="Arial"/>
          <w:sz w:val="24"/>
          <w:szCs w:val="24"/>
        </w:rPr>
      </w:pPr>
    </w:p>
    <w:p w:rsidR="00F40494" w:rsidRDefault="00F40494" w:rsidP="00F40494">
      <w:pPr>
        <w:spacing w:line="240" w:lineRule="auto"/>
        <w:ind w:left="2268"/>
        <w:jc w:val="both"/>
        <w:rPr>
          <w:rFonts w:ascii="Arial" w:hAnsi="Arial" w:cs="Arial"/>
          <w:sz w:val="20"/>
          <w:szCs w:val="20"/>
        </w:rPr>
      </w:pPr>
      <w:r w:rsidRPr="00F40494">
        <w:rPr>
          <w:rFonts w:ascii="Arial" w:hAnsi="Arial" w:cs="Arial"/>
          <w:sz w:val="20"/>
          <w:szCs w:val="20"/>
        </w:rPr>
        <w:t>Descendentes de escravocratas e descendentes de escravizados lidam com as heranças acumuladas em histórias de muita dor e violência, que se refletem na vida concreta e simbólica das gerações contemporâneas. Fala-se muito na herança da escravidão e nos seus impactos negativos para as populações negras, mas quase nunca se fala na herança escravocrata e nos seus impactos positivos para as pessoas brancas. (</w:t>
      </w:r>
      <w:r>
        <w:rPr>
          <w:rFonts w:ascii="Arial" w:hAnsi="Arial" w:cs="Arial"/>
          <w:sz w:val="20"/>
          <w:szCs w:val="20"/>
        </w:rPr>
        <w:t xml:space="preserve">Bento, 2022, </w:t>
      </w:r>
      <w:r w:rsidRPr="00F40494">
        <w:rPr>
          <w:rFonts w:ascii="Arial" w:hAnsi="Arial" w:cs="Arial"/>
          <w:sz w:val="20"/>
          <w:szCs w:val="20"/>
        </w:rPr>
        <w:t>p. 23</w:t>
      </w:r>
      <w:r>
        <w:rPr>
          <w:rFonts w:ascii="Arial" w:hAnsi="Arial" w:cs="Arial"/>
          <w:sz w:val="20"/>
          <w:szCs w:val="20"/>
        </w:rPr>
        <w:t>.</w:t>
      </w:r>
      <w:r w:rsidRPr="00F40494">
        <w:rPr>
          <w:rFonts w:ascii="Arial" w:hAnsi="Arial" w:cs="Arial"/>
          <w:sz w:val="20"/>
          <w:szCs w:val="20"/>
        </w:rPr>
        <w:t xml:space="preserve">) </w:t>
      </w:r>
    </w:p>
    <w:p w:rsidR="00F40494" w:rsidRPr="00F40494" w:rsidRDefault="00F40494" w:rsidP="00F40494">
      <w:pPr>
        <w:spacing w:line="240" w:lineRule="auto"/>
        <w:ind w:left="2268"/>
        <w:jc w:val="both"/>
        <w:rPr>
          <w:rFonts w:ascii="Arial" w:hAnsi="Arial" w:cs="Arial"/>
          <w:sz w:val="20"/>
          <w:szCs w:val="20"/>
        </w:rPr>
      </w:pPr>
    </w:p>
    <w:p w:rsidR="00B96E07" w:rsidRDefault="00B96E07">
      <w:pPr>
        <w:spacing w:line="360" w:lineRule="auto"/>
        <w:ind w:firstLine="720"/>
        <w:jc w:val="both"/>
        <w:rPr>
          <w:rFonts w:ascii="Arial" w:hAnsi="Arial" w:cs="Arial"/>
          <w:sz w:val="24"/>
          <w:szCs w:val="24"/>
        </w:rPr>
      </w:pPr>
      <w:r w:rsidRPr="00B96E07">
        <w:rPr>
          <w:rFonts w:ascii="Arial" w:hAnsi="Arial" w:cs="Arial"/>
          <w:sz w:val="24"/>
          <w:szCs w:val="24"/>
        </w:rPr>
        <w:t>A autora ressalta que a sociedade brasileira é profundamente marcada por uma herança escravocrata que perpetua desigualdades raciais. Ou seja, enquanto os impactos negativos da escravidão sobre a população negra são amplamente discutidos, raramente se aborda como essa mesma herança beneficiou positivamente a população branca.</w:t>
      </w:r>
    </w:p>
    <w:p w:rsidR="008817DA" w:rsidRDefault="0061410B">
      <w:pPr>
        <w:spacing w:line="360" w:lineRule="auto"/>
        <w:ind w:firstLine="720"/>
        <w:jc w:val="both"/>
        <w:rPr>
          <w:rFonts w:ascii="Arial" w:hAnsi="Arial" w:cs="Arial"/>
          <w:sz w:val="24"/>
          <w:szCs w:val="24"/>
        </w:rPr>
      </w:pPr>
      <w:r>
        <w:rPr>
          <w:rFonts w:ascii="Arial" w:hAnsi="Arial" w:cs="Arial"/>
          <w:sz w:val="24"/>
          <w:szCs w:val="24"/>
        </w:rPr>
        <w:t xml:space="preserve">Nesse cenário, é pertinente destacar a noção de </w:t>
      </w:r>
      <w:proofErr w:type="spellStart"/>
      <w:r>
        <w:rPr>
          <w:rFonts w:ascii="Arial" w:hAnsi="Arial" w:cs="Arial"/>
          <w:sz w:val="24"/>
          <w:szCs w:val="24"/>
        </w:rPr>
        <w:t>colonialidade</w:t>
      </w:r>
      <w:proofErr w:type="spellEnd"/>
      <w:r>
        <w:rPr>
          <w:rFonts w:ascii="Arial" w:hAnsi="Arial" w:cs="Arial"/>
          <w:sz w:val="24"/>
          <w:szCs w:val="24"/>
        </w:rPr>
        <w:t xml:space="preserve"> do poder, elaborada por Aníbal </w:t>
      </w:r>
      <w:proofErr w:type="spellStart"/>
      <w:r>
        <w:rPr>
          <w:rFonts w:ascii="Arial" w:hAnsi="Arial" w:cs="Arial"/>
          <w:sz w:val="24"/>
          <w:szCs w:val="24"/>
        </w:rPr>
        <w:t>Quijano</w:t>
      </w:r>
      <w:proofErr w:type="spellEnd"/>
      <w:r>
        <w:rPr>
          <w:rFonts w:ascii="Arial" w:hAnsi="Arial" w:cs="Arial"/>
          <w:sz w:val="24"/>
          <w:szCs w:val="24"/>
        </w:rPr>
        <w:t xml:space="preserve"> (2005), a qual se constitui como uma categoria analítica fundamental para compreender as persistentes hierarquias sociais e raciais que estruturam as sociedades pós-coloniais. Tal concepção parte do entendimento de que a </w:t>
      </w:r>
      <w:proofErr w:type="spellStart"/>
      <w:r>
        <w:rPr>
          <w:rFonts w:ascii="Arial" w:hAnsi="Arial" w:cs="Arial"/>
          <w:sz w:val="24"/>
          <w:szCs w:val="24"/>
        </w:rPr>
        <w:t>colonialidade</w:t>
      </w:r>
      <w:proofErr w:type="spellEnd"/>
      <w:r>
        <w:rPr>
          <w:rFonts w:ascii="Arial" w:hAnsi="Arial" w:cs="Arial"/>
          <w:sz w:val="24"/>
          <w:szCs w:val="24"/>
        </w:rPr>
        <w:t xml:space="preserve">, distinta da colonização formal, permanece como lógica organizadora das relações sociais, ao articular a classificação racial como um princípio que regula a divisão do trabalho, a produção de saberes e as formas de subjetivação. Essa lógica opera por meio da naturalização da inferiorização dos sujeitos </w:t>
      </w:r>
      <w:proofErr w:type="spellStart"/>
      <w:r>
        <w:rPr>
          <w:rFonts w:ascii="Arial" w:hAnsi="Arial" w:cs="Arial"/>
          <w:sz w:val="24"/>
          <w:szCs w:val="24"/>
        </w:rPr>
        <w:t>racializados</w:t>
      </w:r>
      <w:proofErr w:type="spellEnd"/>
      <w:r>
        <w:rPr>
          <w:rFonts w:ascii="Arial" w:hAnsi="Arial" w:cs="Arial"/>
          <w:sz w:val="24"/>
          <w:szCs w:val="24"/>
        </w:rPr>
        <w:t xml:space="preserve">, relegando-os a posições subalternizadas nas esferas econômica, epistêmica e política, a partir de um referencial </w:t>
      </w:r>
      <w:proofErr w:type="spellStart"/>
      <w:r>
        <w:rPr>
          <w:rFonts w:ascii="Arial" w:hAnsi="Arial" w:cs="Arial"/>
          <w:sz w:val="24"/>
          <w:szCs w:val="24"/>
        </w:rPr>
        <w:t>eurocentrado</w:t>
      </w:r>
      <w:proofErr w:type="spellEnd"/>
      <w:r>
        <w:rPr>
          <w:rFonts w:ascii="Arial" w:hAnsi="Arial" w:cs="Arial"/>
          <w:sz w:val="24"/>
          <w:szCs w:val="24"/>
        </w:rPr>
        <w:t xml:space="preserve"> de humanidade. </w:t>
      </w:r>
    </w:p>
    <w:p w:rsidR="00E65FD5" w:rsidRDefault="0061410B">
      <w:pPr>
        <w:spacing w:line="360" w:lineRule="auto"/>
        <w:ind w:firstLine="720"/>
        <w:jc w:val="both"/>
        <w:rPr>
          <w:rFonts w:ascii="Arial" w:hAnsi="Arial" w:cs="Arial"/>
          <w:sz w:val="24"/>
          <w:szCs w:val="24"/>
        </w:rPr>
      </w:pPr>
      <w:r>
        <w:rPr>
          <w:rFonts w:ascii="Arial" w:hAnsi="Arial" w:cs="Arial"/>
          <w:sz w:val="24"/>
          <w:szCs w:val="24"/>
        </w:rPr>
        <w:t>No contexto brasileiro, essa dinâmica contribui para a sustentação do racismo estrutural, na medida em que reproduz, sob novas roupagens, as desigualdades forjadas durante o período colonial, consolidando um padrão de poder que marginaliza sistematicamente os saberes e corpos não brancos.</w:t>
      </w:r>
      <w:r w:rsidR="00A24257">
        <w:rPr>
          <w:rFonts w:ascii="Arial" w:hAnsi="Arial" w:cs="Arial"/>
          <w:sz w:val="24"/>
          <w:szCs w:val="24"/>
        </w:rPr>
        <w:t xml:space="preserve"> </w:t>
      </w:r>
      <w:r w:rsidR="00A24257" w:rsidRPr="00A24257">
        <w:rPr>
          <w:rFonts w:ascii="Arial" w:hAnsi="Arial" w:cs="Arial"/>
          <w:sz w:val="24"/>
          <w:szCs w:val="24"/>
        </w:rPr>
        <w:t>Para </w:t>
      </w:r>
      <w:hyperlink r:id="rId6" w:anchor="B1_ref" w:history="1">
        <w:r w:rsidR="00A24257" w:rsidRPr="00A24257">
          <w:rPr>
            <w:rStyle w:val="Hyperlink"/>
            <w:rFonts w:ascii="Arial" w:hAnsi="Arial" w:cs="Arial"/>
            <w:bCs/>
            <w:color w:val="auto"/>
            <w:sz w:val="24"/>
            <w:szCs w:val="24"/>
            <w:u w:val="none"/>
          </w:rPr>
          <w:t>Almeida (2019)</w:t>
        </w:r>
      </w:hyperlink>
      <w:r w:rsidR="00A24257" w:rsidRPr="00A24257">
        <w:rPr>
          <w:rFonts w:ascii="Arial" w:hAnsi="Arial" w:cs="Arial"/>
          <w:sz w:val="24"/>
          <w:szCs w:val="24"/>
        </w:rPr>
        <w:t>, não é possível compreender o racismo sem pensar seu funcionamento a partir das estruturas estatais, pois é por meio do Estado que se opera com a classificação e divisão de pessoas. </w:t>
      </w:r>
    </w:p>
    <w:p w:rsidR="00E65FD5" w:rsidRDefault="0061410B">
      <w:pPr>
        <w:spacing w:line="360" w:lineRule="auto"/>
        <w:ind w:firstLine="720"/>
        <w:jc w:val="both"/>
        <w:rPr>
          <w:rFonts w:ascii="Arial" w:hAnsi="Arial" w:cs="Arial"/>
          <w:sz w:val="24"/>
          <w:szCs w:val="24"/>
        </w:rPr>
      </w:pPr>
      <w:r>
        <w:rPr>
          <w:rFonts w:ascii="Arial" w:hAnsi="Arial" w:cs="Arial"/>
          <w:sz w:val="24"/>
          <w:szCs w:val="24"/>
        </w:rPr>
        <w:lastRenderedPageBreak/>
        <w:t xml:space="preserve">Em sintonia com as contribuições de </w:t>
      </w:r>
      <w:proofErr w:type="spellStart"/>
      <w:r>
        <w:rPr>
          <w:rFonts w:ascii="Arial" w:hAnsi="Arial" w:cs="Arial"/>
          <w:sz w:val="24"/>
          <w:szCs w:val="24"/>
        </w:rPr>
        <w:t>Quijano</w:t>
      </w:r>
      <w:proofErr w:type="spellEnd"/>
      <w:r>
        <w:rPr>
          <w:rFonts w:ascii="Arial" w:hAnsi="Arial" w:cs="Arial"/>
          <w:sz w:val="24"/>
          <w:szCs w:val="24"/>
        </w:rPr>
        <w:t xml:space="preserve"> (2005)</w:t>
      </w:r>
      <w:r w:rsidR="00A24257">
        <w:rPr>
          <w:rFonts w:ascii="Arial" w:hAnsi="Arial" w:cs="Arial"/>
          <w:sz w:val="24"/>
          <w:szCs w:val="24"/>
        </w:rPr>
        <w:t xml:space="preserve"> e Almeida (2019)</w:t>
      </w:r>
      <w:r>
        <w:rPr>
          <w:rFonts w:ascii="Arial" w:hAnsi="Arial" w:cs="Arial"/>
          <w:sz w:val="24"/>
          <w:szCs w:val="24"/>
        </w:rPr>
        <w:t>, Boaventura de Sousa Santos e Maria Paula Meneses (2010) aprofundam o debate sobre a dominação epistemológica imposta pelos regimes coloniais, evidenciando que o processo de colonização não se restringiu ao domínio territorial e econômico, mas operou, sobretudo, no campo do saber. Como podemos analisar a seguir:</w:t>
      </w:r>
    </w:p>
    <w:p w:rsidR="00E65FD5" w:rsidRDefault="00E65FD5">
      <w:pPr>
        <w:spacing w:line="360" w:lineRule="auto"/>
        <w:ind w:firstLine="720"/>
        <w:jc w:val="both"/>
        <w:rPr>
          <w:rFonts w:ascii="Arial" w:hAnsi="Arial" w:cs="Arial"/>
          <w:sz w:val="24"/>
          <w:szCs w:val="24"/>
        </w:rPr>
      </w:pPr>
    </w:p>
    <w:p w:rsidR="00E65FD5" w:rsidRPr="00535C80" w:rsidRDefault="0061410B" w:rsidP="00F94300">
      <w:pPr>
        <w:ind w:leftChars="1030" w:left="2266"/>
        <w:jc w:val="both"/>
        <w:rPr>
          <w:rFonts w:ascii="Arial" w:hAnsi="Arial" w:cs="Arial"/>
          <w:sz w:val="20"/>
          <w:szCs w:val="20"/>
        </w:rPr>
      </w:pPr>
      <w:r w:rsidRPr="00535C80">
        <w:rPr>
          <w:rFonts w:ascii="Arial" w:hAnsi="Arial" w:cs="Arial"/>
          <w:sz w:val="20"/>
          <w:szCs w:val="20"/>
          <w:lang w:eastAsia="zh-CN"/>
        </w:rPr>
        <w:t xml:space="preserve">[...] o mundo é um complexo mosaico multicultural. Todavia, ao longo da </w:t>
      </w:r>
    </w:p>
    <w:p w:rsidR="00E65FD5" w:rsidRPr="00535C80" w:rsidRDefault="0061410B" w:rsidP="00F94300">
      <w:pPr>
        <w:ind w:leftChars="1030" w:left="2266"/>
        <w:jc w:val="both"/>
        <w:rPr>
          <w:rFonts w:ascii="Arial" w:hAnsi="Arial" w:cs="Arial"/>
          <w:sz w:val="20"/>
          <w:szCs w:val="20"/>
        </w:rPr>
      </w:pPr>
      <w:r w:rsidRPr="00535C80">
        <w:rPr>
          <w:rFonts w:ascii="Arial" w:hAnsi="Arial" w:cs="Arial"/>
          <w:sz w:val="20"/>
          <w:szCs w:val="20"/>
          <w:lang w:eastAsia="zh-CN"/>
        </w:rPr>
        <w:t xml:space="preserve">modernidade, a produção do conhecimento científico foi configurada por um único modelo epistemológico, como se o mundo fosse </w:t>
      </w:r>
      <w:proofErr w:type="spellStart"/>
      <w:r w:rsidRPr="00535C80">
        <w:rPr>
          <w:rFonts w:ascii="Arial" w:hAnsi="Arial" w:cs="Arial"/>
          <w:sz w:val="20"/>
          <w:szCs w:val="20"/>
          <w:lang w:eastAsia="zh-CN"/>
        </w:rPr>
        <w:t>monocultural</w:t>
      </w:r>
      <w:proofErr w:type="spellEnd"/>
      <w:r w:rsidRPr="00535C80">
        <w:rPr>
          <w:rFonts w:ascii="Arial" w:hAnsi="Arial" w:cs="Arial"/>
          <w:sz w:val="20"/>
          <w:szCs w:val="20"/>
          <w:lang w:eastAsia="zh-CN"/>
        </w:rPr>
        <w:t xml:space="preserve">, o qual </w:t>
      </w:r>
    </w:p>
    <w:p w:rsidR="00E65FD5" w:rsidRDefault="0061410B" w:rsidP="00F94300">
      <w:pPr>
        <w:ind w:leftChars="1030" w:left="2266"/>
        <w:jc w:val="both"/>
        <w:rPr>
          <w:rFonts w:ascii="Arial" w:hAnsi="Arial" w:cs="Arial"/>
          <w:sz w:val="20"/>
          <w:szCs w:val="20"/>
        </w:rPr>
      </w:pPr>
      <w:r w:rsidRPr="00535C80">
        <w:rPr>
          <w:rFonts w:ascii="Arial" w:hAnsi="Arial" w:cs="Arial"/>
          <w:sz w:val="20"/>
          <w:szCs w:val="20"/>
          <w:lang w:eastAsia="zh-CN"/>
        </w:rPr>
        <w:t xml:space="preserve">descontextualizou o conhecimento e impediu a emergência de outras formas de saber não redutíveis a esse paradigma. Assistiu-se, assim, a uma espécie de </w:t>
      </w:r>
      <w:proofErr w:type="spellStart"/>
      <w:r w:rsidRPr="00535C80">
        <w:rPr>
          <w:rFonts w:ascii="Arial" w:hAnsi="Arial" w:cs="Arial"/>
          <w:sz w:val="20"/>
          <w:szCs w:val="20"/>
          <w:lang w:eastAsia="zh-CN"/>
        </w:rPr>
        <w:t>epistemicídio</w:t>
      </w:r>
      <w:proofErr w:type="spellEnd"/>
      <w:r w:rsidRPr="00535C80">
        <w:rPr>
          <w:rFonts w:ascii="Arial" w:hAnsi="Arial" w:cs="Arial"/>
          <w:sz w:val="20"/>
          <w:szCs w:val="20"/>
          <w:lang w:eastAsia="zh-CN"/>
        </w:rPr>
        <w:t>, ou seja, à destruição de algumas formas de saber locais, à inferiorização de outras, desperdiçando-se, em nome dos desígnios do colonialismo, a riqueza de perspectivas presentes na diversidade cultura</w:t>
      </w:r>
      <w:r w:rsidR="00F94300" w:rsidRPr="00535C80">
        <w:rPr>
          <w:rFonts w:ascii="Arial" w:hAnsi="Arial" w:cs="Arial"/>
          <w:sz w:val="20"/>
          <w:szCs w:val="20"/>
          <w:lang w:eastAsia="zh-CN"/>
        </w:rPr>
        <w:t xml:space="preserve"> </w:t>
      </w:r>
      <w:r w:rsidRPr="00535C80">
        <w:rPr>
          <w:rFonts w:ascii="Arial" w:hAnsi="Arial" w:cs="Arial"/>
          <w:sz w:val="20"/>
          <w:szCs w:val="20"/>
          <w:lang w:eastAsia="zh-CN"/>
        </w:rPr>
        <w:t>e nas multifacetadas visões do mundo por elas protagonizadas</w:t>
      </w:r>
      <w:r w:rsidR="00535C80" w:rsidRPr="00535C80">
        <w:rPr>
          <w:rFonts w:ascii="Arial" w:hAnsi="Arial" w:cs="Arial"/>
          <w:sz w:val="20"/>
          <w:szCs w:val="20"/>
          <w:lang w:eastAsia="zh-CN"/>
        </w:rPr>
        <w:t>. (2010c, p. 49),</w:t>
      </w:r>
    </w:p>
    <w:p w:rsidR="00E65FD5" w:rsidRDefault="00E65FD5" w:rsidP="00F94300">
      <w:pPr>
        <w:ind w:leftChars="1030" w:left="2266"/>
        <w:jc w:val="both"/>
        <w:rPr>
          <w:rFonts w:ascii="Arial" w:hAnsi="Arial" w:cs="Arial"/>
          <w:sz w:val="20"/>
          <w:szCs w:val="20"/>
        </w:rPr>
      </w:pP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 Os autores apontam que, para garantir a consolidação da hegemonia europeia, o sistema colonial promoveu a supressão sistemática de saberes, práticas culturais e cosmovisões dos povos colonizados, especialmente indígenas e africanos. Esse apagamento intencional, descrito pelos autores como “</w:t>
      </w:r>
      <w:proofErr w:type="spellStart"/>
      <w:r>
        <w:rPr>
          <w:rFonts w:ascii="Arial" w:hAnsi="Arial" w:cs="Arial"/>
          <w:sz w:val="24"/>
          <w:szCs w:val="24"/>
        </w:rPr>
        <w:t>epistemicídio</w:t>
      </w:r>
      <w:proofErr w:type="spellEnd"/>
      <w:r>
        <w:rPr>
          <w:rFonts w:ascii="Arial" w:hAnsi="Arial" w:cs="Arial"/>
          <w:sz w:val="24"/>
          <w:szCs w:val="24"/>
        </w:rPr>
        <w:t xml:space="preserve">”, consistiu na negação da validade de outras formas de produção do conhecimento, resultando em uma hierarquização epistêmica que colocou o pensamento ocidental em posição de supremacia. </w:t>
      </w:r>
    </w:p>
    <w:p w:rsidR="00E65FD5" w:rsidRDefault="0061410B">
      <w:pPr>
        <w:spacing w:line="360" w:lineRule="auto"/>
        <w:ind w:firstLine="720"/>
        <w:jc w:val="both"/>
        <w:rPr>
          <w:rFonts w:ascii="Arial" w:hAnsi="Arial" w:cs="Arial"/>
          <w:sz w:val="24"/>
          <w:szCs w:val="24"/>
          <w:lang w:eastAsia="zh-CN"/>
        </w:rPr>
      </w:pPr>
      <w:r>
        <w:rPr>
          <w:rFonts w:ascii="Arial" w:hAnsi="Arial" w:cs="Arial"/>
          <w:sz w:val="24"/>
          <w:szCs w:val="24"/>
        </w:rPr>
        <w:t xml:space="preserve">Nesse processo, saberes tradicionais foram deslegitimados e substituídos por uma racionalidade eurocêntrica, marcada por uma visão totalizante, homogeneizadora e </w:t>
      </w:r>
      <w:proofErr w:type="spellStart"/>
      <w:r>
        <w:rPr>
          <w:rFonts w:ascii="Arial" w:hAnsi="Arial" w:cs="Arial"/>
          <w:sz w:val="24"/>
          <w:szCs w:val="24"/>
        </w:rPr>
        <w:t>monocultural</w:t>
      </w:r>
      <w:proofErr w:type="spellEnd"/>
      <w:r>
        <w:rPr>
          <w:rFonts w:ascii="Arial" w:hAnsi="Arial" w:cs="Arial"/>
          <w:sz w:val="24"/>
          <w:szCs w:val="24"/>
        </w:rPr>
        <w:t xml:space="preserve">. </w:t>
      </w:r>
      <w:r>
        <w:rPr>
          <w:rFonts w:ascii="Arial" w:hAnsi="Arial" w:cs="Arial"/>
          <w:sz w:val="24"/>
          <w:szCs w:val="24"/>
          <w:lang w:val="en-US" w:eastAsia="zh-CN"/>
        </w:rPr>
        <w:t>Carneiro (2023)</w:t>
      </w:r>
      <w:r>
        <w:rPr>
          <w:rFonts w:ascii="Arial" w:hAnsi="Arial" w:cs="Arial"/>
          <w:sz w:val="24"/>
          <w:szCs w:val="24"/>
          <w:lang w:eastAsia="zh-CN"/>
        </w:rPr>
        <w:t xml:space="preserve"> corrobora que:</w:t>
      </w:r>
    </w:p>
    <w:p w:rsidR="00F40494" w:rsidRDefault="00F40494">
      <w:pPr>
        <w:spacing w:line="360" w:lineRule="auto"/>
        <w:ind w:firstLine="720"/>
        <w:jc w:val="both"/>
        <w:rPr>
          <w:rFonts w:ascii="Arial" w:hAnsi="Arial" w:cs="Arial"/>
          <w:sz w:val="24"/>
          <w:szCs w:val="24"/>
          <w:lang w:eastAsia="zh-CN"/>
        </w:rPr>
      </w:pPr>
    </w:p>
    <w:p w:rsidR="00E65FD5" w:rsidRDefault="0061410B" w:rsidP="00F94300">
      <w:pPr>
        <w:spacing w:line="240" w:lineRule="auto"/>
        <w:ind w:leftChars="1030" w:left="2266"/>
        <w:jc w:val="both"/>
        <w:rPr>
          <w:rFonts w:ascii="Arial" w:hAnsi="Arial" w:cs="Arial"/>
          <w:sz w:val="20"/>
          <w:szCs w:val="20"/>
          <w:lang w:eastAsia="zh-CN"/>
        </w:rPr>
      </w:pPr>
      <w:r>
        <w:rPr>
          <w:rFonts w:ascii="Arial" w:hAnsi="Arial" w:cs="Arial"/>
          <w:sz w:val="20"/>
          <w:szCs w:val="20"/>
          <w:lang w:eastAsia="zh-CN"/>
        </w:rPr>
        <w:t xml:space="preserve">Para além da anulação e desqualificação do conhecimento dos povos subjugados, o </w:t>
      </w:r>
      <w:proofErr w:type="spellStart"/>
      <w:r>
        <w:rPr>
          <w:rFonts w:ascii="Arial" w:hAnsi="Arial" w:cs="Arial"/>
          <w:sz w:val="20"/>
          <w:szCs w:val="20"/>
          <w:lang w:eastAsia="zh-CN"/>
        </w:rPr>
        <w:t>epistemicídio</w:t>
      </w:r>
      <w:proofErr w:type="spellEnd"/>
      <w:r>
        <w:rPr>
          <w:rFonts w:ascii="Arial" w:hAnsi="Arial" w:cs="Arial"/>
          <w:sz w:val="20"/>
          <w:szCs w:val="20"/>
          <w:lang w:eastAsia="zh-CN"/>
        </w:rPr>
        <w:t xml:space="preserve"> implica um processo persistente de produção da indigência cultural ela negação ao acesso à educação, sobretudo a de qualidade; pela produção da inferiorização intelectual; pelos diferentes mecanismos de deslegitimação do negro como portador e produtor de conhecimento e pelo rebaixamento da sua capacidade cognitiva; pela carência material e/ou pelo comprometimento da sua autoestima pelos processos de discriminação correntes no processo educativo. Isto porque não é possível desqualificar as formas de conhecimento dos povos dominados </w:t>
      </w:r>
      <w:r>
        <w:rPr>
          <w:rFonts w:ascii="Arial" w:hAnsi="Arial" w:cs="Arial"/>
          <w:sz w:val="20"/>
          <w:szCs w:val="20"/>
          <w:lang w:eastAsia="zh-CN"/>
        </w:rPr>
        <w:lastRenderedPageBreak/>
        <w:t>sem desqualificá-los também, individual e coletivamente, como sujeitos cognoscentes. (Carneiro, 2023 p.82)</w:t>
      </w:r>
    </w:p>
    <w:p w:rsidR="00535C80" w:rsidRPr="00F94300" w:rsidRDefault="00535C80" w:rsidP="00F94300">
      <w:pPr>
        <w:spacing w:line="240" w:lineRule="auto"/>
        <w:ind w:leftChars="1030" w:left="2266"/>
        <w:jc w:val="both"/>
        <w:rPr>
          <w:rFonts w:ascii="Arial" w:hAnsi="Arial" w:cs="Arial"/>
          <w:sz w:val="20"/>
          <w:szCs w:val="20"/>
          <w:lang w:eastAsia="zh-CN"/>
        </w:rPr>
      </w:pP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Dessa forma, o </w:t>
      </w:r>
      <w:proofErr w:type="spellStart"/>
      <w:r>
        <w:rPr>
          <w:rFonts w:ascii="Arial" w:hAnsi="Arial" w:cs="Arial"/>
          <w:sz w:val="24"/>
          <w:szCs w:val="24"/>
        </w:rPr>
        <w:t>epistemicídio</w:t>
      </w:r>
      <w:proofErr w:type="spellEnd"/>
      <w:r>
        <w:rPr>
          <w:rFonts w:ascii="Arial" w:hAnsi="Arial" w:cs="Arial"/>
          <w:sz w:val="24"/>
          <w:szCs w:val="24"/>
        </w:rPr>
        <w:t xml:space="preserve"> não se limita à desvalorização dos saberes tradicionais dos povos historicamente oprimidos; trata-se de um processo contínuo e sistemático de empobrecimento cultural. Tal processo manifesta-se na negação do direito a uma educação equitativa e de qualidade, na produção simbólica de uma sensação de inferioridade intelectual e na implementação de mecanismos sutis e explícitos que desautorizam a população negra como legítima portadora e produtora de conhecimento. Esse apagamento se traduz, ainda, na redução de sua capacidade cognitiva aos olhos das instituições educacionais, agravado pela escassez de recursos materiais e pelo impacto negativo sobre a autoestima dos estudantes negros, fruto direto das práticas discriminatórias presentes no cotidiano escolar. Com efeito, não é possível deslegitimar os sistemas de conhecimento oriundos das populações subalternizadas sem, simultaneamente, negar sua humanidade e sua capacidade coletiva e individual de produzir, acessar e interpretar o mundo a partir de suas próprias referências culturais.</w:t>
      </w:r>
    </w:p>
    <w:p w:rsidR="00E65FD5" w:rsidRDefault="00E65FD5">
      <w:pPr>
        <w:spacing w:line="360" w:lineRule="auto"/>
        <w:ind w:firstLine="720"/>
        <w:jc w:val="both"/>
        <w:rPr>
          <w:rFonts w:ascii="Arial" w:hAnsi="Arial" w:cs="Arial"/>
          <w:sz w:val="24"/>
          <w:szCs w:val="24"/>
        </w:rPr>
      </w:pPr>
    </w:p>
    <w:p w:rsidR="00E65FD5" w:rsidRDefault="0061410B">
      <w:pPr>
        <w:spacing w:line="360" w:lineRule="auto"/>
        <w:jc w:val="both"/>
        <w:rPr>
          <w:rFonts w:ascii="Arial" w:hAnsi="Arial" w:cs="Arial"/>
          <w:sz w:val="24"/>
          <w:szCs w:val="24"/>
        </w:rPr>
      </w:pPr>
      <w:r>
        <w:rPr>
          <w:rFonts w:ascii="Arial" w:hAnsi="Arial" w:cs="Arial"/>
          <w:b/>
          <w:sz w:val="24"/>
          <w:szCs w:val="24"/>
        </w:rPr>
        <w:t>3. A RESISTÊNCIA NEGRA E A LUTA POR UM CURRÍCULO ANTIRRACISTA</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A luta do movimento negro por reconhecimento e reparação se materializou em diferentes frentes, sendo a educação uma de suas trincheiras mais consistentes. Como nos lembra </w:t>
      </w:r>
      <w:proofErr w:type="spellStart"/>
      <w:r>
        <w:rPr>
          <w:rFonts w:ascii="Arial" w:hAnsi="Arial" w:cs="Arial"/>
          <w:sz w:val="24"/>
          <w:szCs w:val="24"/>
        </w:rPr>
        <w:t>Nilma</w:t>
      </w:r>
      <w:proofErr w:type="spellEnd"/>
      <w:r>
        <w:rPr>
          <w:rFonts w:ascii="Arial" w:hAnsi="Arial" w:cs="Arial"/>
          <w:sz w:val="24"/>
          <w:szCs w:val="24"/>
        </w:rPr>
        <w:t xml:space="preserve"> Lino Gomes (2017), o movimento negro educador foi responsável por provocar rupturas e por pressionar o Estado a adotar políticas públicas voltadas para a equidade racial, como é o caso da Lei 10.639/03.</w:t>
      </w:r>
    </w:p>
    <w:p w:rsidR="00E65FD5" w:rsidRDefault="0061410B">
      <w:pPr>
        <w:spacing w:line="360" w:lineRule="auto"/>
        <w:ind w:firstLine="709"/>
        <w:jc w:val="both"/>
        <w:rPr>
          <w:rFonts w:ascii="Arial" w:hAnsi="Arial" w:cs="Arial"/>
          <w:sz w:val="24"/>
          <w:szCs w:val="24"/>
        </w:rPr>
      </w:pPr>
      <w:r>
        <w:rPr>
          <w:rFonts w:ascii="Arial" w:hAnsi="Arial" w:cs="Arial"/>
          <w:sz w:val="24"/>
          <w:szCs w:val="24"/>
        </w:rPr>
        <w:t>Essa legislação, embora conquiste um marco legal importante, enfrenta desafios estruturais e simbólicos para sua implementação. A ausência de formação docente específica, a carência de materiais didáticos representativos e a resistência ideológica de setores da sociedade comprometem a consolidação de uma proposta curricular que valorize os saberes negros.</w:t>
      </w:r>
    </w:p>
    <w:p w:rsidR="00E65FD5" w:rsidRDefault="0061410B">
      <w:pPr>
        <w:spacing w:line="360" w:lineRule="auto"/>
        <w:ind w:firstLine="720"/>
        <w:jc w:val="both"/>
        <w:rPr>
          <w:rFonts w:ascii="Arial" w:hAnsi="Arial" w:cs="Arial"/>
          <w:sz w:val="24"/>
          <w:szCs w:val="24"/>
          <w:lang w:eastAsia="zh-CN"/>
        </w:rPr>
      </w:pPr>
      <w:r>
        <w:rPr>
          <w:rFonts w:ascii="Arial" w:hAnsi="Arial" w:cs="Arial"/>
          <w:sz w:val="24"/>
          <w:szCs w:val="24"/>
          <w:lang w:eastAsia="zh-CN"/>
        </w:rPr>
        <w:lastRenderedPageBreak/>
        <w:t>N</w:t>
      </w:r>
      <w:r>
        <w:rPr>
          <w:rFonts w:ascii="Arial" w:hAnsi="Arial" w:cs="Arial"/>
          <w:sz w:val="24"/>
          <w:szCs w:val="24"/>
          <w:lang w:val="en-US" w:eastAsia="zh-CN"/>
        </w:rPr>
        <w:t xml:space="preserve">o que </w:t>
      </w:r>
      <w:proofErr w:type="spellStart"/>
      <w:r>
        <w:rPr>
          <w:rFonts w:ascii="Arial" w:hAnsi="Arial" w:cs="Arial"/>
          <w:sz w:val="24"/>
          <w:szCs w:val="24"/>
          <w:lang w:val="en-US" w:eastAsia="zh-CN"/>
        </w:rPr>
        <w:t>tange</w:t>
      </w:r>
      <w:proofErr w:type="spellEnd"/>
      <w:r>
        <w:rPr>
          <w:rFonts w:ascii="Arial" w:hAnsi="Arial" w:cs="Arial"/>
          <w:sz w:val="24"/>
          <w:szCs w:val="24"/>
          <w:lang w:val="en-US" w:eastAsia="zh-CN"/>
        </w:rPr>
        <w:t xml:space="preserve"> à </w:t>
      </w:r>
      <w:r>
        <w:rPr>
          <w:rFonts w:ascii="Arial" w:hAnsi="Arial" w:cs="Arial"/>
          <w:sz w:val="24"/>
          <w:szCs w:val="24"/>
          <w:lang w:eastAsia="zh-CN"/>
        </w:rPr>
        <w:t>docência</w:t>
      </w:r>
      <w:r>
        <w:rPr>
          <w:rFonts w:ascii="Arial" w:hAnsi="Arial" w:cs="Arial"/>
          <w:sz w:val="24"/>
          <w:szCs w:val="24"/>
          <w:lang w:val="en-US" w:eastAsia="zh-CN"/>
        </w:rPr>
        <w:t xml:space="preserve">, </w:t>
      </w:r>
      <w:proofErr w:type="spellStart"/>
      <w:r>
        <w:rPr>
          <w:rFonts w:ascii="Arial" w:hAnsi="Arial" w:cs="Arial"/>
          <w:sz w:val="24"/>
          <w:szCs w:val="24"/>
          <w:lang w:val="en-US" w:eastAsia="zh-CN"/>
        </w:rPr>
        <w:t>percebemos</w:t>
      </w:r>
      <w:proofErr w:type="spellEnd"/>
      <w:r>
        <w:rPr>
          <w:rFonts w:ascii="Arial" w:hAnsi="Arial" w:cs="Arial"/>
          <w:sz w:val="24"/>
          <w:szCs w:val="24"/>
          <w:lang w:val="en-US" w:eastAsia="zh-CN"/>
        </w:rPr>
        <w:t xml:space="preserve"> que </w:t>
      </w:r>
      <w:proofErr w:type="spellStart"/>
      <w:r>
        <w:rPr>
          <w:rFonts w:ascii="Arial" w:hAnsi="Arial" w:cs="Arial"/>
          <w:sz w:val="24"/>
          <w:szCs w:val="24"/>
          <w:lang w:val="en-US" w:eastAsia="zh-CN"/>
        </w:rPr>
        <w:t>ela</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pode</w:t>
      </w:r>
      <w:proofErr w:type="spellEnd"/>
      <w:r>
        <w:rPr>
          <w:rFonts w:ascii="Arial" w:hAnsi="Arial" w:cs="Arial"/>
          <w:sz w:val="24"/>
          <w:szCs w:val="24"/>
          <w:lang w:val="en-US" w:eastAsia="zh-CN"/>
        </w:rPr>
        <w:t xml:space="preserve"> se </w:t>
      </w:r>
      <w:proofErr w:type="spellStart"/>
      <w:r>
        <w:rPr>
          <w:rFonts w:ascii="Arial" w:hAnsi="Arial" w:cs="Arial"/>
          <w:sz w:val="24"/>
          <w:szCs w:val="24"/>
          <w:lang w:val="en-US" w:eastAsia="zh-CN"/>
        </w:rPr>
        <w:t>beneficiar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imensamente</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ao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incorporar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saberes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produzidos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pelo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Movimento</w:t>
      </w:r>
      <w:proofErr w:type="spellEnd"/>
      <w:r>
        <w:rPr>
          <w:rFonts w:ascii="Arial" w:hAnsi="Arial" w:cs="Arial"/>
          <w:sz w:val="24"/>
          <w:szCs w:val="24"/>
          <w:lang w:val="en-US" w:eastAsia="zh-CN"/>
        </w:rPr>
        <w:t xml:space="preserve"> Negro. </w:t>
      </w:r>
      <w:proofErr w:type="spellStart"/>
      <w:r>
        <w:rPr>
          <w:rFonts w:ascii="Arial" w:hAnsi="Arial" w:cs="Arial"/>
          <w:sz w:val="24"/>
          <w:szCs w:val="24"/>
          <w:lang w:val="en-US" w:eastAsia="zh-CN"/>
        </w:rPr>
        <w:t>Esses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saberes</w:t>
      </w:r>
      <w:proofErr w:type="spellEnd"/>
      <w:r>
        <w:rPr>
          <w:rFonts w:ascii="Arial" w:hAnsi="Arial" w:cs="Arial"/>
          <w:sz w:val="24"/>
          <w:szCs w:val="24"/>
          <w:lang w:val="en-US" w:eastAsia="zh-CN"/>
        </w:rPr>
        <w:t xml:space="preserve">, que </w:t>
      </w:r>
      <w:proofErr w:type="spellStart"/>
      <w:r>
        <w:rPr>
          <w:rFonts w:ascii="Arial" w:hAnsi="Arial" w:cs="Arial"/>
          <w:sz w:val="24"/>
          <w:szCs w:val="24"/>
          <w:lang w:val="en-US" w:eastAsia="zh-CN"/>
        </w:rPr>
        <w:t>emergem</w:t>
      </w:r>
      <w:proofErr w:type="spellEnd"/>
      <w:r>
        <w:rPr>
          <w:rFonts w:ascii="Arial" w:hAnsi="Arial" w:cs="Arial"/>
          <w:sz w:val="24"/>
          <w:szCs w:val="24"/>
          <w:lang w:val="en-US" w:eastAsia="zh-CN"/>
        </w:rPr>
        <w:t xml:space="preserve"> das </w:t>
      </w:r>
      <w:proofErr w:type="spellStart"/>
      <w:r>
        <w:rPr>
          <w:rFonts w:ascii="Arial" w:hAnsi="Arial" w:cs="Arial"/>
          <w:sz w:val="24"/>
          <w:szCs w:val="24"/>
          <w:lang w:val="en-US" w:eastAsia="zh-CN"/>
        </w:rPr>
        <w:t>lutas</w:t>
      </w:r>
      <w:proofErr w:type="spellEnd"/>
      <w:r>
        <w:rPr>
          <w:rFonts w:ascii="Arial" w:hAnsi="Arial" w:cs="Arial"/>
          <w:sz w:val="24"/>
          <w:szCs w:val="24"/>
          <w:lang w:val="en-US" w:eastAsia="zh-CN"/>
        </w:rPr>
        <w:t xml:space="preserve"> por </w:t>
      </w:r>
      <w:proofErr w:type="spellStart"/>
      <w:r>
        <w:rPr>
          <w:rFonts w:ascii="Arial" w:hAnsi="Arial" w:cs="Arial"/>
          <w:sz w:val="24"/>
          <w:szCs w:val="24"/>
          <w:lang w:val="en-US" w:eastAsia="zh-CN"/>
        </w:rPr>
        <w:t>emancipação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têm</w:t>
      </w:r>
      <w:proofErr w:type="spellEnd"/>
      <w:r>
        <w:rPr>
          <w:rFonts w:ascii="Arial" w:hAnsi="Arial" w:cs="Arial"/>
          <w:sz w:val="24"/>
          <w:szCs w:val="24"/>
          <w:lang w:val="en-US" w:eastAsia="zh-CN"/>
        </w:rPr>
        <w:t xml:space="preserve"> o </w:t>
      </w:r>
      <w:proofErr w:type="spellStart"/>
      <w:r>
        <w:rPr>
          <w:rFonts w:ascii="Arial" w:hAnsi="Arial" w:cs="Arial"/>
          <w:sz w:val="24"/>
          <w:szCs w:val="24"/>
          <w:lang w:val="en-US" w:eastAsia="zh-CN"/>
        </w:rPr>
        <w:t>potencial</w:t>
      </w:r>
      <w:proofErr w:type="spellEnd"/>
      <w:r>
        <w:rPr>
          <w:rFonts w:ascii="Arial" w:hAnsi="Arial" w:cs="Arial"/>
          <w:sz w:val="24"/>
          <w:szCs w:val="24"/>
          <w:lang w:val="en-US" w:eastAsia="zh-CN"/>
        </w:rPr>
        <w:t xml:space="preserve"> de </w:t>
      </w:r>
      <w:proofErr w:type="spellStart"/>
      <w:r>
        <w:rPr>
          <w:rFonts w:ascii="Arial" w:hAnsi="Arial" w:cs="Arial"/>
          <w:sz w:val="24"/>
          <w:szCs w:val="24"/>
          <w:lang w:val="en-US" w:eastAsia="zh-CN"/>
        </w:rPr>
        <w:t>subverter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teorias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educacionais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tradicionais</w:t>
      </w:r>
      <w:proofErr w:type="spellEnd"/>
      <w:r>
        <w:rPr>
          <w:rFonts w:ascii="Arial" w:hAnsi="Arial" w:cs="Arial"/>
          <w:sz w:val="24"/>
          <w:szCs w:val="24"/>
          <w:lang w:val="en-US" w:eastAsia="zh-CN"/>
        </w:rPr>
        <w:t xml:space="preserve">, </w:t>
      </w:r>
      <w:r>
        <w:rPr>
          <w:rFonts w:ascii="Arial" w:hAnsi="Arial" w:cs="Arial"/>
          <w:sz w:val="24"/>
          <w:szCs w:val="24"/>
          <w:lang w:eastAsia="zh-CN"/>
        </w:rPr>
        <w:t>permitindo</w:t>
      </w:r>
      <w:r>
        <w:rPr>
          <w:rFonts w:ascii="Arial" w:hAnsi="Arial" w:cs="Arial"/>
          <w:sz w:val="24"/>
          <w:szCs w:val="24"/>
          <w:lang w:val="en-US" w:eastAsia="zh-CN"/>
        </w:rPr>
        <w:t xml:space="preserve"> </w:t>
      </w:r>
      <w:proofErr w:type="spellStart"/>
      <w:r>
        <w:rPr>
          <w:rFonts w:ascii="Arial" w:hAnsi="Arial" w:cs="Arial"/>
          <w:sz w:val="24"/>
          <w:szCs w:val="24"/>
          <w:lang w:val="en-US" w:eastAsia="zh-CN"/>
        </w:rPr>
        <w:t>repensar</w:t>
      </w:r>
      <w:proofErr w:type="spellEnd"/>
      <w:r>
        <w:rPr>
          <w:rFonts w:ascii="Arial" w:hAnsi="Arial" w:cs="Arial"/>
          <w:sz w:val="24"/>
          <w:szCs w:val="24"/>
          <w:lang w:val="en-US" w:eastAsia="zh-CN"/>
        </w:rPr>
        <w:t xml:space="preserve"> </w:t>
      </w:r>
      <w:proofErr w:type="gramStart"/>
      <w:r>
        <w:rPr>
          <w:rFonts w:ascii="Arial" w:hAnsi="Arial" w:cs="Arial"/>
          <w:sz w:val="24"/>
          <w:szCs w:val="24"/>
          <w:lang w:val="en-US" w:eastAsia="zh-CN"/>
        </w:rPr>
        <w:t>a</w:t>
      </w:r>
      <w:proofErr w:type="gramEnd"/>
      <w:r>
        <w:rPr>
          <w:rFonts w:ascii="Arial" w:hAnsi="Arial" w:cs="Arial"/>
          <w:sz w:val="24"/>
          <w:szCs w:val="24"/>
          <w:lang w:val="en-US" w:eastAsia="zh-CN"/>
        </w:rPr>
        <w:t xml:space="preserve"> </w:t>
      </w:r>
      <w:proofErr w:type="spellStart"/>
      <w:r>
        <w:rPr>
          <w:rFonts w:ascii="Arial" w:hAnsi="Arial" w:cs="Arial"/>
          <w:sz w:val="24"/>
          <w:szCs w:val="24"/>
          <w:lang w:val="en-US" w:eastAsia="zh-CN"/>
        </w:rPr>
        <w:t>escola</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descolonizar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currículos</w:t>
      </w:r>
      <w:proofErr w:type="spellEnd"/>
      <w:r>
        <w:rPr>
          <w:rFonts w:ascii="Arial" w:hAnsi="Arial" w:cs="Arial"/>
          <w:sz w:val="24"/>
          <w:szCs w:val="24"/>
          <w:lang w:val="en-US" w:eastAsia="zh-CN"/>
        </w:rPr>
        <w:t xml:space="preserve"> e </w:t>
      </w:r>
      <w:proofErr w:type="spellStart"/>
      <w:r>
        <w:rPr>
          <w:rFonts w:ascii="Arial" w:hAnsi="Arial" w:cs="Arial"/>
          <w:sz w:val="24"/>
          <w:szCs w:val="24"/>
          <w:lang w:val="en-US" w:eastAsia="zh-CN"/>
        </w:rPr>
        <w:t>dar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visibilidade</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às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vivências</w:t>
      </w:r>
      <w:proofErr w:type="spellEnd"/>
      <w:r>
        <w:rPr>
          <w:rFonts w:ascii="Arial" w:hAnsi="Arial" w:cs="Arial"/>
          <w:sz w:val="24"/>
          <w:szCs w:val="24"/>
          <w:lang w:val="en-US" w:eastAsia="zh-CN"/>
        </w:rPr>
        <w:t xml:space="preserve"> e </w:t>
      </w:r>
      <w:proofErr w:type="spellStart"/>
      <w:r>
        <w:rPr>
          <w:rFonts w:ascii="Arial" w:hAnsi="Arial" w:cs="Arial"/>
          <w:sz w:val="24"/>
          <w:szCs w:val="24"/>
          <w:lang w:val="en-US" w:eastAsia="zh-CN"/>
        </w:rPr>
        <w:t>práticas</w:t>
      </w:r>
      <w:proofErr w:type="spellEnd"/>
      <w:r>
        <w:rPr>
          <w:rFonts w:ascii="Arial" w:hAnsi="Arial" w:cs="Arial"/>
          <w:sz w:val="24"/>
          <w:szCs w:val="24"/>
          <w:lang w:val="en-US" w:eastAsia="zh-CN"/>
        </w:rPr>
        <w:t xml:space="preserve"> dos </w:t>
      </w:r>
      <w:proofErr w:type="spellStart"/>
      <w:r>
        <w:rPr>
          <w:rFonts w:ascii="Arial" w:hAnsi="Arial" w:cs="Arial"/>
          <w:sz w:val="24"/>
          <w:szCs w:val="24"/>
          <w:lang w:val="en-US" w:eastAsia="zh-CN"/>
        </w:rPr>
        <w:t>sujeitos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historicamente</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marginalizados</w:t>
      </w:r>
      <w:proofErr w:type="spellEnd"/>
      <w:r>
        <w:rPr>
          <w:rFonts w:ascii="Arial" w:hAnsi="Arial" w:cs="Arial"/>
          <w:sz w:val="24"/>
          <w:szCs w:val="24"/>
          <w:lang w:eastAsia="zh-CN"/>
        </w:rPr>
        <w:t xml:space="preserve">. Acerca do assunto, </w:t>
      </w:r>
      <w:proofErr w:type="spellStart"/>
      <w:r>
        <w:rPr>
          <w:rFonts w:ascii="Arial" w:hAnsi="Arial" w:cs="Arial"/>
          <w:sz w:val="24"/>
          <w:szCs w:val="24"/>
          <w:lang w:eastAsia="zh-CN"/>
        </w:rPr>
        <w:t>Nilma</w:t>
      </w:r>
      <w:proofErr w:type="spellEnd"/>
      <w:r>
        <w:rPr>
          <w:rFonts w:ascii="Arial" w:hAnsi="Arial" w:cs="Arial"/>
          <w:sz w:val="24"/>
          <w:szCs w:val="24"/>
          <w:lang w:eastAsia="zh-CN"/>
        </w:rPr>
        <w:t xml:space="preserve"> nos incita à reflexão: </w:t>
      </w:r>
    </w:p>
    <w:p w:rsidR="00951F1A" w:rsidRDefault="00951F1A">
      <w:pPr>
        <w:spacing w:line="360" w:lineRule="auto"/>
        <w:ind w:firstLine="720"/>
        <w:jc w:val="both"/>
        <w:rPr>
          <w:rFonts w:ascii="Arial" w:hAnsi="Arial" w:cs="Arial"/>
          <w:sz w:val="24"/>
          <w:szCs w:val="24"/>
          <w:lang w:eastAsia="zh-CN"/>
        </w:rPr>
      </w:pPr>
    </w:p>
    <w:p w:rsidR="00E65FD5" w:rsidRPr="006C50EA" w:rsidRDefault="0061410B" w:rsidP="00951F1A">
      <w:pPr>
        <w:ind w:left="2268"/>
        <w:jc w:val="both"/>
        <w:rPr>
          <w:rFonts w:ascii="Arial" w:hAnsi="Arial" w:cs="Arial"/>
          <w:sz w:val="20"/>
          <w:szCs w:val="20"/>
        </w:rPr>
      </w:pPr>
      <w:r w:rsidRPr="006C50EA">
        <w:rPr>
          <w:rFonts w:ascii="Arial" w:hAnsi="Arial" w:cs="Arial"/>
          <w:sz w:val="20"/>
          <w:szCs w:val="20"/>
        </w:rPr>
        <w:t>O que a Pedagogia e as práticas pedagógicas teriam a aprender com o</w:t>
      </w:r>
      <w:r w:rsidR="00F94300" w:rsidRPr="006C50EA">
        <w:rPr>
          <w:rFonts w:ascii="Arial" w:hAnsi="Arial" w:cs="Arial"/>
          <w:sz w:val="20"/>
          <w:szCs w:val="20"/>
        </w:rPr>
        <w:t xml:space="preserve"> </w:t>
      </w:r>
      <w:r w:rsidRPr="006C50EA">
        <w:rPr>
          <w:rFonts w:ascii="Arial" w:hAnsi="Arial" w:cs="Arial"/>
          <w:sz w:val="20"/>
          <w:szCs w:val="20"/>
        </w:rPr>
        <w:t>Movimento Negro entendido como ator político e educador? [...]. O que os currículos têm a aprender com os processos educativos construídos pelo Movimento Negro ao longo da nossa história social, política e educacional? A pós-graduação dialoga com esses aprendizados? (Gomes, 2017, p. 13)</w:t>
      </w:r>
    </w:p>
    <w:p w:rsidR="00E65FD5" w:rsidRDefault="00E65FD5" w:rsidP="00951F1A">
      <w:pPr>
        <w:spacing w:line="360" w:lineRule="auto"/>
        <w:ind w:firstLine="720"/>
        <w:jc w:val="both"/>
        <w:rPr>
          <w:rFonts w:ascii="Arial" w:hAnsi="Arial" w:cs="Arial"/>
          <w:sz w:val="24"/>
          <w:szCs w:val="24"/>
        </w:rPr>
      </w:pPr>
    </w:p>
    <w:p w:rsidR="00E65FD5" w:rsidRDefault="0061410B" w:rsidP="00951F1A">
      <w:pPr>
        <w:spacing w:line="360" w:lineRule="auto"/>
        <w:ind w:firstLine="720"/>
        <w:jc w:val="both"/>
        <w:rPr>
          <w:rFonts w:ascii="Arial" w:hAnsi="Arial" w:cs="Arial"/>
          <w:sz w:val="24"/>
          <w:szCs w:val="24"/>
        </w:rPr>
      </w:pPr>
      <w:proofErr w:type="spellStart"/>
      <w:r>
        <w:rPr>
          <w:rFonts w:ascii="Arial" w:hAnsi="Arial" w:cs="Arial"/>
          <w:sz w:val="24"/>
          <w:szCs w:val="24"/>
          <w:lang w:val="en-US" w:eastAsia="zh-CN"/>
        </w:rPr>
        <w:t>Ao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questionar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sobre</w:t>
      </w:r>
      <w:proofErr w:type="spellEnd"/>
      <w:r>
        <w:rPr>
          <w:rFonts w:ascii="Arial" w:hAnsi="Arial" w:cs="Arial"/>
          <w:sz w:val="24"/>
          <w:szCs w:val="24"/>
          <w:lang w:val="en-US" w:eastAsia="zh-CN"/>
        </w:rPr>
        <w:t xml:space="preserve"> o </w:t>
      </w:r>
      <w:proofErr w:type="spellStart"/>
      <w:r>
        <w:rPr>
          <w:rFonts w:ascii="Arial" w:hAnsi="Arial" w:cs="Arial"/>
          <w:sz w:val="24"/>
          <w:szCs w:val="24"/>
          <w:lang w:val="en-US" w:eastAsia="zh-CN"/>
        </w:rPr>
        <w:t>papel</w:t>
      </w:r>
      <w:proofErr w:type="spellEnd"/>
      <w:r>
        <w:rPr>
          <w:rFonts w:ascii="Arial" w:hAnsi="Arial" w:cs="Arial"/>
          <w:sz w:val="24"/>
          <w:szCs w:val="24"/>
          <w:lang w:val="en-US" w:eastAsia="zh-CN"/>
        </w:rPr>
        <w:t xml:space="preserve"> do </w:t>
      </w:r>
      <w:proofErr w:type="spellStart"/>
      <w:r>
        <w:rPr>
          <w:rFonts w:ascii="Arial" w:hAnsi="Arial" w:cs="Arial"/>
          <w:sz w:val="24"/>
          <w:szCs w:val="24"/>
          <w:lang w:val="en-US" w:eastAsia="zh-CN"/>
        </w:rPr>
        <w:t>Movimento</w:t>
      </w:r>
      <w:proofErr w:type="spellEnd"/>
      <w:r>
        <w:rPr>
          <w:rFonts w:ascii="Arial" w:hAnsi="Arial" w:cs="Arial"/>
          <w:sz w:val="24"/>
          <w:szCs w:val="24"/>
          <w:lang w:val="en-US" w:eastAsia="zh-CN"/>
        </w:rPr>
        <w:t xml:space="preserve"> Negro </w:t>
      </w:r>
      <w:proofErr w:type="spellStart"/>
      <w:r>
        <w:rPr>
          <w:rFonts w:ascii="Arial" w:hAnsi="Arial" w:cs="Arial"/>
          <w:sz w:val="24"/>
          <w:szCs w:val="24"/>
          <w:lang w:val="en-US" w:eastAsia="zh-CN"/>
        </w:rPr>
        <w:t>como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ato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político</w:t>
      </w:r>
      <w:proofErr w:type="spellEnd"/>
      <w:r>
        <w:rPr>
          <w:rFonts w:ascii="Arial" w:hAnsi="Arial" w:cs="Arial"/>
          <w:sz w:val="24"/>
          <w:szCs w:val="24"/>
          <w:lang w:val="en-US" w:eastAsia="zh-CN"/>
        </w:rPr>
        <w:t xml:space="preserve"> e </w:t>
      </w:r>
      <w:proofErr w:type="spellStart"/>
      <w:r>
        <w:rPr>
          <w:rFonts w:ascii="Arial" w:hAnsi="Arial" w:cs="Arial"/>
          <w:sz w:val="24"/>
          <w:szCs w:val="24"/>
          <w:lang w:val="en-US" w:eastAsia="zh-CN"/>
        </w:rPr>
        <w:t>educador</w:t>
      </w:r>
      <w:proofErr w:type="spellEnd"/>
      <w:r>
        <w:rPr>
          <w:rFonts w:ascii="Arial" w:hAnsi="Arial" w:cs="Arial"/>
          <w:sz w:val="24"/>
          <w:szCs w:val="24"/>
          <w:lang w:val="en-US" w:eastAsia="zh-CN"/>
        </w:rPr>
        <w:t xml:space="preserve">, </w:t>
      </w:r>
      <w:proofErr w:type="gramStart"/>
      <w:r>
        <w:rPr>
          <w:rFonts w:ascii="Arial" w:hAnsi="Arial" w:cs="Arial"/>
          <w:sz w:val="24"/>
          <w:szCs w:val="24"/>
          <w:lang w:val="en-US" w:eastAsia="zh-CN"/>
        </w:rPr>
        <w:t>a</w:t>
      </w:r>
      <w:proofErr w:type="gramEnd"/>
      <w:r>
        <w:rPr>
          <w:rFonts w:ascii="Arial" w:hAnsi="Arial" w:cs="Arial"/>
          <w:sz w:val="24"/>
          <w:szCs w:val="24"/>
          <w:lang w:val="en-US" w:eastAsia="zh-CN"/>
        </w:rPr>
        <w:t xml:space="preserve"> </w:t>
      </w:r>
      <w:proofErr w:type="spellStart"/>
      <w:r>
        <w:rPr>
          <w:rFonts w:ascii="Arial" w:hAnsi="Arial" w:cs="Arial"/>
          <w:sz w:val="24"/>
          <w:szCs w:val="24"/>
          <w:lang w:val="en-US" w:eastAsia="zh-CN"/>
        </w:rPr>
        <w:t>autora</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nos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provoca</w:t>
      </w:r>
      <w:proofErr w:type="spellEnd"/>
      <w:r>
        <w:rPr>
          <w:rFonts w:ascii="Arial" w:hAnsi="Arial" w:cs="Arial"/>
          <w:sz w:val="24"/>
          <w:szCs w:val="24"/>
          <w:lang w:val="en-US" w:eastAsia="zh-CN"/>
        </w:rPr>
        <w:t xml:space="preserve"> a </w:t>
      </w:r>
      <w:proofErr w:type="spellStart"/>
      <w:r>
        <w:rPr>
          <w:rFonts w:ascii="Arial" w:hAnsi="Arial" w:cs="Arial"/>
          <w:sz w:val="24"/>
          <w:szCs w:val="24"/>
          <w:lang w:val="en-US" w:eastAsia="zh-CN"/>
        </w:rPr>
        <w:t>refletir</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sobre</w:t>
      </w:r>
      <w:proofErr w:type="spellEnd"/>
      <w:r>
        <w:rPr>
          <w:rFonts w:ascii="Arial" w:hAnsi="Arial" w:cs="Arial"/>
          <w:sz w:val="24"/>
          <w:szCs w:val="24"/>
          <w:lang w:val="en-US" w:eastAsia="zh-CN"/>
        </w:rPr>
        <w:t xml:space="preserve"> a </w:t>
      </w:r>
      <w:proofErr w:type="spellStart"/>
      <w:r>
        <w:rPr>
          <w:rFonts w:ascii="Arial" w:hAnsi="Arial" w:cs="Arial"/>
          <w:sz w:val="24"/>
          <w:szCs w:val="24"/>
          <w:lang w:val="en-US" w:eastAsia="zh-CN"/>
        </w:rPr>
        <w:t>interseção</w:t>
      </w:r>
      <w:proofErr w:type="spellEnd"/>
      <w:r>
        <w:rPr>
          <w:rFonts w:ascii="Arial" w:hAnsi="Arial" w:cs="Arial"/>
          <w:sz w:val="24"/>
          <w:szCs w:val="24"/>
          <w:lang w:val="en-US" w:eastAsia="zh-CN"/>
        </w:rPr>
        <w:t xml:space="preserve"> entre as </w:t>
      </w:r>
      <w:proofErr w:type="spellStart"/>
      <w:r>
        <w:rPr>
          <w:rFonts w:ascii="Arial" w:hAnsi="Arial" w:cs="Arial"/>
          <w:sz w:val="24"/>
          <w:szCs w:val="24"/>
          <w:lang w:val="en-US" w:eastAsia="zh-CN"/>
        </w:rPr>
        <w:t>práticas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pedagógicas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tradicionais</w:t>
      </w:r>
      <w:proofErr w:type="spellEnd"/>
      <w:r>
        <w:rPr>
          <w:rFonts w:ascii="Arial" w:hAnsi="Arial" w:cs="Arial"/>
          <w:sz w:val="24"/>
          <w:szCs w:val="24"/>
          <w:lang w:val="en-US" w:eastAsia="zh-CN"/>
        </w:rPr>
        <w:t xml:space="preserve"> e </w:t>
      </w:r>
      <w:proofErr w:type="spellStart"/>
      <w:r>
        <w:rPr>
          <w:rFonts w:ascii="Arial" w:hAnsi="Arial" w:cs="Arial"/>
          <w:sz w:val="24"/>
          <w:szCs w:val="24"/>
          <w:lang w:val="en-US" w:eastAsia="zh-CN"/>
        </w:rPr>
        <w:t>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saberes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construídos</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pelo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Movimento</w:t>
      </w:r>
      <w:proofErr w:type="spellEnd"/>
      <w:r>
        <w:rPr>
          <w:rFonts w:ascii="Arial" w:hAnsi="Arial" w:cs="Arial"/>
          <w:sz w:val="24"/>
          <w:szCs w:val="24"/>
          <w:lang w:val="en-US" w:eastAsia="zh-CN"/>
        </w:rPr>
        <w:t xml:space="preserve"> Negro </w:t>
      </w:r>
      <w:proofErr w:type="spellStart"/>
      <w:r>
        <w:rPr>
          <w:rFonts w:ascii="Arial" w:hAnsi="Arial" w:cs="Arial"/>
          <w:sz w:val="24"/>
          <w:szCs w:val="24"/>
          <w:lang w:val="en-US" w:eastAsia="zh-CN"/>
        </w:rPr>
        <w:t>ao</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longo</w:t>
      </w:r>
      <w:proofErr w:type="spellEnd"/>
      <w:r>
        <w:rPr>
          <w:rFonts w:ascii="Arial" w:hAnsi="Arial" w:cs="Arial"/>
          <w:sz w:val="24"/>
          <w:szCs w:val="24"/>
          <w:lang w:val="en-US" w:eastAsia="zh-CN"/>
        </w:rPr>
        <w:t xml:space="preserve"> da </w:t>
      </w:r>
      <w:proofErr w:type="spellStart"/>
      <w:r>
        <w:rPr>
          <w:rFonts w:ascii="Arial" w:hAnsi="Arial" w:cs="Arial"/>
          <w:sz w:val="24"/>
          <w:szCs w:val="24"/>
          <w:lang w:val="en-US" w:eastAsia="zh-CN"/>
        </w:rPr>
        <w:t>história</w:t>
      </w:r>
      <w:proofErr w:type="spellEnd"/>
      <w:r>
        <w:rPr>
          <w:rFonts w:ascii="Arial" w:hAnsi="Arial" w:cs="Arial"/>
          <w:sz w:val="24"/>
          <w:szCs w:val="24"/>
          <w:lang w:val="en-US" w:eastAsia="zh-CN"/>
        </w:rPr>
        <w:t xml:space="preserve"> </w:t>
      </w:r>
      <w:proofErr w:type="spellStart"/>
      <w:r>
        <w:rPr>
          <w:rFonts w:ascii="Arial" w:hAnsi="Arial" w:cs="Arial"/>
          <w:sz w:val="24"/>
          <w:szCs w:val="24"/>
          <w:lang w:val="en-US" w:eastAsia="zh-CN"/>
        </w:rPr>
        <w:t>brasileira</w:t>
      </w:r>
      <w:proofErr w:type="spellEnd"/>
      <w:r>
        <w:rPr>
          <w:rFonts w:ascii="Arial" w:hAnsi="Arial" w:cs="Arial"/>
          <w:sz w:val="24"/>
          <w:szCs w:val="24"/>
          <w:lang w:val="en-US" w:eastAsia="zh-CN"/>
        </w:rPr>
        <w:t>.</w:t>
      </w:r>
      <w:r>
        <w:rPr>
          <w:rFonts w:ascii="Arial" w:hAnsi="Arial" w:cs="Arial"/>
          <w:sz w:val="24"/>
          <w:szCs w:val="24"/>
          <w:lang w:eastAsia="zh-CN"/>
        </w:rPr>
        <w:t xml:space="preserve"> Essa provocação nos convida a deslocar o olhar hegemônico sobre o currículo escolar e a considerar os conhecimentos oriundos das lutas antirracistas como fundamentais para a construção de uma educação emancipatória. </w:t>
      </w:r>
      <w:r>
        <w:rPr>
          <w:rFonts w:ascii="Arial" w:hAnsi="Arial" w:cs="Arial"/>
          <w:sz w:val="24"/>
          <w:szCs w:val="24"/>
          <w:lang w:eastAsia="zh-CN"/>
        </w:rPr>
        <w:tab/>
        <w:t xml:space="preserve">Nesse sentido, repensar a prática pedagógica à luz das experiências do Movimento Negro implica romper com a lógica </w:t>
      </w:r>
      <w:proofErr w:type="spellStart"/>
      <w:r>
        <w:rPr>
          <w:rFonts w:ascii="Arial" w:hAnsi="Arial" w:cs="Arial"/>
          <w:sz w:val="24"/>
          <w:szCs w:val="24"/>
          <w:lang w:eastAsia="zh-CN"/>
        </w:rPr>
        <w:t>eurocentrada</w:t>
      </w:r>
      <w:proofErr w:type="spellEnd"/>
      <w:r>
        <w:rPr>
          <w:rFonts w:ascii="Arial" w:hAnsi="Arial" w:cs="Arial"/>
          <w:sz w:val="24"/>
          <w:szCs w:val="24"/>
          <w:lang w:eastAsia="zh-CN"/>
        </w:rPr>
        <w:t xml:space="preserve"> que historicamente excluiu sujeitos, memórias e epistemes negras dos espaços formais de ensino. Trata-se, portanto, de reconhecer a centralidade da ação política do movimento na produção de saberes transformadores e na formação de sujeitos críticos, comprometidos com a justiça racial e social.</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No entanto, em meio a esses desafios, multiplicam-se iniciativas pedagógicas que </w:t>
      </w:r>
      <w:proofErr w:type="spellStart"/>
      <w:r>
        <w:rPr>
          <w:rFonts w:ascii="Arial" w:hAnsi="Arial" w:cs="Arial"/>
          <w:sz w:val="24"/>
          <w:szCs w:val="24"/>
        </w:rPr>
        <w:t>tensionam</w:t>
      </w:r>
      <w:proofErr w:type="spellEnd"/>
      <w:r>
        <w:rPr>
          <w:rFonts w:ascii="Arial" w:hAnsi="Arial" w:cs="Arial"/>
          <w:sz w:val="24"/>
          <w:szCs w:val="24"/>
        </w:rPr>
        <w:t xml:space="preserve"> o </w:t>
      </w:r>
      <w:proofErr w:type="spellStart"/>
      <w:r>
        <w:rPr>
          <w:rFonts w:ascii="Arial" w:hAnsi="Arial" w:cs="Arial"/>
          <w:sz w:val="24"/>
          <w:szCs w:val="24"/>
        </w:rPr>
        <w:t>epistemicídio</w:t>
      </w:r>
      <w:proofErr w:type="spellEnd"/>
      <w:r>
        <w:rPr>
          <w:rFonts w:ascii="Arial" w:hAnsi="Arial" w:cs="Arial"/>
          <w:sz w:val="24"/>
          <w:szCs w:val="24"/>
        </w:rPr>
        <w:t xml:space="preserve"> e propõem alternativas </w:t>
      </w:r>
      <w:proofErr w:type="spellStart"/>
      <w:r>
        <w:rPr>
          <w:rFonts w:ascii="Arial" w:hAnsi="Arial" w:cs="Arial"/>
          <w:sz w:val="24"/>
          <w:szCs w:val="24"/>
        </w:rPr>
        <w:t>decoloniais</w:t>
      </w:r>
      <w:proofErr w:type="spellEnd"/>
      <w:r>
        <w:rPr>
          <w:rFonts w:ascii="Arial" w:hAnsi="Arial" w:cs="Arial"/>
          <w:sz w:val="24"/>
          <w:szCs w:val="24"/>
        </w:rPr>
        <w:t xml:space="preserve">. Projetos de leitura literária como o “Desvendando Narrativas Literárias Antirracistas, que colocam no centro da discussão autoras como Carolina Maria de Jesus e Conceição Evaristo, o uso de oralidades, cantos, danças e cosmologias africanas no planejamento didático, </w:t>
      </w:r>
      <w:r>
        <w:rPr>
          <w:rFonts w:ascii="Arial" w:hAnsi="Arial" w:cs="Arial"/>
          <w:sz w:val="24"/>
          <w:szCs w:val="24"/>
        </w:rPr>
        <w:lastRenderedPageBreak/>
        <w:t>bem como a inserção crítica de temas como racismo, escravidão, religiosidades negras e ancestralidade, compõem estratégias de resistência.</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 </w:t>
      </w:r>
    </w:p>
    <w:p w:rsidR="00E65FD5" w:rsidRDefault="0061410B">
      <w:pPr>
        <w:spacing w:line="360" w:lineRule="auto"/>
        <w:jc w:val="both"/>
        <w:rPr>
          <w:rFonts w:ascii="Arial" w:hAnsi="Arial" w:cs="Arial"/>
          <w:sz w:val="24"/>
          <w:szCs w:val="24"/>
        </w:rPr>
      </w:pPr>
      <w:r>
        <w:rPr>
          <w:rFonts w:ascii="Arial" w:hAnsi="Arial" w:cs="Arial"/>
          <w:b/>
          <w:sz w:val="24"/>
          <w:szCs w:val="24"/>
        </w:rPr>
        <w:t>4. JUSTIÇA COGNITIVA COMO PROJETO EDUCACIONAL- ANÁLISE DO PROJETO DESVENDANDO NARRATIVAS LITERÁRIAS ANTIRRACISTAS</w:t>
      </w:r>
    </w:p>
    <w:p w:rsidR="00E65FD5" w:rsidRDefault="006C50EA" w:rsidP="006C50EA">
      <w:pPr>
        <w:spacing w:line="360" w:lineRule="auto"/>
        <w:ind w:firstLine="709"/>
        <w:jc w:val="both"/>
        <w:rPr>
          <w:rFonts w:ascii="Arial" w:hAnsi="Arial" w:cs="Arial"/>
          <w:sz w:val="24"/>
          <w:szCs w:val="24"/>
        </w:rPr>
      </w:pPr>
      <w:r w:rsidRPr="006C50EA">
        <w:rPr>
          <w:rFonts w:ascii="Arial" w:hAnsi="Arial" w:cs="Arial"/>
          <w:sz w:val="24"/>
          <w:szCs w:val="24"/>
        </w:rPr>
        <w:t xml:space="preserve">Conforme </w:t>
      </w:r>
      <w:proofErr w:type="spellStart"/>
      <w:r w:rsidRPr="006C50EA">
        <w:rPr>
          <w:rFonts w:ascii="Arial" w:hAnsi="Arial" w:cs="Arial"/>
          <w:sz w:val="24"/>
          <w:szCs w:val="24"/>
        </w:rPr>
        <w:t>Munanga</w:t>
      </w:r>
      <w:proofErr w:type="spellEnd"/>
      <w:r w:rsidRPr="006C50EA">
        <w:rPr>
          <w:rFonts w:ascii="Arial" w:hAnsi="Arial" w:cs="Arial"/>
          <w:sz w:val="24"/>
          <w:szCs w:val="24"/>
        </w:rPr>
        <w:t xml:space="preserve"> (1999, p.115), "a exclusão da população negra do sistema educacional no pós-abolição é um reflexo da tentativa de manter a estrutura social desigual, onde a educação foi um dos instrumentos utilizados para perpetuar a subordinação racial." Ou seja, no período pós-abolição, a educação brasileira continuou a ser um privilégio de poucos. </w:t>
      </w:r>
      <w:r>
        <w:rPr>
          <w:rFonts w:ascii="Arial" w:hAnsi="Arial" w:cs="Arial"/>
          <w:sz w:val="24"/>
          <w:szCs w:val="24"/>
        </w:rPr>
        <w:t>Neste sentido, a</w:t>
      </w:r>
      <w:r w:rsidR="0061410B">
        <w:rPr>
          <w:rFonts w:ascii="Arial" w:hAnsi="Arial" w:cs="Arial"/>
          <w:sz w:val="24"/>
          <w:szCs w:val="24"/>
        </w:rPr>
        <w:t xml:space="preserve"> ideia de um currículo </w:t>
      </w:r>
      <w:proofErr w:type="spellStart"/>
      <w:r w:rsidR="0061410B">
        <w:rPr>
          <w:rFonts w:ascii="Arial" w:hAnsi="Arial" w:cs="Arial"/>
          <w:sz w:val="24"/>
          <w:szCs w:val="24"/>
        </w:rPr>
        <w:t>decolonial</w:t>
      </w:r>
      <w:proofErr w:type="spellEnd"/>
      <w:r w:rsidR="0061410B">
        <w:rPr>
          <w:rFonts w:ascii="Arial" w:hAnsi="Arial" w:cs="Arial"/>
          <w:sz w:val="24"/>
          <w:szCs w:val="24"/>
        </w:rPr>
        <w:t xml:space="preserve"> implica romper com a monocultura do saber e da ciência</w:t>
      </w:r>
      <w:r>
        <w:rPr>
          <w:rFonts w:ascii="Arial" w:hAnsi="Arial" w:cs="Arial"/>
          <w:sz w:val="24"/>
          <w:szCs w:val="24"/>
        </w:rPr>
        <w:t xml:space="preserve">. </w:t>
      </w:r>
    </w:p>
    <w:p w:rsidR="00E65FD5" w:rsidRDefault="006C50EA">
      <w:pPr>
        <w:spacing w:line="360" w:lineRule="auto"/>
        <w:ind w:firstLine="709"/>
        <w:jc w:val="both"/>
        <w:rPr>
          <w:rFonts w:ascii="Arial" w:hAnsi="Arial" w:cs="Arial"/>
          <w:sz w:val="24"/>
          <w:szCs w:val="24"/>
        </w:rPr>
      </w:pPr>
      <w:r w:rsidRPr="006C50EA">
        <w:rPr>
          <w:rFonts w:ascii="Arial" w:hAnsi="Arial" w:cs="Arial"/>
          <w:sz w:val="24"/>
          <w:szCs w:val="24"/>
        </w:rPr>
        <w:t xml:space="preserve">Para Carneiro (2005, p.220), "a educação, historicamente negada aos negros no Brasil, foi e continua sendo um dos principais mecanismos de exclusão social. Mesmo após a abolição, as estruturas educacionais foram desenhadas para manter a população negra em posições subalternas." </w:t>
      </w:r>
      <w:r w:rsidR="0061410B">
        <w:rPr>
          <w:rFonts w:ascii="Arial" w:hAnsi="Arial" w:cs="Arial"/>
          <w:sz w:val="24"/>
          <w:szCs w:val="24"/>
        </w:rPr>
        <w:t xml:space="preserve">A escola, nesse cenário, deve se tornar espaço de escuta e valorização de múltiplas vozes, em especial das vozes historicamente silenciadas. O currículo precisa assumir-se como território político e identitário, onde o combate ao </w:t>
      </w:r>
      <w:proofErr w:type="spellStart"/>
      <w:r w:rsidR="0061410B">
        <w:rPr>
          <w:rFonts w:ascii="Arial" w:hAnsi="Arial" w:cs="Arial"/>
          <w:sz w:val="24"/>
          <w:szCs w:val="24"/>
        </w:rPr>
        <w:t>epistemicídio</w:t>
      </w:r>
      <w:proofErr w:type="spellEnd"/>
      <w:r w:rsidR="0061410B">
        <w:rPr>
          <w:rFonts w:ascii="Arial" w:hAnsi="Arial" w:cs="Arial"/>
          <w:sz w:val="24"/>
          <w:szCs w:val="24"/>
        </w:rPr>
        <w:t xml:space="preserve"> se dá pela inclusão crítica, pela escuta ativa e pela desconstrução dos padrões eurocêntricos de ensino e avaliação.</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O reconhecimento da centralidade da Lei 10.639/03 é, portanto, uma etapa fundamental para a superação da </w:t>
      </w:r>
      <w:proofErr w:type="spellStart"/>
      <w:r>
        <w:rPr>
          <w:rFonts w:ascii="Arial" w:hAnsi="Arial" w:cs="Arial"/>
          <w:sz w:val="24"/>
          <w:szCs w:val="24"/>
        </w:rPr>
        <w:t>colonialidade</w:t>
      </w:r>
      <w:proofErr w:type="spellEnd"/>
      <w:r>
        <w:rPr>
          <w:rFonts w:ascii="Arial" w:hAnsi="Arial" w:cs="Arial"/>
          <w:sz w:val="24"/>
          <w:szCs w:val="24"/>
        </w:rPr>
        <w:t xml:space="preserve"> do saber. Mais do que um dispositivo legal, ela representa uma abertura para a construção de um novo pacto curricular, plural, comprometido com a equidade e enraizado na história dos povos africanos e afrodescendentes. </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Entretanto, as redes de ensino, juntamente às escolas, necessitam refletir, repensar e planejar ações pedagógicas intencionais que tragam para o centro do debate a urgência de uma educação comprometida com a equidade racial, a valorização das identidades negras e o enfrentamento do racismo estrutural. Isso implica não apenas o cumprimento formal da Lei 10.639/03, mas a construção de </w:t>
      </w:r>
      <w:r>
        <w:rPr>
          <w:rFonts w:ascii="Arial" w:hAnsi="Arial" w:cs="Arial"/>
          <w:sz w:val="24"/>
          <w:szCs w:val="24"/>
        </w:rPr>
        <w:lastRenderedPageBreak/>
        <w:t xml:space="preserve">propostas curriculares e práticas pedagógicas que rompam com a lógica excludente e </w:t>
      </w:r>
      <w:proofErr w:type="spellStart"/>
      <w:r>
        <w:rPr>
          <w:rFonts w:ascii="Arial" w:hAnsi="Arial" w:cs="Arial"/>
          <w:sz w:val="24"/>
          <w:szCs w:val="24"/>
        </w:rPr>
        <w:t>eurocentrada</w:t>
      </w:r>
      <w:proofErr w:type="spellEnd"/>
      <w:r>
        <w:rPr>
          <w:rFonts w:ascii="Arial" w:hAnsi="Arial" w:cs="Arial"/>
          <w:sz w:val="24"/>
          <w:szCs w:val="24"/>
        </w:rPr>
        <w:t xml:space="preserve"> ainda predominante nas instituições escolares.</w:t>
      </w:r>
    </w:p>
    <w:p w:rsidR="00E65FD5" w:rsidRDefault="0061410B">
      <w:pPr>
        <w:spacing w:line="360" w:lineRule="auto"/>
        <w:ind w:firstLine="709"/>
        <w:jc w:val="both"/>
        <w:rPr>
          <w:rFonts w:ascii="Arial" w:hAnsi="Arial" w:cs="Arial"/>
          <w:sz w:val="24"/>
          <w:szCs w:val="24"/>
        </w:rPr>
      </w:pPr>
      <w:r>
        <w:rPr>
          <w:rFonts w:ascii="Arial" w:hAnsi="Arial" w:cs="Arial"/>
          <w:sz w:val="24"/>
          <w:szCs w:val="24"/>
        </w:rPr>
        <w:t>O projeto "Desvendando Narrativas Literárias Antirracistas", desenvolvido pela rede municipal de ensino de Aquiraz-Ceará desde 2024, representa uma iniciativa pedagógica potente no enfrentamento ao racismo estrutural no espaço escolar. A proposta, inserida no contexto da formação continuada dos(as) professores(as) de Língua Portuguesa, alinha-se diretamente às diretrizes da Lei 10.639/03 e às exigências contemporâneas de uma educação comprometida com a justiça social, ao promover uma prática pedagógica crítica que toma a literatura como instrumento de transformação.</w:t>
      </w:r>
    </w:p>
    <w:p w:rsidR="00E65FD5" w:rsidRDefault="0061410B">
      <w:pPr>
        <w:spacing w:line="360" w:lineRule="auto"/>
        <w:ind w:firstLine="709"/>
        <w:jc w:val="both"/>
        <w:rPr>
          <w:rFonts w:ascii="Arial" w:hAnsi="Arial" w:cs="Arial"/>
          <w:sz w:val="24"/>
          <w:szCs w:val="24"/>
        </w:rPr>
      </w:pPr>
      <w:r>
        <w:rPr>
          <w:rFonts w:ascii="Arial" w:hAnsi="Arial" w:cs="Arial"/>
          <w:sz w:val="24"/>
          <w:szCs w:val="24"/>
        </w:rPr>
        <w:t>Sua concepção parte da premissa de que a leitura literária pode e deve ser uma ferramenta para (</w:t>
      </w:r>
      <w:proofErr w:type="spellStart"/>
      <w:r>
        <w:rPr>
          <w:rFonts w:ascii="Arial" w:hAnsi="Arial" w:cs="Arial"/>
          <w:sz w:val="24"/>
          <w:szCs w:val="24"/>
        </w:rPr>
        <w:t>re</w:t>
      </w:r>
      <w:proofErr w:type="spellEnd"/>
      <w:r>
        <w:rPr>
          <w:rFonts w:ascii="Arial" w:hAnsi="Arial" w:cs="Arial"/>
          <w:sz w:val="24"/>
          <w:szCs w:val="24"/>
        </w:rPr>
        <w:t xml:space="preserve">)significar identidades, construir representações positivas da população negra e romper com os paradigmas eurocêntricos que historicamente silenciaram as vozes de autores e personagens negros nos currículos escolares. Ao selecionar narrativas que evidenciam protagonismo negro, ancestralidade, resistência e pluralidade cultural, o projeto dialoga com as epistemologias do Sul e com a crítica à </w:t>
      </w:r>
      <w:proofErr w:type="spellStart"/>
      <w:r>
        <w:rPr>
          <w:rFonts w:ascii="Arial" w:hAnsi="Arial" w:cs="Arial"/>
          <w:sz w:val="24"/>
          <w:szCs w:val="24"/>
        </w:rPr>
        <w:t>colonialidade</w:t>
      </w:r>
      <w:proofErr w:type="spellEnd"/>
      <w:r>
        <w:rPr>
          <w:rFonts w:ascii="Arial" w:hAnsi="Arial" w:cs="Arial"/>
          <w:sz w:val="24"/>
          <w:szCs w:val="24"/>
        </w:rPr>
        <w:t xml:space="preserve"> do saber, ao mesmo tempo que oferece aos educadores subsídios práticos e teóricos para a implementação de práticas antirracistas no ensino da Língua Portuguesa.</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A atuação através da formação continuada é um diferencial importante, pois reconhece que a efetivação da Lei 10.639/03 não se dá de forma espontânea: exige investimento na formação docente, tempo de estudo, análise crítica do material didático e revisão das práticas pedagógicas. Assim, o projeto contribui para reduzir as lacunas formativas mencionadas por muitos professores e professoras, ao proporcionar o acesso a obras literárias com perspectiva </w:t>
      </w:r>
      <w:proofErr w:type="spellStart"/>
      <w:r>
        <w:rPr>
          <w:rFonts w:ascii="Arial" w:hAnsi="Arial" w:cs="Arial"/>
          <w:sz w:val="24"/>
          <w:szCs w:val="24"/>
        </w:rPr>
        <w:t>decolonial</w:t>
      </w:r>
      <w:proofErr w:type="spellEnd"/>
      <w:r>
        <w:rPr>
          <w:rFonts w:ascii="Arial" w:hAnsi="Arial" w:cs="Arial"/>
          <w:sz w:val="24"/>
          <w:szCs w:val="24"/>
        </w:rPr>
        <w:t>, além de promover espaços de diálogo, trocas de experiências e reflexão coletiva sobre o racismo na escola.</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Outro aspecto relevante é o seu caráter </w:t>
      </w:r>
      <w:proofErr w:type="spellStart"/>
      <w:r>
        <w:rPr>
          <w:rFonts w:ascii="Arial" w:hAnsi="Arial" w:cs="Arial"/>
          <w:sz w:val="24"/>
          <w:szCs w:val="24"/>
        </w:rPr>
        <w:t>resistencial</w:t>
      </w:r>
      <w:proofErr w:type="spellEnd"/>
      <w:r>
        <w:rPr>
          <w:rFonts w:ascii="Arial" w:hAnsi="Arial" w:cs="Arial"/>
          <w:sz w:val="24"/>
          <w:szCs w:val="24"/>
        </w:rPr>
        <w:t xml:space="preserve"> e emancipatório, ao transformar a sala de aula em um território de disputa simbólica e de construção de </w:t>
      </w:r>
      <w:r>
        <w:rPr>
          <w:rFonts w:ascii="Arial" w:hAnsi="Arial" w:cs="Arial"/>
          <w:sz w:val="24"/>
          <w:szCs w:val="24"/>
        </w:rPr>
        <w:lastRenderedPageBreak/>
        <w:t>novas consciências sociais. A leitura de narrativas literárias antirracistas, quando articulada com práticas dialógicas, pode levar estudantes a se reconhecerem como sujeitos históricos e a desenvolverem senso crítico frente às desigualdades raciais.</w:t>
      </w:r>
    </w:p>
    <w:p w:rsidR="00E65FD5" w:rsidRDefault="0061410B" w:rsidP="00FF5E2A">
      <w:pPr>
        <w:spacing w:line="360" w:lineRule="auto"/>
        <w:ind w:firstLine="709"/>
        <w:jc w:val="both"/>
        <w:rPr>
          <w:rFonts w:ascii="Arial" w:hAnsi="Arial" w:cs="Arial"/>
          <w:sz w:val="24"/>
          <w:szCs w:val="24"/>
        </w:rPr>
      </w:pPr>
      <w:r>
        <w:rPr>
          <w:rFonts w:ascii="Arial" w:hAnsi="Arial" w:cs="Arial"/>
          <w:sz w:val="24"/>
          <w:szCs w:val="24"/>
        </w:rPr>
        <w:t>Em síntese, o projeto “Desvendando Narrativas Literárias Antirracistas” representa uma prática concreta de enfrentamento ao racismo na educação básica, reafirma o papel da escola na promoção da equidade racial e aponta caminhos para a materialização da educação antirracista como princípio estruturante do currículo escolar. Trata-se, portanto, de uma ação formativa alinhada a um projeto educativo emancipatório, que reconhece na literatura negra um campo fértil de resistência e de construção de novos imaginários sociais.</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Por meio da leitura crítica e da análise dessas narrativas, os alunos têm a oportunidade de desconstruir preconceitos, questionar estruturas sociais injustas e reconhecer a importância da pluralidade de vozes na literatura e na sociedade. Este projeto, assim, almeja contribuir para a formação de sujeitos conscientes, capazes de transformar sua realidade a partir do conhecimento e da reflexão crítica, promovendo, por meio da educação, a </w:t>
      </w:r>
      <w:proofErr w:type="spellStart"/>
      <w:r>
        <w:rPr>
          <w:rFonts w:ascii="Arial" w:hAnsi="Arial" w:cs="Arial"/>
          <w:sz w:val="24"/>
          <w:szCs w:val="24"/>
        </w:rPr>
        <w:t>decolonização</w:t>
      </w:r>
      <w:proofErr w:type="spellEnd"/>
      <w:r>
        <w:rPr>
          <w:rFonts w:ascii="Arial" w:hAnsi="Arial" w:cs="Arial"/>
          <w:sz w:val="24"/>
          <w:szCs w:val="24"/>
        </w:rPr>
        <w:t xml:space="preserve"> do pensamento e a valorização da diversidade étnico-racial.</w:t>
      </w:r>
    </w:p>
    <w:p w:rsidR="00E65FD5" w:rsidRDefault="0061410B">
      <w:pPr>
        <w:spacing w:line="360" w:lineRule="auto"/>
        <w:ind w:firstLine="709"/>
        <w:jc w:val="both"/>
        <w:rPr>
          <w:rFonts w:ascii="Arial" w:hAnsi="Arial" w:cs="Arial"/>
          <w:sz w:val="24"/>
          <w:szCs w:val="24"/>
        </w:rPr>
      </w:pPr>
      <w:r>
        <w:rPr>
          <w:rFonts w:ascii="Arial" w:hAnsi="Arial" w:cs="Arial"/>
          <w:sz w:val="24"/>
          <w:szCs w:val="24"/>
        </w:rPr>
        <w:t>Embora o projeto “Desvendando Narrativas Literárias Antirracistas” represente um avanço significativo no enfrentamento ao racismo estrutural no espaço escolar, é preciso reconhecer que sua implementação ainda enfrenta resistências e desafios no interior das próprias escolas. Apesar de seu potencial formativo e transformador, a iniciativa não tem alcançado adesão plena de todos os docentes da rede, o que limita o seu impacto sistêmico.</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Essa baixa adesão revela tensões estruturais que atravessam a política educacional como um todo. Muitos professores ainda demonstram dificuldades de se apropriar das discussões étnico-raciais, seja por lacunas em sua formação inicial, seja por insegurança diante de temas que exigem um posicionamento ético, político e epistemológico. Além disso, há docentes que reproduzem uma concepção de ensino centrada na neutralidade dos conteúdos, acreditando que a abordagem das relações </w:t>
      </w:r>
      <w:r>
        <w:rPr>
          <w:rFonts w:ascii="Arial" w:hAnsi="Arial" w:cs="Arial"/>
          <w:sz w:val="24"/>
          <w:szCs w:val="24"/>
        </w:rPr>
        <w:lastRenderedPageBreak/>
        <w:t>étnico-raciais constitui um “tema transversal” que pode ser ignorado ou relegado a datas comemorativas, como o mês da Consciência Negra.</w:t>
      </w:r>
    </w:p>
    <w:p w:rsidR="00E65FD5" w:rsidRDefault="0061410B">
      <w:pPr>
        <w:spacing w:line="360" w:lineRule="auto"/>
        <w:ind w:firstLine="709"/>
        <w:jc w:val="both"/>
        <w:rPr>
          <w:rFonts w:ascii="Arial" w:hAnsi="Arial" w:cs="Arial"/>
          <w:sz w:val="24"/>
          <w:szCs w:val="24"/>
        </w:rPr>
      </w:pPr>
      <w:r>
        <w:rPr>
          <w:rFonts w:ascii="Arial" w:hAnsi="Arial" w:cs="Arial"/>
          <w:sz w:val="24"/>
          <w:szCs w:val="24"/>
        </w:rPr>
        <w:t>Outro fator importante é a sobreposição de demandas escolares e a pressão por resultados em avaliações externas, que frequentemente relegam a literatura – e especialmente a literatura negra – a um papel secundário nos planejamentos. Mesmo quando os professores reconhecem a importância da proposta, muitos alegam falta de tempo ou ausência de condições objetivas para sua execução. Tal cenário reforça o argumento de que não basta instituir projetos inovadores se não houver um movimento coletivo de comprometimento e responsabilização institucional.</w:t>
      </w:r>
    </w:p>
    <w:p w:rsidR="00E65FD5" w:rsidRDefault="0061410B">
      <w:pPr>
        <w:spacing w:line="360" w:lineRule="auto"/>
        <w:ind w:firstLine="709"/>
        <w:jc w:val="both"/>
        <w:rPr>
          <w:rFonts w:ascii="Arial" w:hAnsi="Arial" w:cs="Arial"/>
          <w:sz w:val="24"/>
          <w:szCs w:val="24"/>
        </w:rPr>
      </w:pPr>
      <w:r>
        <w:rPr>
          <w:rFonts w:ascii="Arial" w:hAnsi="Arial" w:cs="Arial"/>
          <w:sz w:val="24"/>
          <w:szCs w:val="24"/>
        </w:rPr>
        <w:t xml:space="preserve">Ademais, a não adesão total também pode ser compreendida à luz da própria </w:t>
      </w:r>
      <w:proofErr w:type="spellStart"/>
      <w:r>
        <w:rPr>
          <w:rFonts w:ascii="Arial" w:hAnsi="Arial" w:cs="Arial"/>
          <w:sz w:val="24"/>
          <w:szCs w:val="24"/>
        </w:rPr>
        <w:t>colonialidade</w:t>
      </w:r>
      <w:proofErr w:type="spellEnd"/>
      <w:r>
        <w:rPr>
          <w:rFonts w:ascii="Arial" w:hAnsi="Arial" w:cs="Arial"/>
          <w:sz w:val="24"/>
          <w:szCs w:val="24"/>
        </w:rPr>
        <w:t xml:space="preserve"> do saber que ainda estrutura a prática pedagógica brasileira, onde o cânone literário branco, europeu e masculino continua sendo tomado como referência universal. A inserção de narrativas negras exige, portanto, uma ruptura com essa lógica e a abertura a outras epistemologias – um movimento que nem sempre é confortável ou espontâneo.</w:t>
      </w:r>
    </w:p>
    <w:p w:rsidR="00E65FD5" w:rsidRDefault="00E65FD5" w:rsidP="007F1D06">
      <w:pPr>
        <w:spacing w:line="360" w:lineRule="auto"/>
        <w:jc w:val="both"/>
        <w:rPr>
          <w:rFonts w:ascii="Arial" w:hAnsi="Arial" w:cs="Arial"/>
          <w:sz w:val="24"/>
          <w:szCs w:val="24"/>
        </w:rPr>
      </w:pPr>
    </w:p>
    <w:p w:rsidR="00E65FD5" w:rsidRDefault="0061410B">
      <w:pPr>
        <w:spacing w:line="360" w:lineRule="auto"/>
        <w:jc w:val="both"/>
        <w:rPr>
          <w:rFonts w:ascii="Arial" w:hAnsi="Arial" w:cs="Arial"/>
          <w:b/>
          <w:sz w:val="24"/>
          <w:szCs w:val="24"/>
        </w:rPr>
      </w:pPr>
      <w:r>
        <w:rPr>
          <w:rFonts w:ascii="Arial" w:hAnsi="Arial" w:cs="Arial"/>
          <w:b/>
          <w:sz w:val="24"/>
          <w:szCs w:val="24"/>
        </w:rPr>
        <w:t>3</w:t>
      </w:r>
      <w:r>
        <w:rPr>
          <w:rFonts w:ascii="Arial" w:hAnsi="Arial" w:cs="Arial"/>
          <w:b/>
          <w:sz w:val="24"/>
          <w:szCs w:val="24"/>
        </w:rPr>
        <w:tab/>
        <w:t>CONCLUSÃO</w:t>
      </w:r>
    </w:p>
    <w:p w:rsidR="00E65FD5" w:rsidRDefault="00E65FD5">
      <w:pPr>
        <w:spacing w:line="360" w:lineRule="auto"/>
        <w:jc w:val="both"/>
        <w:rPr>
          <w:rFonts w:ascii="Arial" w:hAnsi="Arial" w:cs="Arial"/>
          <w:sz w:val="24"/>
          <w:szCs w:val="24"/>
        </w:rPr>
      </w:pP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Discutir </w:t>
      </w:r>
      <w:proofErr w:type="spellStart"/>
      <w:r>
        <w:rPr>
          <w:rFonts w:ascii="Arial" w:hAnsi="Arial" w:cs="Arial"/>
          <w:sz w:val="24"/>
          <w:szCs w:val="24"/>
        </w:rPr>
        <w:t>epistemicídio</w:t>
      </w:r>
      <w:proofErr w:type="spellEnd"/>
      <w:r>
        <w:rPr>
          <w:rFonts w:ascii="Arial" w:hAnsi="Arial" w:cs="Arial"/>
          <w:sz w:val="24"/>
          <w:szCs w:val="24"/>
        </w:rPr>
        <w:t>, racismo e currículo é enfrentar os alicerces coloniais da educação brasileira. A resistência negra tem demonstrado, ao longo da história, que é possível (</w:t>
      </w:r>
      <w:proofErr w:type="spellStart"/>
      <w:r>
        <w:rPr>
          <w:rFonts w:ascii="Arial" w:hAnsi="Arial" w:cs="Arial"/>
          <w:sz w:val="24"/>
          <w:szCs w:val="24"/>
        </w:rPr>
        <w:t>re</w:t>
      </w:r>
      <w:proofErr w:type="spellEnd"/>
      <w:r>
        <w:rPr>
          <w:rFonts w:ascii="Arial" w:hAnsi="Arial" w:cs="Arial"/>
          <w:sz w:val="24"/>
          <w:szCs w:val="24"/>
        </w:rPr>
        <w:t>)existir e construir novos horizontes pedagógicos. A Lei 10.639/03, embora desafiada por múltiplas limitações, constitui-se como um marco simbólico e político de ruptura com o currículo colonizado.</w:t>
      </w: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Assim, compreendemos que é urgente reafirmar que a construção de uma educação antirracista passa pela valorização das epistemologias negras e pela produção de um currículo </w:t>
      </w:r>
      <w:proofErr w:type="spellStart"/>
      <w:r>
        <w:rPr>
          <w:rFonts w:ascii="Arial" w:hAnsi="Arial" w:cs="Arial"/>
          <w:sz w:val="24"/>
          <w:szCs w:val="24"/>
        </w:rPr>
        <w:t>decolonial</w:t>
      </w:r>
      <w:proofErr w:type="spellEnd"/>
      <w:r>
        <w:rPr>
          <w:rFonts w:ascii="Arial" w:hAnsi="Arial" w:cs="Arial"/>
          <w:sz w:val="24"/>
          <w:szCs w:val="24"/>
        </w:rPr>
        <w:t>, capaz de formar sujeitos críticos, conscientes de suas origens, identidades e direitos.</w:t>
      </w: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A discussão desenvolvida neste artigo buscou compreender de forma crítica a Lei 10.639/03 como instrumento de enfrentamento ao racismo estrutural e à lógica </w:t>
      </w:r>
      <w:r>
        <w:rPr>
          <w:rFonts w:ascii="Arial" w:hAnsi="Arial" w:cs="Arial"/>
          <w:sz w:val="24"/>
          <w:szCs w:val="24"/>
        </w:rPr>
        <w:lastRenderedPageBreak/>
        <w:t xml:space="preserve">colonial do capital, enfatizando seu potencial emancipatório no contexto da educação pública brasileira. Ao percorrer os caminhos que vão desde o conceito de </w:t>
      </w:r>
      <w:proofErr w:type="spellStart"/>
      <w:r>
        <w:rPr>
          <w:rFonts w:ascii="Arial" w:hAnsi="Arial" w:cs="Arial"/>
          <w:sz w:val="24"/>
          <w:szCs w:val="24"/>
        </w:rPr>
        <w:t>epistemicídio</w:t>
      </w:r>
      <w:proofErr w:type="spellEnd"/>
      <w:r>
        <w:rPr>
          <w:rFonts w:ascii="Arial" w:hAnsi="Arial" w:cs="Arial"/>
          <w:sz w:val="24"/>
          <w:szCs w:val="24"/>
        </w:rPr>
        <w:t>, a destruição sistemática dos saberes não hegemônicos, à necessidade urgente de descolonização dos currículos escolares, evidenciamos que a escola segue sendo um território de disputa de sentidos, práticas e saberes.</w:t>
      </w: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epistemicídio</w:t>
      </w:r>
      <w:proofErr w:type="spellEnd"/>
      <w:r>
        <w:rPr>
          <w:rFonts w:ascii="Arial" w:hAnsi="Arial" w:cs="Arial"/>
          <w:sz w:val="24"/>
          <w:szCs w:val="24"/>
        </w:rPr>
        <w:t>, nesse sentido, não se manifesta apenas na negação do saber do outro, mas também na recusa de seu reconhecimento como sujeito do conhecimento. A educação antirracista, portanto, demanda mais do que boa vontade: exige uma ruptura com paradigmas coloniais e o compromisso político com a transformação da escola em um espaço de reconstrução identitária, justiça histórica e valorização das epistemologias afro-brasileiras e africanas.</w:t>
      </w:r>
    </w:p>
    <w:p w:rsidR="00E65FD5" w:rsidRDefault="0061410B">
      <w:pPr>
        <w:spacing w:line="360" w:lineRule="auto"/>
        <w:ind w:firstLine="720"/>
        <w:jc w:val="both"/>
        <w:rPr>
          <w:rFonts w:ascii="Arial" w:hAnsi="Arial" w:cs="Arial"/>
          <w:sz w:val="24"/>
          <w:szCs w:val="24"/>
        </w:rPr>
      </w:pPr>
      <w:r>
        <w:rPr>
          <w:rFonts w:ascii="Arial" w:hAnsi="Arial" w:cs="Arial"/>
          <w:sz w:val="24"/>
          <w:szCs w:val="24"/>
        </w:rPr>
        <w:t xml:space="preserve">Assim, afirmamos que a efetivação da Lei 10.639/03 como prática pedagógica crítica é uma via potente de resistência à </w:t>
      </w:r>
      <w:proofErr w:type="spellStart"/>
      <w:r>
        <w:rPr>
          <w:rFonts w:ascii="Arial" w:hAnsi="Arial" w:cs="Arial"/>
          <w:sz w:val="24"/>
          <w:szCs w:val="24"/>
        </w:rPr>
        <w:t>colonialidade</w:t>
      </w:r>
      <w:proofErr w:type="spellEnd"/>
      <w:r>
        <w:rPr>
          <w:rFonts w:ascii="Arial" w:hAnsi="Arial" w:cs="Arial"/>
          <w:sz w:val="24"/>
          <w:szCs w:val="24"/>
        </w:rPr>
        <w:t>. Seu fortalecimento passa pela valorização de projetos como “Desvendando Narrativas Literárias Antirracistas”, pela construção de políticas públicas de formação docente permanente, pela revisão crítica do material didático e pela criação de condições institucionais para que a escola se torne um território de enfrentamento ao racismo. Descolonizar o currículo é também um ato de cura coletiva, reconstrução de humanidade e reinvenção de futuros mais justos para todos os sujeitos historicamente subalternizados.</w:t>
      </w:r>
    </w:p>
    <w:p w:rsidR="00E65FD5" w:rsidRDefault="00E65FD5">
      <w:pPr>
        <w:spacing w:line="360" w:lineRule="auto"/>
        <w:ind w:firstLine="720"/>
        <w:jc w:val="both"/>
        <w:rPr>
          <w:rFonts w:ascii="Arial" w:hAnsi="Arial" w:cs="Arial"/>
          <w:sz w:val="24"/>
          <w:szCs w:val="24"/>
        </w:rPr>
      </w:pPr>
    </w:p>
    <w:p w:rsidR="006842D8" w:rsidRDefault="006842D8">
      <w:pPr>
        <w:spacing w:line="360" w:lineRule="auto"/>
        <w:ind w:firstLine="720"/>
        <w:jc w:val="both"/>
        <w:rPr>
          <w:rFonts w:ascii="Arial" w:hAnsi="Arial" w:cs="Arial"/>
          <w:sz w:val="24"/>
          <w:szCs w:val="24"/>
        </w:rPr>
      </w:pPr>
    </w:p>
    <w:p w:rsidR="006842D8" w:rsidRDefault="006842D8">
      <w:pPr>
        <w:spacing w:line="360" w:lineRule="auto"/>
        <w:ind w:firstLine="720"/>
        <w:jc w:val="both"/>
        <w:rPr>
          <w:rFonts w:ascii="Arial" w:hAnsi="Arial" w:cs="Arial"/>
          <w:sz w:val="24"/>
          <w:szCs w:val="24"/>
        </w:rPr>
      </w:pPr>
    </w:p>
    <w:p w:rsidR="006842D8" w:rsidRDefault="006842D8">
      <w:pPr>
        <w:spacing w:line="360" w:lineRule="auto"/>
        <w:ind w:firstLine="720"/>
        <w:jc w:val="both"/>
        <w:rPr>
          <w:rFonts w:ascii="Arial" w:hAnsi="Arial" w:cs="Arial"/>
          <w:sz w:val="24"/>
          <w:szCs w:val="24"/>
        </w:rPr>
      </w:pPr>
    </w:p>
    <w:p w:rsidR="006842D8" w:rsidRDefault="006842D8">
      <w:pPr>
        <w:spacing w:line="360" w:lineRule="auto"/>
        <w:ind w:firstLine="720"/>
        <w:jc w:val="both"/>
        <w:rPr>
          <w:rFonts w:ascii="Arial" w:hAnsi="Arial" w:cs="Arial"/>
          <w:sz w:val="24"/>
          <w:szCs w:val="24"/>
        </w:rPr>
      </w:pPr>
    </w:p>
    <w:p w:rsidR="006842D8" w:rsidRDefault="006842D8">
      <w:pPr>
        <w:spacing w:line="360" w:lineRule="auto"/>
        <w:ind w:firstLine="720"/>
        <w:jc w:val="both"/>
        <w:rPr>
          <w:rFonts w:ascii="Arial" w:hAnsi="Arial" w:cs="Arial"/>
          <w:sz w:val="24"/>
          <w:szCs w:val="24"/>
        </w:rPr>
      </w:pPr>
    </w:p>
    <w:p w:rsidR="006842D8" w:rsidRDefault="006842D8">
      <w:pPr>
        <w:spacing w:line="360" w:lineRule="auto"/>
        <w:ind w:firstLine="720"/>
        <w:jc w:val="both"/>
        <w:rPr>
          <w:rFonts w:ascii="Arial" w:hAnsi="Arial" w:cs="Arial"/>
          <w:sz w:val="24"/>
          <w:szCs w:val="24"/>
        </w:rPr>
      </w:pPr>
    </w:p>
    <w:p w:rsidR="00E65FD5" w:rsidRDefault="00E65FD5">
      <w:pPr>
        <w:spacing w:line="360" w:lineRule="auto"/>
        <w:jc w:val="both"/>
        <w:rPr>
          <w:rFonts w:ascii="Arial" w:hAnsi="Arial" w:cs="Arial"/>
          <w:b/>
          <w:sz w:val="24"/>
          <w:szCs w:val="24"/>
        </w:rPr>
      </w:pPr>
    </w:p>
    <w:p w:rsidR="00E65FD5" w:rsidRDefault="0061410B">
      <w:pPr>
        <w:spacing w:line="360" w:lineRule="auto"/>
        <w:jc w:val="center"/>
        <w:rPr>
          <w:rFonts w:ascii="Arial" w:hAnsi="Arial" w:cs="Arial"/>
          <w:b/>
          <w:sz w:val="24"/>
          <w:szCs w:val="24"/>
        </w:rPr>
      </w:pPr>
      <w:r>
        <w:rPr>
          <w:rFonts w:ascii="Arial" w:hAnsi="Arial" w:cs="Arial"/>
          <w:b/>
          <w:sz w:val="24"/>
          <w:szCs w:val="24"/>
        </w:rPr>
        <w:t xml:space="preserve">REFERÊNCIAS </w:t>
      </w:r>
    </w:p>
    <w:p w:rsidR="00F40494" w:rsidRDefault="00F40494">
      <w:pPr>
        <w:spacing w:line="360" w:lineRule="auto"/>
        <w:jc w:val="center"/>
        <w:rPr>
          <w:rFonts w:ascii="Arial" w:hAnsi="Arial" w:cs="Arial"/>
          <w:bCs/>
          <w:sz w:val="24"/>
          <w:szCs w:val="24"/>
        </w:rPr>
      </w:pPr>
    </w:p>
    <w:p w:rsidR="00E65FD5" w:rsidRDefault="006842D8">
      <w:pPr>
        <w:spacing w:line="240" w:lineRule="auto"/>
        <w:jc w:val="both"/>
        <w:rPr>
          <w:rFonts w:ascii="Arial" w:hAnsi="Arial" w:cs="Arial"/>
          <w:sz w:val="24"/>
          <w:szCs w:val="24"/>
        </w:rPr>
      </w:pPr>
      <w:r w:rsidRPr="006842D8">
        <w:rPr>
          <w:rFonts w:ascii="Arial" w:hAnsi="Arial" w:cs="Arial"/>
          <w:sz w:val="24"/>
          <w:szCs w:val="24"/>
        </w:rPr>
        <w:lastRenderedPageBreak/>
        <w:t xml:space="preserve">ALMEIDA, S. </w:t>
      </w:r>
      <w:r w:rsidRPr="006842D8">
        <w:rPr>
          <w:rFonts w:ascii="Arial" w:hAnsi="Arial" w:cs="Arial"/>
          <w:b/>
          <w:sz w:val="24"/>
          <w:szCs w:val="24"/>
        </w:rPr>
        <w:t>Racismo estrutural.</w:t>
      </w:r>
      <w:r w:rsidRPr="006842D8">
        <w:rPr>
          <w:rFonts w:ascii="Arial" w:hAnsi="Arial" w:cs="Arial"/>
          <w:sz w:val="24"/>
          <w:szCs w:val="24"/>
        </w:rPr>
        <w:t xml:space="preserve"> [</w:t>
      </w:r>
      <w:proofErr w:type="spellStart"/>
      <w:r w:rsidRPr="006842D8">
        <w:rPr>
          <w:rFonts w:ascii="Arial" w:hAnsi="Arial" w:cs="Arial"/>
          <w:sz w:val="24"/>
          <w:szCs w:val="24"/>
        </w:rPr>
        <w:t>StructuralRacism</w:t>
      </w:r>
      <w:proofErr w:type="spellEnd"/>
      <w:r w:rsidRPr="006842D8">
        <w:rPr>
          <w:rFonts w:ascii="Arial" w:hAnsi="Arial" w:cs="Arial"/>
          <w:sz w:val="24"/>
          <w:szCs w:val="24"/>
        </w:rPr>
        <w:t>]. São Paulo: Pólen, 2019. 264 p. ISBN 978-85-98349-75-6</w:t>
      </w:r>
    </w:p>
    <w:p w:rsidR="006842D8" w:rsidRDefault="006842D8">
      <w:pPr>
        <w:spacing w:line="240" w:lineRule="auto"/>
        <w:jc w:val="both"/>
        <w:rPr>
          <w:rFonts w:ascii="Arial" w:hAnsi="Arial" w:cs="Arial"/>
          <w:sz w:val="24"/>
          <w:szCs w:val="24"/>
        </w:rPr>
      </w:pPr>
    </w:p>
    <w:p w:rsidR="006842D8" w:rsidRDefault="006842D8" w:rsidP="006842D8">
      <w:pPr>
        <w:spacing w:line="240" w:lineRule="auto"/>
        <w:jc w:val="both"/>
        <w:rPr>
          <w:rFonts w:ascii="Arial" w:hAnsi="Arial" w:cs="Arial"/>
          <w:sz w:val="24"/>
          <w:szCs w:val="24"/>
        </w:rPr>
      </w:pPr>
      <w:r>
        <w:rPr>
          <w:rFonts w:ascii="Arial" w:hAnsi="Arial" w:cs="Arial"/>
          <w:sz w:val="24"/>
          <w:szCs w:val="24"/>
        </w:rPr>
        <w:t xml:space="preserve">BRASIL. </w:t>
      </w:r>
      <w:r>
        <w:rPr>
          <w:rFonts w:ascii="Arial" w:hAnsi="Arial" w:cs="Arial"/>
          <w:b/>
          <w:sz w:val="24"/>
          <w:szCs w:val="24"/>
        </w:rPr>
        <w:t>Lei nº 10.639</w:t>
      </w:r>
      <w:r>
        <w:rPr>
          <w:rFonts w:ascii="Arial" w:hAnsi="Arial" w:cs="Arial"/>
          <w:sz w:val="24"/>
          <w:szCs w:val="24"/>
        </w:rPr>
        <w:t>, de 9 de janeiro de 2003. Diário Oficial da União, Brasília, DF, 10 jan. 2003.</w:t>
      </w:r>
    </w:p>
    <w:p w:rsidR="006842D8" w:rsidRDefault="006842D8">
      <w:pPr>
        <w:spacing w:line="240" w:lineRule="auto"/>
        <w:jc w:val="both"/>
        <w:rPr>
          <w:rFonts w:ascii="Arial" w:hAnsi="Arial" w:cs="Arial"/>
          <w:sz w:val="24"/>
          <w:szCs w:val="24"/>
        </w:rPr>
      </w:pPr>
    </w:p>
    <w:p w:rsidR="006842D8" w:rsidRDefault="00F40494">
      <w:pPr>
        <w:spacing w:line="240" w:lineRule="auto"/>
        <w:jc w:val="both"/>
        <w:rPr>
          <w:rFonts w:ascii="Arial" w:hAnsi="Arial" w:cs="Arial"/>
          <w:sz w:val="24"/>
          <w:szCs w:val="24"/>
        </w:rPr>
      </w:pPr>
      <w:r w:rsidRPr="00F40494">
        <w:rPr>
          <w:rFonts w:ascii="Arial" w:hAnsi="Arial" w:cs="Arial"/>
          <w:sz w:val="24"/>
          <w:szCs w:val="24"/>
        </w:rPr>
        <w:t xml:space="preserve">Carneiro, Sueli. </w:t>
      </w:r>
      <w:r w:rsidRPr="00F40494">
        <w:rPr>
          <w:rFonts w:ascii="Arial" w:hAnsi="Arial" w:cs="Arial"/>
          <w:b/>
          <w:sz w:val="24"/>
          <w:szCs w:val="24"/>
        </w:rPr>
        <w:t xml:space="preserve">Dispositivo de </w:t>
      </w:r>
      <w:proofErr w:type="spellStart"/>
      <w:r w:rsidRPr="00F40494">
        <w:rPr>
          <w:rFonts w:ascii="Arial" w:hAnsi="Arial" w:cs="Arial"/>
          <w:b/>
          <w:sz w:val="24"/>
          <w:szCs w:val="24"/>
        </w:rPr>
        <w:t>racialidade</w:t>
      </w:r>
      <w:proofErr w:type="spellEnd"/>
      <w:r w:rsidRPr="00F40494">
        <w:rPr>
          <w:rFonts w:ascii="Arial" w:hAnsi="Arial" w:cs="Arial"/>
          <w:b/>
          <w:sz w:val="24"/>
          <w:szCs w:val="24"/>
        </w:rPr>
        <w:t>:</w:t>
      </w:r>
      <w:r w:rsidRPr="00F40494">
        <w:rPr>
          <w:rFonts w:ascii="Arial" w:hAnsi="Arial" w:cs="Arial"/>
          <w:sz w:val="24"/>
          <w:szCs w:val="24"/>
        </w:rPr>
        <w:t xml:space="preserve"> a construção do outro como não ser como fundamento do ser. Rio de Janeiro: Zahar, 2023</w:t>
      </w:r>
      <w:r w:rsidR="0016602C">
        <w:rPr>
          <w:rFonts w:ascii="Arial" w:hAnsi="Arial" w:cs="Arial"/>
          <w:sz w:val="24"/>
          <w:szCs w:val="24"/>
        </w:rPr>
        <w:t>.</w:t>
      </w:r>
    </w:p>
    <w:p w:rsidR="0016602C" w:rsidRDefault="0016602C">
      <w:pPr>
        <w:spacing w:line="240" w:lineRule="auto"/>
        <w:jc w:val="both"/>
        <w:rPr>
          <w:rFonts w:ascii="Arial" w:hAnsi="Arial" w:cs="Arial"/>
          <w:sz w:val="24"/>
          <w:szCs w:val="24"/>
        </w:rPr>
      </w:pPr>
    </w:p>
    <w:p w:rsidR="0016602C" w:rsidRDefault="00F5450C">
      <w:pPr>
        <w:spacing w:line="240" w:lineRule="auto"/>
        <w:jc w:val="both"/>
        <w:rPr>
          <w:rFonts w:ascii="Arial" w:hAnsi="Arial" w:cs="Arial"/>
          <w:sz w:val="24"/>
          <w:szCs w:val="24"/>
        </w:rPr>
      </w:pPr>
      <w:r w:rsidRPr="00F5450C">
        <w:rPr>
          <w:rFonts w:ascii="Arial" w:hAnsi="Arial" w:cs="Arial"/>
          <w:sz w:val="24"/>
          <w:szCs w:val="24"/>
        </w:rPr>
        <w:t>BENTO, Cida. </w:t>
      </w:r>
      <w:r w:rsidRPr="00F5450C">
        <w:rPr>
          <w:rFonts w:ascii="Arial" w:hAnsi="Arial" w:cs="Arial"/>
          <w:b/>
          <w:bCs/>
          <w:sz w:val="24"/>
          <w:szCs w:val="24"/>
        </w:rPr>
        <w:t xml:space="preserve">Pacto da </w:t>
      </w:r>
      <w:proofErr w:type="spellStart"/>
      <w:r w:rsidRPr="00F5450C">
        <w:rPr>
          <w:rFonts w:ascii="Arial" w:hAnsi="Arial" w:cs="Arial"/>
          <w:b/>
          <w:bCs/>
          <w:sz w:val="24"/>
          <w:szCs w:val="24"/>
        </w:rPr>
        <w:t>Branquitude</w:t>
      </w:r>
      <w:proofErr w:type="spellEnd"/>
      <w:r w:rsidRPr="00F5450C">
        <w:rPr>
          <w:rFonts w:ascii="Arial" w:hAnsi="Arial" w:cs="Arial"/>
          <w:sz w:val="24"/>
          <w:szCs w:val="24"/>
        </w:rPr>
        <w:t>. São Paulo: Companhia das Letras, 2022.</w:t>
      </w:r>
    </w:p>
    <w:p w:rsidR="00F40494" w:rsidRDefault="00F40494">
      <w:pPr>
        <w:spacing w:line="240" w:lineRule="auto"/>
        <w:jc w:val="both"/>
        <w:rPr>
          <w:rFonts w:ascii="Arial" w:hAnsi="Arial" w:cs="Arial"/>
          <w:sz w:val="24"/>
          <w:szCs w:val="24"/>
        </w:rPr>
      </w:pPr>
    </w:p>
    <w:p w:rsidR="006842D8" w:rsidRDefault="006842D8">
      <w:pPr>
        <w:spacing w:line="240" w:lineRule="auto"/>
        <w:jc w:val="both"/>
        <w:rPr>
          <w:rFonts w:ascii="Arial" w:hAnsi="Arial" w:cs="Arial"/>
          <w:sz w:val="24"/>
          <w:szCs w:val="24"/>
        </w:rPr>
      </w:pPr>
      <w:r w:rsidRPr="006842D8">
        <w:rPr>
          <w:rFonts w:ascii="Arial" w:hAnsi="Arial" w:cs="Arial"/>
          <w:sz w:val="24"/>
          <w:szCs w:val="24"/>
        </w:rPr>
        <w:t xml:space="preserve">FANON, F. </w:t>
      </w:r>
      <w:r w:rsidRPr="006842D8">
        <w:rPr>
          <w:rFonts w:ascii="Arial" w:hAnsi="Arial" w:cs="Arial"/>
          <w:b/>
          <w:sz w:val="24"/>
          <w:szCs w:val="24"/>
        </w:rPr>
        <w:t>Pele negra, máscaras brancas.</w:t>
      </w:r>
      <w:r w:rsidRPr="006842D8">
        <w:rPr>
          <w:rFonts w:ascii="Arial" w:hAnsi="Arial" w:cs="Arial"/>
          <w:sz w:val="24"/>
          <w:szCs w:val="24"/>
        </w:rPr>
        <w:t xml:space="preserve"> Trad. Renato da Silveira. Salvador: EDUFBA, 2008.</w:t>
      </w:r>
    </w:p>
    <w:p w:rsidR="00E65FD5" w:rsidRDefault="00E65FD5">
      <w:pPr>
        <w:spacing w:line="240" w:lineRule="auto"/>
        <w:jc w:val="both"/>
        <w:rPr>
          <w:rFonts w:ascii="Arial" w:hAnsi="Arial" w:cs="Arial"/>
          <w:sz w:val="24"/>
          <w:szCs w:val="24"/>
        </w:rPr>
      </w:pPr>
    </w:p>
    <w:p w:rsidR="00E65FD5" w:rsidRDefault="0061410B">
      <w:pPr>
        <w:spacing w:line="240" w:lineRule="auto"/>
        <w:jc w:val="both"/>
        <w:rPr>
          <w:rFonts w:ascii="Arial" w:hAnsi="Arial" w:cs="Arial"/>
          <w:sz w:val="24"/>
          <w:szCs w:val="24"/>
        </w:rPr>
      </w:pPr>
      <w:r>
        <w:rPr>
          <w:rFonts w:ascii="Arial" w:hAnsi="Arial" w:cs="Arial"/>
          <w:sz w:val="24"/>
          <w:szCs w:val="24"/>
        </w:rPr>
        <w:t xml:space="preserve">FERREIRA, Lucimar Rosa Dias. </w:t>
      </w:r>
      <w:r>
        <w:rPr>
          <w:rFonts w:ascii="Arial" w:hAnsi="Arial" w:cs="Arial"/>
          <w:b/>
          <w:sz w:val="24"/>
          <w:szCs w:val="24"/>
        </w:rPr>
        <w:t xml:space="preserve">A pedagogia da </w:t>
      </w:r>
      <w:proofErr w:type="spellStart"/>
      <w:r>
        <w:rPr>
          <w:rFonts w:ascii="Arial" w:hAnsi="Arial" w:cs="Arial"/>
          <w:b/>
          <w:sz w:val="24"/>
          <w:szCs w:val="24"/>
        </w:rPr>
        <w:t>branquitude</w:t>
      </w:r>
      <w:proofErr w:type="spellEnd"/>
      <w:r>
        <w:rPr>
          <w:rFonts w:ascii="Arial" w:hAnsi="Arial" w:cs="Arial"/>
          <w:sz w:val="24"/>
          <w:szCs w:val="24"/>
        </w:rPr>
        <w:t>. In: CANDAU, Vera Maria. (Org.) Educação e diversidade cultural. Petrópolis: Vozes, 2014.</w:t>
      </w:r>
    </w:p>
    <w:p w:rsidR="00E65FD5" w:rsidRDefault="00E65FD5">
      <w:pPr>
        <w:spacing w:line="240" w:lineRule="auto"/>
        <w:jc w:val="both"/>
        <w:rPr>
          <w:rFonts w:ascii="Arial" w:hAnsi="Arial" w:cs="Arial"/>
          <w:sz w:val="24"/>
          <w:szCs w:val="24"/>
        </w:rPr>
      </w:pPr>
    </w:p>
    <w:p w:rsidR="00E65FD5" w:rsidRDefault="0061410B">
      <w:pPr>
        <w:spacing w:line="240" w:lineRule="auto"/>
        <w:jc w:val="both"/>
        <w:rPr>
          <w:rFonts w:ascii="Arial" w:hAnsi="Arial" w:cs="Arial"/>
          <w:sz w:val="24"/>
          <w:szCs w:val="24"/>
        </w:rPr>
      </w:pPr>
      <w:r>
        <w:rPr>
          <w:rFonts w:ascii="Arial" w:hAnsi="Arial" w:cs="Arial"/>
          <w:sz w:val="24"/>
          <w:szCs w:val="24"/>
        </w:rPr>
        <w:t xml:space="preserve">GOMES, </w:t>
      </w:r>
      <w:proofErr w:type="spellStart"/>
      <w:r>
        <w:rPr>
          <w:rFonts w:ascii="Arial" w:hAnsi="Arial" w:cs="Arial"/>
          <w:sz w:val="24"/>
          <w:szCs w:val="24"/>
        </w:rPr>
        <w:t>Nilma</w:t>
      </w:r>
      <w:proofErr w:type="spellEnd"/>
      <w:r>
        <w:rPr>
          <w:rFonts w:ascii="Arial" w:hAnsi="Arial" w:cs="Arial"/>
          <w:sz w:val="24"/>
          <w:szCs w:val="24"/>
        </w:rPr>
        <w:t xml:space="preserve"> Lino. </w:t>
      </w:r>
      <w:r>
        <w:rPr>
          <w:rFonts w:ascii="Arial" w:hAnsi="Arial" w:cs="Arial"/>
          <w:b/>
          <w:sz w:val="24"/>
          <w:szCs w:val="24"/>
        </w:rPr>
        <w:t>O movimento negro educador.</w:t>
      </w:r>
      <w:r>
        <w:rPr>
          <w:rFonts w:ascii="Arial" w:hAnsi="Arial" w:cs="Arial"/>
          <w:sz w:val="24"/>
          <w:szCs w:val="24"/>
        </w:rPr>
        <w:t xml:space="preserve"> Petrópolis: Vozes, 2017.</w:t>
      </w:r>
    </w:p>
    <w:p w:rsidR="00E65FD5" w:rsidRDefault="0061410B">
      <w:pPr>
        <w:spacing w:line="240" w:lineRule="auto"/>
        <w:jc w:val="both"/>
        <w:rPr>
          <w:rFonts w:ascii="Arial" w:hAnsi="Arial" w:cs="Arial"/>
          <w:sz w:val="24"/>
          <w:szCs w:val="24"/>
        </w:rPr>
      </w:pPr>
      <w:r>
        <w:rPr>
          <w:rFonts w:ascii="Arial" w:hAnsi="Arial" w:cs="Arial"/>
          <w:sz w:val="24"/>
          <w:szCs w:val="24"/>
        </w:rPr>
        <w:t>SANTOS, Boaventura de Sousa. A crítica da razão indolente: contra o desperdício da experiência. São Paulo: Cortez, 2007.</w:t>
      </w:r>
    </w:p>
    <w:p w:rsidR="006842D8" w:rsidRDefault="006842D8">
      <w:pPr>
        <w:spacing w:line="240" w:lineRule="auto"/>
        <w:jc w:val="both"/>
        <w:rPr>
          <w:rFonts w:ascii="Arial" w:hAnsi="Arial" w:cs="Arial"/>
          <w:sz w:val="24"/>
          <w:szCs w:val="24"/>
        </w:rPr>
      </w:pPr>
    </w:p>
    <w:p w:rsidR="00E65FD5" w:rsidRPr="00FF5E2A" w:rsidRDefault="006842D8">
      <w:pPr>
        <w:spacing w:line="240" w:lineRule="auto"/>
        <w:jc w:val="both"/>
        <w:rPr>
          <w:rFonts w:ascii="Arial" w:hAnsi="Arial" w:cs="Arial"/>
          <w:sz w:val="24"/>
          <w:szCs w:val="24"/>
        </w:rPr>
      </w:pPr>
      <w:r w:rsidRPr="006842D8">
        <w:rPr>
          <w:rFonts w:ascii="Arial" w:hAnsi="Arial" w:cs="Arial"/>
          <w:sz w:val="24"/>
          <w:szCs w:val="24"/>
        </w:rPr>
        <w:t xml:space="preserve">MUNANGA, K. (1999). </w:t>
      </w:r>
      <w:r w:rsidRPr="006842D8">
        <w:rPr>
          <w:rFonts w:ascii="Arial" w:hAnsi="Arial" w:cs="Arial"/>
          <w:b/>
          <w:sz w:val="24"/>
          <w:szCs w:val="24"/>
        </w:rPr>
        <w:t>Rediscutindo a Mestiçagem no Brasil:</w:t>
      </w:r>
      <w:r w:rsidRPr="006842D8">
        <w:rPr>
          <w:rFonts w:ascii="Arial" w:hAnsi="Arial" w:cs="Arial"/>
          <w:sz w:val="24"/>
          <w:szCs w:val="24"/>
        </w:rPr>
        <w:t xml:space="preserve"> Identidade Nacional versus Identidade Negra. Petrópolis: Vozes. p. 115.</w:t>
      </w:r>
    </w:p>
    <w:p w:rsidR="00E65FD5" w:rsidRPr="00FF5E2A" w:rsidRDefault="00E65FD5">
      <w:pPr>
        <w:spacing w:line="240" w:lineRule="auto"/>
        <w:jc w:val="both"/>
        <w:rPr>
          <w:rFonts w:ascii="Arial" w:eastAsia="Calibri" w:hAnsi="Arial" w:cs="Arial"/>
          <w:bCs/>
          <w:sz w:val="24"/>
          <w:szCs w:val="24"/>
        </w:rPr>
      </w:pPr>
    </w:p>
    <w:p w:rsidR="00E65FD5" w:rsidRDefault="00FF5E2A">
      <w:pPr>
        <w:spacing w:line="240" w:lineRule="auto"/>
        <w:jc w:val="both"/>
        <w:rPr>
          <w:rFonts w:ascii="Arial" w:eastAsia="Calibri" w:hAnsi="Arial" w:cs="Arial"/>
          <w:bCs/>
          <w:sz w:val="24"/>
          <w:szCs w:val="24"/>
        </w:rPr>
      </w:pPr>
      <w:r w:rsidRPr="00FF5E2A">
        <w:rPr>
          <w:rFonts w:ascii="Arial" w:eastAsia="Calibri" w:hAnsi="Arial" w:cs="Arial"/>
          <w:bCs/>
          <w:sz w:val="24"/>
          <w:szCs w:val="24"/>
        </w:rPr>
        <w:t xml:space="preserve">QUIJANO, </w:t>
      </w:r>
      <w:proofErr w:type="spellStart"/>
      <w:r w:rsidRPr="00FF5E2A">
        <w:rPr>
          <w:rFonts w:ascii="Arial" w:eastAsia="Calibri" w:hAnsi="Arial" w:cs="Arial"/>
          <w:bCs/>
          <w:sz w:val="24"/>
          <w:szCs w:val="24"/>
        </w:rPr>
        <w:t>Anibal</w:t>
      </w:r>
      <w:proofErr w:type="spellEnd"/>
      <w:r w:rsidRPr="00FF5E2A">
        <w:rPr>
          <w:rFonts w:ascii="Arial" w:eastAsia="Calibri" w:hAnsi="Arial" w:cs="Arial"/>
          <w:bCs/>
          <w:sz w:val="24"/>
          <w:szCs w:val="24"/>
        </w:rPr>
        <w:t xml:space="preserve">. </w:t>
      </w:r>
      <w:proofErr w:type="spellStart"/>
      <w:r w:rsidRPr="00FF5E2A">
        <w:rPr>
          <w:rFonts w:ascii="Arial" w:eastAsia="Calibri" w:hAnsi="Arial" w:cs="Arial"/>
          <w:b/>
          <w:bCs/>
          <w:sz w:val="24"/>
          <w:szCs w:val="24"/>
        </w:rPr>
        <w:t>Colonialidade</w:t>
      </w:r>
      <w:proofErr w:type="spellEnd"/>
      <w:r w:rsidRPr="00FF5E2A">
        <w:rPr>
          <w:rFonts w:ascii="Arial" w:eastAsia="Calibri" w:hAnsi="Arial" w:cs="Arial"/>
          <w:b/>
          <w:bCs/>
          <w:sz w:val="24"/>
          <w:szCs w:val="24"/>
        </w:rPr>
        <w:t xml:space="preserve"> do poder e classificação social</w:t>
      </w:r>
      <w:r w:rsidRPr="00FF5E2A">
        <w:rPr>
          <w:rFonts w:ascii="Arial" w:eastAsia="Calibri" w:hAnsi="Arial" w:cs="Arial"/>
          <w:bCs/>
          <w:sz w:val="24"/>
          <w:szCs w:val="24"/>
        </w:rPr>
        <w:t>. In: SANTOS, Boaventura de Sousa;</w:t>
      </w:r>
    </w:p>
    <w:p w:rsidR="00013B45" w:rsidRDefault="00013B45">
      <w:pPr>
        <w:spacing w:line="240" w:lineRule="auto"/>
        <w:jc w:val="both"/>
        <w:rPr>
          <w:rFonts w:ascii="Arial" w:eastAsia="Calibri" w:hAnsi="Arial" w:cs="Arial"/>
          <w:bCs/>
          <w:sz w:val="24"/>
          <w:szCs w:val="24"/>
        </w:rPr>
      </w:pPr>
    </w:p>
    <w:p w:rsidR="00013B45" w:rsidRPr="00FF5E2A" w:rsidRDefault="00013B45">
      <w:pPr>
        <w:spacing w:line="240" w:lineRule="auto"/>
        <w:jc w:val="both"/>
        <w:rPr>
          <w:rFonts w:ascii="Arial" w:eastAsia="Calibri" w:hAnsi="Arial" w:cs="Arial"/>
          <w:bCs/>
          <w:sz w:val="24"/>
          <w:szCs w:val="24"/>
        </w:rPr>
      </w:pPr>
      <w:r w:rsidRPr="00013B45">
        <w:rPr>
          <w:rFonts w:ascii="Arial" w:eastAsia="Calibri" w:hAnsi="Arial" w:cs="Arial"/>
          <w:bCs/>
          <w:sz w:val="24"/>
          <w:szCs w:val="24"/>
        </w:rPr>
        <w:t>SANTOS, Boaventura de Sousa; MENESES</w:t>
      </w:r>
      <w:r>
        <w:rPr>
          <w:rFonts w:ascii="Arial" w:eastAsia="Calibri" w:hAnsi="Arial" w:cs="Arial"/>
          <w:bCs/>
          <w:sz w:val="24"/>
          <w:szCs w:val="24"/>
        </w:rPr>
        <w:t>,</w:t>
      </w:r>
      <w:r w:rsidRPr="00013B45">
        <w:rPr>
          <w:rFonts w:ascii="Arial" w:eastAsia="Calibri" w:hAnsi="Arial" w:cs="Arial"/>
          <w:bCs/>
          <w:sz w:val="24"/>
          <w:szCs w:val="24"/>
        </w:rPr>
        <w:t xml:space="preserve"> Maria Paula. (</w:t>
      </w:r>
      <w:proofErr w:type="spellStart"/>
      <w:r w:rsidRPr="00013B45">
        <w:rPr>
          <w:rFonts w:ascii="Arial" w:eastAsia="Calibri" w:hAnsi="Arial" w:cs="Arial"/>
          <w:bCs/>
          <w:sz w:val="24"/>
          <w:szCs w:val="24"/>
        </w:rPr>
        <w:t>Orgs</w:t>
      </w:r>
      <w:proofErr w:type="spellEnd"/>
      <w:r w:rsidRPr="00013B45">
        <w:rPr>
          <w:rFonts w:ascii="Arial" w:eastAsia="Calibri" w:hAnsi="Arial" w:cs="Arial"/>
          <w:bCs/>
          <w:sz w:val="24"/>
          <w:szCs w:val="24"/>
        </w:rPr>
        <w:t>.).</w:t>
      </w:r>
      <w:r>
        <w:rPr>
          <w:rFonts w:ascii="Arial" w:eastAsia="Calibri" w:hAnsi="Arial" w:cs="Arial"/>
          <w:bCs/>
          <w:sz w:val="24"/>
          <w:szCs w:val="24"/>
        </w:rPr>
        <w:t xml:space="preserve"> </w:t>
      </w:r>
      <w:r w:rsidRPr="00013B45">
        <w:rPr>
          <w:rFonts w:ascii="Arial" w:eastAsia="Calibri" w:hAnsi="Arial" w:cs="Arial"/>
          <w:b/>
          <w:bCs/>
          <w:sz w:val="24"/>
          <w:szCs w:val="24"/>
        </w:rPr>
        <w:t>Para além do pensamento abissal: das linhas globais a uma ecologia de saberes.</w:t>
      </w:r>
      <w:r>
        <w:rPr>
          <w:rFonts w:ascii="Arial" w:eastAsia="Calibri" w:hAnsi="Arial" w:cs="Arial"/>
          <w:b/>
          <w:bCs/>
          <w:sz w:val="24"/>
          <w:szCs w:val="24"/>
        </w:rPr>
        <w:t xml:space="preserve"> </w:t>
      </w:r>
      <w:r w:rsidRPr="00013B45">
        <w:rPr>
          <w:rFonts w:ascii="Arial" w:eastAsia="Calibri" w:hAnsi="Arial" w:cs="Arial"/>
          <w:bCs/>
          <w:sz w:val="24"/>
          <w:szCs w:val="24"/>
        </w:rPr>
        <w:t>In: Epistemologias do Sul. São Paulo: Cortez, 2010b.</w:t>
      </w:r>
    </w:p>
    <w:p w:rsidR="00E65FD5" w:rsidRDefault="00E65FD5">
      <w:pPr>
        <w:spacing w:line="240" w:lineRule="auto"/>
        <w:jc w:val="both"/>
        <w:rPr>
          <w:rFonts w:ascii="Arial" w:eastAsia="Calibri" w:hAnsi="Arial" w:cs="Arial"/>
          <w:b/>
          <w:bCs/>
          <w:sz w:val="24"/>
          <w:szCs w:val="24"/>
        </w:rPr>
      </w:pPr>
    </w:p>
    <w:p w:rsidR="00E65FD5" w:rsidRDefault="00E65FD5">
      <w:pPr>
        <w:spacing w:line="240" w:lineRule="auto"/>
        <w:jc w:val="both"/>
        <w:rPr>
          <w:rFonts w:ascii="Arial" w:eastAsia="Calibri" w:hAnsi="Arial" w:cs="Arial"/>
          <w:b/>
          <w:bCs/>
          <w:sz w:val="24"/>
          <w:szCs w:val="24"/>
        </w:rPr>
      </w:pPr>
    </w:p>
    <w:p w:rsidR="00E65FD5" w:rsidRDefault="00E65FD5">
      <w:pPr>
        <w:spacing w:line="240" w:lineRule="auto"/>
        <w:jc w:val="both"/>
        <w:rPr>
          <w:rFonts w:ascii="Arial" w:eastAsia="Calibri" w:hAnsi="Arial" w:cs="Arial"/>
          <w:b/>
          <w:bCs/>
          <w:sz w:val="24"/>
          <w:szCs w:val="24"/>
        </w:rPr>
      </w:pPr>
    </w:p>
    <w:p w:rsidR="00E65FD5" w:rsidRDefault="00E65FD5">
      <w:pPr>
        <w:spacing w:line="240" w:lineRule="auto"/>
        <w:jc w:val="both"/>
        <w:rPr>
          <w:rFonts w:ascii="Arial" w:eastAsia="Calibri" w:hAnsi="Arial" w:cs="Arial"/>
          <w:b/>
          <w:bCs/>
          <w:sz w:val="24"/>
          <w:szCs w:val="24"/>
        </w:rPr>
      </w:pPr>
    </w:p>
    <w:p w:rsidR="00E65FD5" w:rsidRDefault="00E65FD5">
      <w:pPr>
        <w:spacing w:line="240" w:lineRule="auto"/>
        <w:jc w:val="both"/>
        <w:rPr>
          <w:rFonts w:ascii="Arial" w:eastAsia="Calibri" w:hAnsi="Arial" w:cs="Arial"/>
          <w:b/>
          <w:bCs/>
          <w:sz w:val="24"/>
          <w:szCs w:val="24"/>
        </w:rPr>
      </w:pPr>
    </w:p>
    <w:p w:rsidR="00E65FD5" w:rsidRDefault="00E65FD5">
      <w:pPr>
        <w:spacing w:line="240" w:lineRule="auto"/>
        <w:jc w:val="both"/>
        <w:rPr>
          <w:rFonts w:ascii="Arial" w:eastAsia="Calibri" w:hAnsi="Arial" w:cs="Arial"/>
          <w:sz w:val="24"/>
          <w:szCs w:val="24"/>
        </w:rPr>
      </w:pPr>
    </w:p>
    <w:sectPr w:rsidR="00E65FD5">
      <w:headerReference w:type="default" r:id="rId7"/>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45D" w:rsidRDefault="008F745D">
      <w:pPr>
        <w:spacing w:line="240" w:lineRule="auto"/>
      </w:pPr>
      <w:r>
        <w:separator/>
      </w:r>
    </w:p>
  </w:endnote>
  <w:endnote w:type="continuationSeparator" w:id="0">
    <w:p w:rsidR="008F745D" w:rsidRDefault="008F74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45D" w:rsidRDefault="008F745D">
      <w:r>
        <w:separator/>
      </w:r>
    </w:p>
  </w:footnote>
  <w:footnote w:type="continuationSeparator" w:id="0">
    <w:p w:rsidR="008F745D" w:rsidRDefault="008F745D">
      <w:r>
        <w:continuationSeparator/>
      </w:r>
    </w:p>
  </w:footnote>
  <w:footnote w:id="1">
    <w:p w:rsidR="00E65FD5" w:rsidRDefault="0061410B">
      <w:pPr>
        <w:pStyle w:val="Textodenotaderodap"/>
        <w:jc w:val="both"/>
        <w:rPr>
          <w:rFonts w:ascii="Times New Roman" w:hAnsi="Times New Roman"/>
        </w:rPr>
      </w:pPr>
      <w:r>
        <w:rPr>
          <w:rStyle w:val="Refdenotaderodap"/>
          <w:rFonts w:ascii="Times New Roman" w:hAnsi="Times New Roman"/>
        </w:rPr>
        <w:footnoteRef/>
      </w:r>
      <w:r>
        <w:rPr>
          <w:rFonts w:ascii="Times New Roman" w:hAnsi="Times New Roman"/>
        </w:rPr>
        <w:t xml:space="preserve"> Mestra em Avaliação de Políticas Públicas (Universidade Federal do Ceará). Graduada em Licenciatura Específica em Língua Portuguesa, Especialista em Supervisão e Coordenação escolar (FAMART). Professora da rede municipal de ensino do município de Aquiraz. E-mail: nildes.georgemartins@gmail.com</w:t>
      </w:r>
    </w:p>
  </w:footnote>
  <w:footnote w:id="2">
    <w:p w:rsidR="00E65FD5" w:rsidRDefault="0061410B">
      <w:pPr>
        <w:pStyle w:val="Textodenotaderodap"/>
        <w:jc w:val="both"/>
        <w:rPr>
          <w:rFonts w:ascii="Times New Roman" w:hAnsi="Times New Roman"/>
        </w:rPr>
      </w:pPr>
      <w:r>
        <w:rPr>
          <w:rStyle w:val="Refdenotaderodap"/>
        </w:rPr>
        <w:footnoteRef/>
      </w:r>
      <w:r>
        <w:t xml:space="preserve"> </w:t>
      </w:r>
      <w:r>
        <w:rPr>
          <w:rFonts w:ascii="Times New Roman" w:hAnsi="Times New Roman"/>
        </w:rPr>
        <w:t>Mestre em Avaliação de Políticas Públicas (Universidade Federal do Ceará). Graduado em Matemática e Física e Especialista em Gestão escolar e em Educação Matemática (Universidade Estadual Vale do Acaraú). Professor da rede municipal de ensino do município de Aquiraz. E-mail: edivar.alves@gmail.com</w:t>
      </w:r>
    </w:p>
  </w:footnote>
  <w:footnote w:id="3">
    <w:p w:rsidR="00E65FD5" w:rsidRDefault="0061410B">
      <w:pPr>
        <w:pStyle w:val="Textodenotaderodap"/>
        <w:jc w:val="both"/>
        <w:rPr>
          <w:rFonts w:ascii="Times New Roman" w:hAnsi="Times New Roman"/>
        </w:rPr>
      </w:pPr>
      <w:r>
        <w:rPr>
          <w:rStyle w:val="Refdenotaderodap"/>
        </w:rPr>
        <w:footnoteRef/>
      </w:r>
      <w:r>
        <w:rPr>
          <w:rFonts w:ascii="Times New Roman" w:hAnsi="Times New Roman"/>
        </w:rPr>
        <w:t>Mestra em Avaliação de Políticas Públicas (Universidade Federal do Ceará). Graduada em História e Geografia (Universidade Estadual Vale do Acaraú) e Especialista no ensino das Ciências Humanas e Sociais (Universidade Federal do Ceará) e em Gestão e Coordenação Escolar (Universidade Vale do Jaguaribe). E-mail: tatianacemidio@gmail.com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FD5" w:rsidRDefault="0061410B">
    <w:r>
      <w:rPr>
        <w:noProof/>
      </w:rPr>
      <w:drawing>
        <wp:anchor distT="114300" distB="114300" distL="114300" distR="11430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10795" b="127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3B45"/>
    <w:rsid w:val="000C34AC"/>
    <w:rsid w:val="0016602C"/>
    <w:rsid w:val="00292980"/>
    <w:rsid w:val="002B22E3"/>
    <w:rsid w:val="00302868"/>
    <w:rsid w:val="00396921"/>
    <w:rsid w:val="004D6115"/>
    <w:rsid w:val="004F776F"/>
    <w:rsid w:val="00535C80"/>
    <w:rsid w:val="005C4655"/>
    <w:rsid w:val="005D5B93"/>
    <w:rsid w:val="005F4073"/>
    <w:rsid w:val="0061410B"/>
    <w:rsid w:val="00656826"/>
    <w:rsid w:val="006842D8"/>
    <w:rsid w:val="006C50EA"/>
    <w:rsid w:val="00711AAD"/>
    <w:rsid w:val="00721D14"/>
    <w:rsid w:val="007457B4"/>
    <w:rsid w:val="007A34A1"/>
    <w:rsid w:val="007F1D06"/>
    <w:rsid w:val="0083186B"/>
    <w:rsid w:val="008817DA"/>
    <w:rsid w:val="008D3A07"/>
    <w:rsid w:val="008F745D"/>
    <w:rsid w:val="00951F1A"/>
    <w:rsid w:val="009A116C"/>
    <w:rsid w:val="009E4096"/>
    <w:rsid w:val="00A24257"/>
    <w:rsid w:val="00A3383F"/>
    <w:rsid w:val="00A669C2"/>
    <w:rsid w:val="00AA7951"/>
    <w:rsid w:val="00B96E07"/>
    <w:rsid w:val="00BB06AC"/>
    <w:rsid w:val="00BC7C70"/>
    <w:rsid w:val="00D810C1"/>
    <w:rsid w:val="00DD2BEF"/>
    <w:rsid w:val="00E4060E"/>
    <w:rsid w:val="00E5096F"/>
    <w:rsid w:val="00E64E46"/>
    <w:rsid w:val="00E65FD5"/>
    <w:rsid w:val="00F2735F"/>
    <w:rsid w:val="00F40494"/>
    <w:rsid w:val="00F5450C"/>
    <w:rsid w:val="00F94300"/>
    <w:rsid w:val="00FF4348"/>
    <w:rsid w:val="00FF5E2A"/>
    <w:rsid w:val="09343F19"/>
    <w:rsid w:val="0A214B27"/>
    <w:rsid w:val="11F63082"/>
    <w:rsid w:val="1780739A"/>
    <w:rsid w:val="2F0A15BB"/>
    <w:rsid w:val="3D5E23A5"/>
    <w:rsid w:val="53987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3634AA-0419-42F1-9981-99AE78D9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nfase">
    <w:name w:val="Emphasis"/>
    <w:basedOn w:val="Fontepargpadro"/>
    <w:uiPriority w:val="20"/>
    <w:qFormat/>
    <w:rPr>
      <w:i/>
      <w:iCs/>
    </w:rPr>
  </w:style>
  <w:style w:type="character" w:styleId="Refdenotaderodap">
    <w:name w:val="footnote reference"/>
    <w:uiPriority w:val="99"/>
    <w:semiHidden/>
    <w:unhideWhenUsed/>
    <w:rPr>
      <w:vertAlign w:val="superscript"/>
    </w:rPr>
  </w:style>
  <w:style w:type="paragraph" w:styleId="Ttulo">
    <w:name w:val="Title"/>
    <w:basedOn w:val="Normal"/>
    <w:next w:val="Normal"/>
    <w:uiPriority w:val="10"/>
    <w:qFormat/>
    <w:pPr>
      <w:keepNext/>
      <w:keepLines/>
      <w:spacing w:after="60"/>
    </w:pPr>
    <w:rPr>
      <w:sz w:val="52"/>
      <w:szCs w:val="52"/>
    </w:rPr>
  </w:style>
  <w:style w:type="paragraph" w:styleId="NormalWeb">
    <w:name w:val="Normal (Web)"/>
    <w:uiPriority w:val="99"/>
    <w:semiHidden/>
    <w:unhideWhenUsed/>
    <w:pPr>
      <w:spacing w:beforeAutospacing="1" w:afterAutospacing="1"/>
    </w:pPr>
    <w:rPr>
      <w:szCs w:val="24"/>
      <w:lang w:val="en-US" w:eastAsia="zh-CN"/>
    </w:rPr>
  </w:style>
  <w:style w:type="paragraph" w:styleId="Pr-formataoHTML">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Cabealho">
    <w:name w:val="header"/>
    <w:basedOn w:val="Normal"/>
    <w:link w:val="CabealhoChar"/>
    <w:uiPriority w:val="99"/>
    <w:unhideWhenUsed/>
    <w:pPr>
      <w:tabs>
        <w:tab w:val="center" w:pos="4252"/>
        <w:tab w:val="right" w:pos="8504"/>
      </w:tabs>
      <w:spacing w:line="240" w:lineRule="auto"/>
    </w:pPr>
  </w:style>
  <w:style w:type="paragraph" w:styleId="Rodap">
    <w:name w:val="footer"/>
    <w:basedOn w:val="Normal"/>
    <w:link w:val="RodapChar"/>
    <w:uiPriority w:val="99"/>
    <w:unhideWhenUsed/>
    <w:pPr>
      <w:tabs>
        <w:tab w:val="center" w:pos="4252"/>
        <w:tab w:val="right" w:pos="8504"/>
      </w:tabs>
      <w:spacing w:line="240" w:lineRule="auto"/>
    </w:p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iPriority w:val="99"/>
    <w:semiHidden/>
    <w:unhideWhenUsed/>
    <w:pPr>
      <w:spacing w:line="240" w:lineRule="auto"/>
    </w:pPr>
    <w:rPr>
      <w:rFonts w:ascii="Calibri" w:eastAsia="Calibri" w:hAnsi="Calibri"/>
      <w:sz w:val="20"/>
      <w:szCs w:val="20"/>
      <w:lang w:eastAsia="en-US"/>
    </w:rPr>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character" w:customStyle="1" w:styleId="TextodenotaderodapChar">
    <w:name w:val="Texto de nota de rodapé Char"/>
    <w:link w:val="Textodenotaderodap"/>
    <w:uiPriority w:val="99"/>
    <w:semiHidden/>
    <w:rPr>
      <w:rFonts w:ascii="Calibri" w:eastAsia="Calibri" w:hAnsi="Calibri" w:cs="Times New Roman"/>
      <w:lang w:eastAsia="en-US"/>
    </w:rPr>
  </w:style>
  <w:style w:type="table" w:customStyle="1" w:styleId="Style12">
    <w:name w:val="_Style 12"/>
    <w:basedOn w:val="TableNormal"/>
    <w:pPr>
      <w:spacing w:line="240" w:lineRule="auto"/>
    </w:pPr>
    <w:tblPr>
      <w:tblCellMar>
        <w:left w:w="108" w:type="dxa"/>
        <w:right w:w="108" w:type="dxa"/>
      </w:tblCellMar>
    </w:tblPr>
  </w:style>
  <w:style w:type="character" w:styleId="Hyperlink">
    <w:name w:val="Hyperlink"/>
    <w:basedOn w:val="Fontepargpadro"/>
    <w:uiPriority w:val="99"/>
    <w:unhideWhenUsed/>
    <w:rsid w:val="00302868"/>
    <w:rPr>
      <w:color w:val="0000FF" w:themeColor="hyperlink"/>
      <w:u w:val="single"/>
    </w:rPr>
  </w:style>
  <w:style w:type="character" w:styleId="MenoPendente">
    <w:name w:val="Unresolved Mention"/>
    <w:basedOn w:val="Fontepargpadro"/>
    <w:uiPriority w:val="99"/>
    <w:semiHidden/>
    <w:unhideWhenUsed/>
    <w:rsid w:val="00302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ielo.br/j/bak/a/8R37NgQt56Sf5P58KRfMFzq/?lang=p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3724</Words>
  <Characters>20112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FUND I-6</cp:lastModifiedBy>
  <cp:revision>2</cp:revision>
  <dcterms:created xsi:type="dcterms:W3CDTF">2025-07-04T13:15:00Z</dcterms:created>
  <dcterms:modified xsi:type="dcterms:W3CDTF">2025-07-04T13:15:00Z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E0B4609022F341E592B885666669E1F7_13</vt:lpwstr>
  </property>
</Properties>
</file>