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75B6D6" w14:textId="3F26EDE9" w:rsidR="00F13F56" w:rsidRDefault="00B520BC" w:rsidP="00A40FE4">
      <w:pPr>
        <w:spacing w:line="240" w:lineRule="auto"/>
        <w:jc w:val="center"/>
        <w:rPr>
          <w:b/>
          <w:sz w:val="24"/>
          <w:szCs w:val="24"/>
        </w:rPr>
      </w:pPr>
      <w:r>
        <w:rPr>
          <w:b/>
          <w:sz w:val="24"/>
          <w:szCs w:val="24"/>
        </w:rPr>
        <w:t>A ATUAÇÃO</w:t>
      </w:r>
      <w:r w:rsidR="008424B1">
        <w:rPr>
          <w:b/>
          <w:sz w:val="24"/>
          <w:szCs w:val="24"/>
        </w:rPr>
        <w:t xml:space="preserve"> DO/A ASSITENTE SOCIAL MEDIANTE O TRANSTORNO DO ESPECTRO AUTISTA NO PROGRAMA AMBULATÓRIO DE</w:t>
      </w:r>
      <w:r>
        <w:rPr>
          <w:b/>
          <w:sz w:val="24"/>
          <w:szCs w:val="24"/>
        </w:rPr>
        <w:t xml:space="preserve"> ESPECIALIDADES PEDIÁTRICAS</w:t>
      </w:r>
    </w:p>
    <w:p w14:paraId="64F4077B" w14:textId="04CE974C" w:rsidR="008424B1" w:rsidRDefault="000B4C12" w:rsidP="008424B1">
      <w:pPr>
        <w:spacing w:line="240" w:lineRule="auto"/>
        <w:jc w:val="right"/>
        <w:rPr>
          <w:sz w:val="24"/>
          <w:szCs w:val="24"/>
        </w:rPr>
      </w:pPr>
      <w:r w:rsidRPr="00CF2BFA">
        <w:rPr>
          <w:szCs w:val="24"/>
        </w:rPr>
        <w:t>Letícia Victória dos Santos Miranda</w:t>
      </w:r>
      <w:r w:rsidR="00B520BC" w:rsidRPr="00CF2BFA">
        <w:rPr>
          <w:szCs w:val="24"/>
        </w:rPr>
        <w:t xml:space="preserve"> </w:t>
      </w:r>
      <w:r w:rsidR="005C3B22">
        <w:rPr>
          <w:rStyle w:val="Refdenotaderodap"/>
          <w:szCs w:val="24"/>
        </w:rPr>
        <w:footnoteReference w:id="1"/>
      </w:r>
    </w:p>
    <w:p w14:paraId="00CFEE6D" w14:textId="2609CDA4" w:rsidR="000B4C12" w:rsidRDefault="000B4C12" w:rsidP="000B4C12">
      <w:pPr>
        <w:spacing w:line="240" w:lineRule="auto"/>
        <w:jc w:val="right"/>
        <w:rPr>
          <w:sz w:val="24"/>
          <w:szCs w:val="24"/>
        </w:rPr>
      </w:pPr>
      <w:r w:rsidRPr="00CF2BFA">
        <w:rPr>
          <w:szCs w:val="24"/>
        </w:rPr>
        <w:t>Alice Estefani Nascimento dos Santos</w:t>
      </w:r>
      <w:r w:rsidR="00B520BC" w:rsidRPr="00CF2BFA">
        <w:rPr>
          <w:szCs w:val="24"/>
        </w:rPr>
        <w:t xml:space="preserve"> </w:t>
      </w:r>
      <w:r w:rsidR="005C3B22">
        <w:rPr>
          <w:rStyle w:val="Refdenotaderodap"/>
          <w:szCs w:val="24"/>
        </w:rPr>
        <w:footnoteReference w:id="2"/>
      </w:r>
    </w:p>
    <w:p w14:paraId="43FA7EEC" w14:textId="655A108A" w:rsidR="00B520BC" w:rsidRDefault="000B4C12" w:rsidP="008424B1">
      <w:pPr>
        <w:spacing w:line="240" w:lineRule="auto"/>
        <w:jc w:val="right"/>
        <w:rPr>
          <w:sz w:val="24"/>
          <w:szCs w:val="24"/>
        </w:rPr>
      </w:pPr>
      <w:r w:rsidRPr="00CF2BFA">
        <w:rPr>
          <w:szCs w:val="24"/>
        </w:rPr>
        <w:t>Laélia Maria Barra Feio Brasil</w:t>
      </w:r>
      <w:r w:rsidR="00480592">
        <w:rPr>
          <w:rStyle w:val="Refdenotaderodap"/>
          <w:szCs w:val="24"/>
        </w:rPr>
        <w:footnoteReference w:id="3"/>
      </w:r>
    </w:p>
    <w:p w14:paraId="7BE40DD5" w14:textId="6574CA6A" w:rsidR="005C4655" w:rsidRDefault="000B4C12" w:rsidP="00B520BC">
      <w:pPr>
        <w:spacing w:line="240" w:lineRule="auto"/>
        <w:jc w:val="right"/>
        <w:rPr>
          <w:szCs w:val="24"/>
        </w:rPr>
      </w:pPr>
      <w:r w:rsidRPr="00CF2BFA">
        <w:rPr>
          <w:szCs w:val="24"/>
        </w:rPr>
        <w:t>Ewerthon Mango Campos</w:t>
      </w:r>
      <w:r w:rsidR="00480592">
        <w:rPr>
          <w:rStyle w:val="Refdenotaderodap"/>
          <w:szCs w:val="24"/>
        </w:rPr>
        <w:footnoteReference w:id="4"/>
      </w:r>
    </w:p>
    <w:p w14:paraId="16A0F6F0" w14:textId="4420AF31" w:rsidR="00103D37" w:rsidRDefault="00103D37" w:rsidP="00B520BC">
      <w:pPr>
        <w:spacing w:line="240" w:lineRule="auto"/>
        <w:jc w:val="right"/>
        <w:rPr>
          <w:sz w:val="24"/>
          <w:szCs w:val="24"/>
        </w:rPr>
      </w:pPr>
      <w:r>
        <w:rPr>
          <w:szCs w:val="24"/>
        </w:rPr>
        <w:t>Angélica Sousa dos Prazeres</w:t>
      </w:r>
      <w:r>
        <w:rPr>
          <w:rStyle w:val="Refdenotaderodap"/>
          <w:szCs w:val="24"/>
        </w:rPr>
        <w:footnoteReference w:id="5"/>
      </w:r>
    </w:p>
    <w:p w14:paraId="76F39179" w14:textId="77777777" w:rsidR="00B520BC" w:rsidRPr="00B520BC" w:rsidRDefault="00B520BC" w:rsidP="00B520BC">
      <w:pPr>
        <w:spacing w:line="240" w:lineRule="auto"/>
        <w:jc w:val="right"/>
        <w:rPr>
          <w:sz w:val="24"/>
          <w:szCs w:val="24"/>
        </w:rPr>
      </w:pPr>
    </w:p>
    <w:p w14:paraId="7920BAC7" w14:textId="7E27B9BF" w:rsidR="004F776F" w:rsidRDefault="004F776F" w:rsidP="004F776F">
      <w:pPr>
        <w:spacing w:line="240" w:lineRule="auto"/>
        <w:ind w:left="2835"/>
        <w:jc w:val="both"/>
        <w:rPr>
          <w:b/>
          <w:sz w:val="20"/>
          <w:szCs w:val="20"/>
        </w:rPr>
      </w:pPr>
      <w:r>
        <w:rPr>
          <w:b/>
          <w:sz w:val="20"/>
          <w:szCs w:val="20"/>
        </w:rPr>
        <w:t>Resumo</w:t>
      </w:r>
      <w:r w:rsidR="004B3FF8">
        <w:rPr>
          <w:b/>
          <w:sz w:val="20"/>
          <w:szCs w:val="20"/>
        </w:rPr>
        <w:t>:</w:t>
      </w:r>
    </w:p>
    <w:p w14:paraId="77AA4CD1" w14:textId="77777777" w:rsidR="007365F0" w:rsidRPr="00CF2BFA" w:rsidRDefault="007365F0" w:rsidP="004F776F">
      <w:pPr>
        <w:spacing w:line="240" w:lineRule="auto"/>
        <w:ind w:left="2835"/>
        <w:jc w:val="both"/>
        <w:rPr>
          <w:sz w:val="20"/>
        </w:rPr>
      </w:pPr>
      <w:r w:rsidRPr="00CF2BFA">
        <w:rPr>
          <w:sz w:val="20"/>
        </w:rPr>
        <w:t>O artigo analisa a atuação do/a assistente social no atendimento a crianças com Transtorno do Espectro Autista (TEA) e suas famílias, a partir da experiência do Programa Ambulatório de Especialidades Pediátricas da UFPA. A pesquisa, de natureza bibliográfica e documental, aborda o histórico do TEA, os avanços legislativos nacionais e estaduais, bem com a importância da articulação entre políticas públicas, saúde, educação e assistência social. Evidencia-se o papel do/a assistente social na escuta qualificada, orientação sobre direitos, mediação intersetorial e fortalecimento de redes de apoio. A atuação é guiada por princípios ético-políticos e pela defesa dos direitos humanos, sendo essencial para enfrentar as desigualdades e promover a equidade e inclusão.</w:t>
      </w:r>
    </w:p>
    <w:p w14:paraId="5B51D6C0" w14:textId="77777777" w:rsidR="007365F0" w:rsidRDefault="007365F0" w:rsidP="004F776F">
      <w:pPr>
        <w:spacing w:line="240" w:lineRule="auto"/>
        <w:ind w:left="2835"/>
        <w:jc w:val="both"/>
        <w:rPr>
          <w:b/>
          <w:sz w:val="20"/>
          <w:szCs w:val="20"/>
        </w:rPr>
      </w:pPr>
    </w:p>
    <w:p w14:paraId="6DA86215" w14:textId="77777777" w:rsidR="007365F0" w:rsidRDefault="004F776F" w:rsidP="004F776F">
      <w:pPr>
        <w:spacing w:line="240" w:lineRule="auto"/>
        <w:ind w:left="2835"/>
        <w:jc w:val="both"/>
        <w:rPr>
          <w:sz w:val="20"/>
          <w:szCs w:val="20"/>
        </w:rPr>
      </w:pPr>
      <w:r>
        <w:rPr>
          <w:b/>
          <w:sz w:val="20"/>
          <w:szCs w:val="20"/>
        </w:rPr>
        <w:t>Palavras-chave</w:t>
      </w:r>
      <w:r>
        <w:rPr>
          <w:sz w:val="20"/>
          <w:szCs w:val="20"/>
        </w:rPr>
        <w:t xml:space="preserve">: </w:t>
      </w:r>
      <w:r w:rsidR="007365F0">
        <w:rPr>
          <w:sz w:val="20"/>
          <w:szCs w:val="20"/>
        </w:rPr>
        <w:t>Transtorno do Espectro Autista (TEA); Serviço Social; Políticas Públicas.</w:t>
      </w:r>
    </w:p>
    <w:p w14:paraId="6FC7B3C4" w14:textId="77777777" w:rsidR="004F776F" w:rsidRPr="00D24E39" w:rsidRDefault="007365F0" w:rsidP="004F776F">
      <w:pPr>
        <w:spacing w:line="240" w:lineRule="auto"/>
        <w:ind w:left="2835"/>
        <w:jc w:val="both"/>
        <w:rPr>
          <w:sz w:val="20"/>
          <w:szCs w:val="20"/>
        </w:rPr>
      </w:pPr>
      <w:r w:rsidRPr="00D24E39">
        <w:rPr>
          <w:sz w:val="20"/>
          <w:szCs w:val="20"/>
        </w:rPr>
        <w:t xml:space="preserve"> </w:t>
      </w:r>
    </w:p>
    <w:p w14:paraId="5B485505" w14:textId="77777777" w:rsidR="004F776F" w:rsidRPr="00CF2BFA" w:rsidRDefault="004F776F" w:rsidP="004F776F">
      <w:pPr>
        <w:spacing w:line="240" w:lineRule="auto"/>
        <w:ind w:left="2835"/>
        <w:jc w:val="both"/>
        <w:rPr>
          <w:b/>
          <w:sz w:val="20"/>
          <w:szCs w:val="20"/>
          <w:lang w:val="en-US"/>
        </w:rPr>
      </w:pPr>
      <w:r w:rsidRPr="00CF2BFA">
        <w:rPr>
          <w:b/>
          <w:sz w:val="20"/>
          <w:szCs w:val="20"/>
          <w:lang w:val="en-US"/>
        </w:rPr>
        <w:t>Abstract</w:t>
      </w:r>
    </w:p>
    <w:p w14:paraId="00F29389" w14:textId="2990ACCB" w:rsidR="00CA020E" w:rsidRPr="00CF2BFA" w:rsidRDefault="00CF2BFA" w:rsidP="00CA020E">
      <w:pPr>
        <w:spacing w:line="240" w:lineRule="auto"/>
        <w:ind w:left="2835"/>
        <w:jc w:val="both"/>
        <w:rPr>
          <w:sz w:val="20"/>
          <w:szCs w:val="20"/>
          <w:lang w:val="en-US"/>
        </w:rPr>
      </w:pPr>
      <w:r w:rsidRPr="00D24E39">
        <w:rPr>
          <w:sz w:val="20"/>
          <w:szCs w:val="20"/>
          <w:lang w:val="en-US"/>
        </w:rPr>
        <w:t xml:space="preserve">The article analyzes the role of the social worker in assisting children with Autism Spectrum Disorder (ASD) and their families, based on the experience of the Pediatric Specialties Outpatient Program at UFPA. The research, of bibliographic and documentary nature, addresses the history of ASD, national and state legislative advances, as well as the importance of coordination between public policies, health, education, and social assistance. It highlights the social </w:t>
      </w:r>
      <w:r w:rsidR="004B3FF8" w:rsidRPr="00D24E39">
        <w:rPr>
          <w:sz w:val="20"/>
          <w:szCs w:val="20"/>
          <w:lang w:val="en-US"/>
        </w:rPr>
        <w:t>workers’</w:t>
      </w:r>
      <w:r w:rsidRPr="00D24E39">
        <w:rPr>
          <w:sz w:val="20"/>
          <w:szCs w:val="20"/>
          <w:lang w:val="en-US"/>
        </w:rPr>
        <w:t xml:space="preserve"> role in providing qualified listening, guidance on rights, intersectoral mediation, and strengthening support networks. The practice is guided by ethical-political principles and the defense of human rights, being essential to addressing inequalities and promoting equity and inclusion.</w:t>
      </w:r>
      <w:r w:rsidR="004F776F" w:rsidRPr="00CF2BFA">
        <w:rPr>
          <w:sz w:val="20"/>
          <w:szCs w:val="20"/>
          <w:lang w:val="en-US"/>
        </w:rPr>
        <w:t xml:space="preserve"> </w:t>
      </w:r>
    </w:p>
    <w:p w14:paraId="7512A5C4" w14:textId="77777777" w:rsidR="00CF2BFA" w:rsidRPr="00CF2BFA" w:rsidRDefault="00CF2BFA" w:rsidP="00CA020E">
      <w:pPr>
        <w:spacing w:line="240" w:lineRule="auto"/>
        <w:ind w:left="2835"/>
        <w:jc w:val="both"/>
        <w:rPr>
          <w:sz w:val="20"/>
          <w:szCs w:val="20"/>
          <w:lang w:val="en-US"/>
        </w:rPr>
      </w:pPr>
    </w:p>
    <w:p w14:paraId="6F8669DE" w14:textId="77777777" w:rsidR="004B3FF8" w:rsidRDefault="004F776F" w:rsidP="004B3FF8">
      <w:pPr>
        <w:spacing w:line="240" w:lineRule="auto"/>
        <w:ind w:left="2835"/>
        <w:jc w:val="both"/>
        <w:rPr>
          <w:sz w:val="20"/>
          <w:szCs w:val="20"/>
          <w:lang w:val="en-US"/>
        </w:rPr>
      </w:pPr>
      <w:r w:rsidRPr="008A3A17">
        <w:rPr>
          <w:b/>
          <w:sz w:val="20"/>
          <w:szCs w:val="20"/>
          <w:lang w:val="en-US"/>
        </w:rPr>
        <w:t>Keywords</w:t>
      </w:r>
      <w:r w:rsidRPr="008A3A17">
        <w:rPr>
          <w:sz w:val="20"/>
          <w:szCs w:val="20"/>
          <w:lang w:val="en-US"/>
        </w:rPr>
        <w:t xml:space="preserve">: </w:t>
      </w:r>
      <w:r w:rsidR="00CF2BFA" w:rsidRPr="00D24E39">
        <w:rPr>
          <w:lang w:val="en-US"/>
        </w:rPr>
        <w:t>Autism Spectrum Disorder (ASD)</w:t>
      </w:r>
      <w:r>
        <w:rPr>
          <w:sz w:val="20"/>
          <w:szCs w:val="20"/>
          <w:lang w:val="en-US"/>
        </w:rPr>
        <w:t xml:space="preserve">; </w:t>
      </w:r>
      <w:r w:rsidR="00CF2BFA" w:rsidRPr="00D24E39">
        <w:rPr>
          <w:lang w:val="en-US"/>
        </w:rPr>
        <w:t>Social Worker</w:t>
      </w:r>
      <w:r w:rsidRPr="00D24E39">
        <w:rPr>
          <w:sz w:val="20"/>
          <w:szCs w:val="20"/>
          <w:lang w:val="en-US"/>
        </w:rPr>
        <w:t xml:space="preserve">; </w:t>
      </w:r>
      <w:r w:rsidR="00CF2BFA" w:rsidRPr="00D24E39">
        <w:rPr>
          <w:lang w:val="en-US"/>
        </w:rPr>
        <w:t>Public Policies</w:t>
      </w:r>
      <w:r w:rsidR="00CF2BFA" w:rsidRPr="00D24E39">
        <w:rPr>
          <w:sz w:val="20"/>
          <w:szCs w:val="20"/>
          <w:lang w:val="en-US"/>
        </w:rPr>
        <w:t xml:space="preserve"> </w:t>
      </w:r>
      <w:r w:rsidRPr="00D24E39">
        <w:rPr>
          <w:sz w:val="20"/>
          <w:szCs w:val="20"/>
          <w:lang w:val="en-US"/>
        </w:rPr>
        <w:t>3.</w:t>
      </w:r>
    </w:p>
    <w:p w14:paraId="4E042FD8" w14:textId="77777777" w:rsidR="00103D37" w:rsidRDefault="00103D37" w:rsidP="004B3FF8">
      <w:pPr>
        <w:spacing w:line="240" w:lineRule="auto"/>
        <w:ind w:left="2835"/>
        <w:jc w:val="both"/>
        <w:rPr>
          <w:sz w:val="20"/>
          <w:szCs w:val="20"/>
          <w:lang w:val="en-US"/>
        </w:rPr>
      </w:pPr>
    </w:p>
    <w:p w14:paraId="7BD6E54D" w14:textId="77777777" w:rsidR="004B3FF8" w:rsidRDefault="004B3FF8" w:rsidP="004B3FF8">
      <w:pPr>
        <w:spacing w:line="240" w:lineRule="auto"/>
        <w:ind w:left="2835"/>
        <w:jc w:val="both"/>
        <w:rPr>
          <w:b/>
          <w:sz w:val="20"/>
          <w:szCs w:val="20"/>
          <w:lang w:val="en-US"/>
        </w:rPr>
      </w:pPr>
    </w:p>
    <w:p w14:paraId="34B1881C" w14:textId="1A0E44A8" w:rsidR="004F776F" w:rsidRDefault="004F776F" w:rsidP="00103D37">
      <w:pPr>
        <w:pStyle w:val="PargrafodaLista"/>
        <w:numPr>
          <w:ilvl w:val="0"/>
          <w:numId w:val="1"/>
        </w:numPr>
        <w:spacing w:line="240" w:lineRule="auto"/>
        <w:rPr>
          <w:b/>
          <w:sz w:val="24"/>
          <w:szCs w:val="24"/>
        </w:rPr>
      </w:pPr>
      <w:r w:rsidRPr="00103D37">
        <w:rPr>
          <w:b/>
          <w:sz w:val="24"/>
          <w:szCs w:val="24"/>
        </w:rPr>
        <w:lastRenderedPageBreak/>
        <w:t>INTRODUÇÃO</w:t>
      </w:r>
    </w:p>
    <w:p w14:paraId="24503C18" w14:textId="77777777" w:rsidR="00103D37" w:rsidRPr="00103D37" w:rsidRDefault="00103D37" w:rsidP="00103D37">
      <w:pPr>
        <w:pStyle w:val="PargrafodaLista"/>
        <w:spacing w:line="240" w:lineRule="auto"/>
        <w:rPr>
          <w:b/>
          <w:sz w:val="24"/>
          <w:szCs w:val="24"/>
        </w:rPr>
      </w:pPr>
    </w:p>
    <w:p w14:paraId="19BF597D" w14:textId="77777777" w:rsidR="008424B1" w:rsidRPr="00C37417" w:rsidRDefault="008424B1" w:rsidP="00C37417">
      <w:pPr>
        <w:spacing w:line="360" w:lineRule="auto"/>
        <w:ind w:firstLine="709"/>
        <w:jc w:val="both"/>
        <w:rPr>
          <w:sz w:val="24"/>
          <w:szCs w:val="24"/>
        </w:rPr>
      </w:pPr>
      <w:r w:rsidRPr="00C37417">
        <w:rPr>
          <w:sz w:val="24"/>
          <w:szCs w:val="24"/>
        </w:rPr>
        <w:t>O presente artigo tem como objetivo promover uma análise reflexiva acerca do trabalho profissional do/a assistente social mediante ao atendimento de crianças diagnosticadas com o Transtorno do Espectro Autista (TEA) e suas famílias por meio do Projeto de extensão - Programa Ambulatório de Especialidades Pediátricas, desenvolvido no Centro de Atenção à Saúde da Mulher e da Criança (CASMUC), localizado na Universidade Federal do Pará (UFPA).</w:t>
      </w:r>
    </w:p>
    <w:p w14:paraId="5CD8D68B" w14:textId="77777777" w:rsidR="008424B1" w:rsidRPr="00C37417" w:rsidRDefault="008424B1" w:rsidP="00C37417">
      <w:pPr>
        <w:spacing w:line="360" w:lineRule="auto"/>
        <w:ind w:firstLine="709"/>
        <w:jc w:val="both"/>
        <w:rPr>
          <w:sz w:val="24"/>
          <w:szCs w:val="24"/>
        </w:rPr>
      </w:pPr>
      <w:r w:rsidRPr="00C37417">
        <w:rPr>
          <w:sz w:val="24"/>
          <w:szCs w:val="24"/>
        </w:rPr>
        <w:t>Apresentando um panorama das políticas públicas e legislações de amparo e proteção às pessoas com TEA, em âmbito nacional e no estado do Pará, destacando a sua relevância para ampliação da garantia da cidadania e a consolidação de uma rede de apoio às famílias.</w:t>
      </w:r>
    </w:p>
    <w:p w14:paraId="05AB6CF0" w14:textId="77777777" w:rsidR="008424B1" w:rsidRPr="00C37417" w:rsidRDefault="008424B1" w:rsidP="00C37417">
      <w:pPr>
        <w:spacing w:line="360" w:lineRule="auto"/>
        <w:ind w:firstLine="709"/>
        <w:jc w:val="both"/>
        <w:rPr>
          <w:sz w:val="24"/>
          <w:szCs w:val="24"/>
        </w:rPr>
      </w:pPr>
      <w:r w:rsidRPr="00C37417">
        <w:rPr>
          <w:sz w:val="24"/>
          <w:szCs w:val="24"/>
        </w:rPr>
        <w:t>A metodologia adotada neste estudo consiste em uma análise bibliográfica e documental, fundamentada em publicações acadêmicas, legislações e diretrizes oficiais. Foram também realizadas pesquisas em sites de órgãos governamentais e instituições públicas, tanto em nível estadual quanto federal, com o objetivo de compreender o arcabouço normativo e as políticas públicas voltadas ao atendimento de crianças com TEA e suas famílias.</w:t>
      </w:r>
    </w:p>
    <w:p w14:paraId="4CC56986" w14:textId="5FB1CE88" w:rsidR="008424B1" w:rsidRPr="00C37417" w:rsidRDefault="008424B1" w:rsidP="00287F05">
      <w:pPr>
        <w:spacing w:line="360" w:lineRule="auto"/>
        <w:ind w:firstLine="709"/>
        <w:jc w:val="both"/>
        <w:rPr>
          <w:sz w:val="24"/>
          <w:szCs w:val="24"/>
        </w:rPr>
      </w:pPr>
      <w:r w:rsidRPr="00C37417">
        <w:rPr>
          <w:sz w:val="24"/>
          <w:szCs w:val="24"/>
        </w:rPr>
        <w:t>Esta temática é de suma importância pois é fato que as formas de diagnósticos foram ampliadas, sendo afastadas de expressões de senso comum, possuindo particularidades e necessidades de cuidado, tratamento, terapias, demandando a atuação de uma equipe multiprofissional e interdisciplinar, para suprir as novas necessidades provenientes do diagnóstico precoce, em especial a atuação do/a assistente social e como esse fazer profissional é importante para lidar com as múltiplas expressões da questão social advindas dessa problemática.</w:t>
      </w:r>
    </w:p>
    <w:p w14:paraId="34A515DD" w14:textId="64EC9E60" w:rsidR="004F776F" w:rsidRDefault="008424B1" w:rsidP="004B3FF8">
      <w:pPr>
        <w:spacing w:line="360" w:lineRule="auto"/>
        <w:ind w:firstLine="709"/>
        <w:jc w:val="both"/>
        <w:rPr>
          <w:sz w:val="24"/>
          <w:szCs w:val="24"/>
        </w:rPr>
      </w:pPr>
      <w:r w:rsidRPr="00C37417">
        <w:rPr>
          <w:sz w:val="24"/>
          <w:szCs w:val="24"/>
        </w:rPr>
        <w:t xml:space="preserve">A estrutura do trabalho está organizada em quatro eixos temáticos: o primeiro aborda o Transtorno do Espectro Autista (TEA), seu histórico, definições e critérios de diagnósticos; o segundo trata das leis de amparo às pessoas com TEA no Brasil e no estado do Pará; o terceiro discute a atuação do Serviço Social na saúde, com ênfase em seus princípios, na ética profissional e na prática interdisciplinar; o quarto eixo explora o papel do assistente social no atendimento à criança com TEA e suas famílias </w:t>
      </w:r>
      <w:r w:rsidRPr="00C37417">
        <w:rPr>
          <w:sz w:val="24"/>
          <w:szCs w:val="24"/>
        </w:rPr>
        <w:lastRenderedPageBreak/>
        <w:t>no Programa Ambulatório de Especialidades, seguidos pela conclusão, que sintetiza os principais achados e reflexões do estudo.</w:t>
      </w:r>
    </w:p>
    <w:p w14:paraId="2AEA7DE2" w14:textId="611F8A7A" w:rsidR="004F776F" w:rsidRPr="00103D37" w:rsidRDefault="00C37417" w:rsidP="00103D37">
      <w:pPr>
        <w:pStyle w:val="PargrafodaLista"/>
        <w:numPr>
          <w:ilvl w:val="0"/>
          <w:numId w:val="1"/>
        </w:numPr>
        <w:spacing w:line="360" w:lineRule="auto"/>
        <w:jc w:val="both"/>
        <w:rPr>
          <w:b/>
          <w:sz w:val="24"/>
          <w:szCs w:val="24"/>
        </w:rPr>
      </w:pPr>
      <w:r w:rsidRPr="00103D37">
        <w:rPr>
          <w:b/>
          <w:sz w:val="24"/>
          <w:szCs w:val="24"/>
        </w:rPr>
        <w:t>O TRANSTORNO DO ESPECTRO AUTISTA (TEA): histórico, definições e diagnóstico.</w:t>
      </w:r>
    </w:p>
    <w:p w14:paraId="00EC01D9" w14:textId="77777777" w:rsidR="00C37417" w:rsidRPr="00C37417" w:rsidRDefault="00C37417" w:rsidP="00C37417">
      <w:pPr>
        <w:spacing w:line="360" w:lineRule="auto"/>
        <w:ind w:firstLine="709"/>
        <w:jc w:val="both"/>
        <w:rPr>
          <w:sz w:val="24"/>
          <w:szCs w:val="24"/>
        </w:rPr>
      </w:pPr>
      <w:r w:rsidRPr="00C37417">
        <w:rPr>
          <w:sz w:val="24"/>
          <w:szCs w:val="24"/>
        </w:rPr>
        <w:t>As Diretrizes de Atenção à Reabilitação da Pessoa com Transtornos do Espectro Autista (TEA), publicadas pelo Ministério da Saúde, no ano de 2014, abordam que o autismo foi definido pela primeira vez como um quadro clínico, em 1943, denominado pelo mé</w:t>
      </w:r>
      <w:r>
        <w:rPr>
          <w:sz w:val="24"/>
          <w:szCs w:val="24"/>
        </w:rPr>
        <w:t>dico austríaco Leo Kanner como “</w:t>
      </w:r>
      <w:r w:rsidRPr="00C37417">
        <w:rPr>
          <w:sz w:val="24"/>
          <w:szCs w:val="24"/>
        </w:rPr>
        <w:t>distúrb</w:t>
      </w:r>
      <w:r>
        <w:rPr>
          <w:sz w:val="24"/>
          <w:szCs w:val="24"/>
        </w:rPr>
        <w:t>io autístico de contato afetivo”</w:t>
      </w:r>
      <w:r w:rsidRPr="00C37417">
        <w:rPr>
          <w:sz w:val="24"/>
          <w:szCs w:val="24"/>
        </w:rPr>
        <w:t xml:space="preserve">, possibilitando a partir desta descrição criteriosa, a diferenciação do quadro de autismo de outros como esquizofrenia e psicoses infantis. </w:t>
      </w:r>
    </w:p>
    <w:p w14:paraId="790FA4E4" w14:textId="77777777" w:rsidR="00C37417" w:rsidRPr="00C37417" w:rsidRDefault="00C37417" w:rsidP="00C37417">
      <w:pPr>
        <w:spacing w:line="360" w:lineRule="auto"/>
        <w:ind w:firstLine="709"/>
        <w:jc w:val="both"/>
        <w:rPr>
          <w:sz w:val="24"/>
          <w:szCs w:val="24"/>
        </w:rPr>
      </w:pPr>
      <w:r w:rsidRPr="00C37417">
        <w:rPr>
          <w:sz w:val="24"/>
          <w:szCs w:val="24"/>
        </w:rPr>
        <w:t>Sendo assim, prevalecem as afirmativas de que os sintomas e os sinais deveriam surgir antes dos 30 meses de idade, para a diferenciação entre o autismo e a esquizofrenia de início precoce. A Biblioteca Virtual em Saúde do Ministério da Saúde - BVSMS, elaborou em julho de 2023 um</w:t>
      </w:r>
      <w:r w:rsidR="00F13F56">
        <w:rPr>
          <w:sz w:val="24"/>
          <w:szCs w:val="24"/>
        </w:rPr>
        <w:t>a dica em saúde destacando que</w:t>
      </w:r>
    </w:p>
    <w:p w14:paraId="6835AE78" w14:textId="77777777" w:rsidR="00C37417" w:rsidRPr="00C37417" w:rsidRDefault="00F13F56" w:rsidP="000352F4">
      <w:pPr>
        <w:spacing w:line="240" w:lineRule="auto"/>
        <w:ind w:left="2268"/>
        <w:jc w:val="both"/>
        <w:rPr>
          <w:sz w:val="20"/>
          <w:szCs w:val="20"/>
        </w:rPr>
      </w:pPr>
      <w:r>
        <w:rPr>
          <w:sz w:val="20"/>
          <w:szCs w:val="20"/>
        </w:rPr>
        <w:t>O</w:t>
      </w:r>
      <w:r w:rsidR="00C37417" w:rsidRPr="00C37417">
        <w:rPr>
          <w:sz w:val="20"/>
          <w:szCs w:val="20"/>
        </w:rPr>
        <w:t xml:space="preserve"> Autismo é um problema no desenvolvimento neurológico que prejudica a organização de pensamentos, sentimentos e emoções. Tem como características a dificuldade de comunicação por falta de domínio da linguagem e do uso da imaginação, a dificuldade de socialização e o comportamento limitado e repetitivo. Os sinais de alerta surgem nos primeiros meses de vida, mas a confirmação do diagnóstico costuma ocorrer aos dois ou três anos de idade. (BVSMS, 2023)</w:t>
      </w:r>
    </w:p>
    <w:p w14:paraId="6E732FB2" w14:textId="77777777" w:rsidR="00C37417" w:rsidRPr="00C37417" w:rsidRDefault="00C37417" w:rsidP="00CA020E">
      <w:pPr>
        <w:spacing w:line="360" w:lineRule="auto"/>
        <w:jc w:val="both"/>
        <w:rPr>
          <w:sz w:val="24"/>
          <w:szCs w:val="24"/>
        </w:rPr>
      </w:pPr>
    </w:p>
    <w:p w14:paraId="53F9B467" w14:textId="77777777" w:rsidR="00C37417" w:rsidRPr="00C37417" w:rsidRDefault="00C37417" w:rsidP="00C37417">
      <w:pPr>
        <w:spacing w:line="360" w:lineRule="auto"/>
        <w:ind w:firstLine="709"/>
        <w:jc w:val="both"/>
        <w:rPr>
          <w:sz w:val="24"/>
          <w:szCs w:val="24"/>
        </w:rPr>
      </w:pPr>
      <w:r w:rsidRPr="00C37417">
        <w:rPr>
          <w:sz w:val="24"/>
          <w:szCs w:val="24"/>
        </w:rPr>
        <w:t>A agência internacional especializada em saúde pública das Américas, denominada de Organização Pan-Americana da Saúde (OPAS), apresentou dados estatísticos informando que uma em cada 160 crianças possuem TEA, destacando que os sinais se manifestam inicialmente na infância e persistem na adolescência prolongando-se até a vida adulta. Com isso, dependendo do grau de autismo, algumas pessoas atípicas conseguem viver de forma independente, enquanto outras, com diversas limitações, necessitam de cuidados e apoio ao longo da vida.</w:t>
      </w:r>
    </w:p>
    <w:p w14:paraId="2D8AAD42" w14:textId="77777777" w:rsidR="00C37417" w:rsidRPr="00C37417" w:rsidRDefault="00C37417" w:rsidP="00C37417">
      <w:pPr>
        <w:spacing w:line="360" w:lineRule="auto"/>
        <w:ind w:firstLine="709"/>
        <w:jc w:val="both"/>
        <w:rPr>
          <w:sz w:val="24"/>
          <w:szCs w:val="24"/>
        </w:rPr>
      </w:pPr>
      <w:r w:rsidRPr="00C37417">
        <w:rPr>
          <w:sz w:val="24"/>
          <w:szCs w:val="24"/>
        </w:rPr>
        <w:t xml:space="preserve">A exemplo disso é o que demonstra as Diretrizes de Atenção à Reabilitação da Pessoa com Transtornos do Espectro Autista (TEA) "[...] tal condição pode acarretar alterações de linguagem e de sociabilidade que afetam diretamente grande parte dos </w:t>
      </w:r>
      <w:r w:rsidRPr="00C37417">
        <w:rPr>
          <w:sz w:val="24"/>
          <w:szCs w:val="24"/>
        </w:rPr>
        <w:lastRenderedPageBreak/>
        <w:t xml:space="preserve">casos, podendo ocasionar limitações em capacidades funcionais no cuidado de si e nas interações sociais." (Ministério da Saúde, 2014, p.63). </w:t>
      </w:r>
    </w:p>
    <w:p w14:paraId="3C258EA6" w14:textId="120EB26C" w:rsidR="004F776F" w:rsidRDefault="00C37417" w:rsidP="00CA020E">
      <w:pPr>
        <w:spacing w:line="360" w:lineRule="auto"/>
        <w:ind w:firstLine="709"/>
        <w:jc w:val="both"/>
        <w:rPr>
          <w:sz w:val="24"/>
          <w:szCs w:val="24"/>
        </w:rPr>
      </w:pPr>
      <w:r w:rsidRPr="00C37417">
        <w:rPr>
          <w:sz w:val="24"/>
          <w:szCs w:val="24"/>
        </w:rPr>
        <w:t>Não obstante, as questões atitudinais encontram-se de forma significativa na sociedade, presentes em meio discriminação, estigmatização, violações de direitos humanos, entre outros fatores que afetam significativamente a qualidade de vida das pessoas com TEA, sujeitando-as a acessos restritos e inadequados aos serviços e apoios, sejam estes governamentais ou não. Tendo a necessidade de ações mais amplas, para tornar os ambientes físicos e sociais mais acessíveis e inclusivos.</w:t>
      </w:r>
      <w:r w:rsidR="004B3FF8">
        <w:rPr>
          <w:sz w:val="24"/>
          <w:szCs w:val="24"/>
        </w:rPr>
        <w:t xml:space="preserve"> </w:t>
      </w:r>
    </w:p>
    <w:p w14:paraId="07DE4FB3" w14:textId="77777777" w:rsidR="00CA020E" w:rsidRDefault="00CA020E" w:rsidP="00CA020E">
      <w:pPr>
        <w:spacing w:line="360" w:lineRule="auto"/>
        <w:ind w:firstLine="709"/>
        <w:jc w:val="both"/>
        <w:rPr>
          <w:sz w:val="24"/>
          <w:szCs w:val="24"/>
        </w:rPr>
      </w:pPr>
    </w:p>
    <w:p w14:paraId="13814F95" w14:textId="0EE32D7E" w:rsidR="004F776F" w:rsidRPr="00103D37" w:rsidRDefault="00CA020E" w:rsidP="00103D37">
      <w:pPr>
        <w:pStyle w:val="PargrafodaLista"/>
        <w:numPr>
          <w:ilvl w:val="0"/>
          <w:numId w:val="1"/>
        </w:numPr>
        <w:spacing w:line="360" w:lineRule="auto"/>
        <w:jc w:val="both"/>
        <w:rPr>
          <w:b/>
          <w:sz w:val="24"/>
          <w:szCs w:val="24"/>
        </w:rPr>
      </w:pPr>
      <w:r w:rsidRPr="00103D37">
        <w:rPr>
          <w:b/>
          <w:sz w:val="24"/>
          <w:szCs w:val="24"/>
        </w:rPr>
        <w:t>LEIS DE AMPARO ÀS PESSOAS COM TEA EM ÂMBITO NACIONAL E NO ESTADO DO PARÁ.</w:t>
      </w:r>
    </w:p>
    <w:p w14:paraId="62D6D32E" w14:textId="7CBA8655" w:rsidR="00CA020E" w:rsidRPr="00CA020E" w:rsidRDefault="00CA020E" w:rsidP="00CA020E">
      <w:pPr>
        <w:spacing w:line="360" w:lineRule="auto"/>
        <w:ind w:firstLine="709"/>
        <w:jc w:val="both"/>
        <w:rPr>
          <w:sz w:val="24"/>
          <w:szCs w:val="24"/>
        </w:rPr>
      </w:pPr>
      <w:r w:rsidRPr="00CA020E">
        <w:rPr>
          <w:sz w:val="24"/>
          <w:szCs w:val="24"/>
        </w:rPr>
        <w:t xml:space="preserve">De início, é importante ressaltar que crianças diagnosticadas com TEA possuem amparo do Estatuto da Criança e do Adolescente, como está expresso no Artigo 3° da Lei Nº 8.069, de 13 de </w:t>
      </w:r>
      <w:r w:rsidR="004B3FF8" w:rsidRPr="00CA020E">
        <w:rPr>
          <w:sz w:val="24"/>
          <w:szCs w:val="24"/>
        </w:rPr>
        <w:t>junho</w:t>
      </w:r>
      <w:r w:rsidRPr="00CA020E">
        <w:rPr>
          <w:sz w:val="24"/>
          <w:szCs w:val="24"/>
        </w:rPr>
        <w:t xml:space="preserve"> 1990, nos quais os direitos enunciados nesta lei aplicam-se a todas as crianças e adolescentes sem discriminação, por </w:t>
      </w:r>
      <w:r w:rsidR="004B3FF8" w:rsidRPr="00CA020E">
        <w:rPr>
          <w:sz w:val="24"/>
          <w:szCs w:val="24"/>
        </w:rPr>
        <w:t>quaisquer condições</w:t>
      </w:r>
      <w:r w:rsidRPr="00CA020E">
        <w:rPr>
          <w:sz w:val="24"/>
          <w:szCs w:val="24"/>
        </w:rPr>
        <w:t xml:space="preserve"> que diferencie as pessoas, as famílias ou a comunidade em que vivem, sendo penalizados legalmente todos aqueles que descumprirem a mesma. Entretanto, até então não eram reconhecidas como Pessoas com Deficiência (PCD).</w:t>
      </w:r>
    </w:p>
    <w:p w14:paraId="6670738F" w14:textId="77777777" w:rsidR="00CA020E" w:rsidRPr="00CA020E" w:rsidRDefault="00CA020E" w:rsidP="00CA020E">
      <w:pPr>
        <w:spacing w:line="360" w:lineRule="auto"/>
        <w:ind w:firstLine="709"/>
        <w:jc w:val="both"/>
        <w:rPr>
          <w:sz w:val="24"/>
          <w:szCs w:val="24"/>
        </w:rPr>
      </w:pPr>
      <w:r w:rsidRPr="00CA020E">
        <w:rPr>
          <w:sz w:val="24"/>
          <w:szCs w:val="24"/>
        </w:rPr>
        <w:t>Com a Convenção sobre o Direito das Pessoas com Deficiência, realizada em 13 de dezembro de 2006, aprovada pela Assembleia Geral da Organização das Nações Unidas (ONU), e sancionada pelo Brasil em 2008, passou a definir no Artigo 1º as pessoas com deficiência como “aquelas que têm impedimentos de natureza física, intelectual ou sensorial, os quais, em interação com diversas barreiras, podem obstruir sua participação plena e efetiva na sociedade com as demais pessoas”.</w:t>
      </w:r>
    </w:p>
    <w:p w14:paraId="030E2BB7" w14:textId="77777777" w:rsidR="00CA020E" w:rsidRPr="00CA020E" w:rsidRDefault="00CA020E" w:rsidP="00CA020E">
      <w:pPr>
        <w:spacing w:line="360" w:lineRule="auto"/>
        <w:ind w:firstLine="709"/>
        <w:jc w:val="both"/>
        <w:rPr>
          <w:sz w:val="24"/>
          <w:szCs w:val="24"/>
        </w:rPr>
      </w:pPr>
      <w:r w:rsidRPr="00CA020E">
        <w:rPr>
          <w:sz w:val="24"/>
          <w:szCs w:val="24"/>
        </w:rPr>
        <w:t xml:space="preserve">A partir de 27 de dezembro de 2012, os indivíduos com TEA passaram a ser considerados PCD, sendo incluídos na proteção prevista e amparados por lei de acordo com o Artigo 2º da Lei Nº 12.764, que afirma “A pessoa com transtorno do espectro autista é considerada pessoa com deficiência, para todos os efeitos </w:t>
      </w:r>
      <w:r>
        <w:rPr>
          <w:sz w:val="24"/>
          <w:szCs w:val="24"/>
        </w:rPr>
        <w:t>legais</w:t>
      </w:r>
      <w:r w:rsidRPr="00CA020E">
        <w:rPr>
          <w:sz w:val="24"/>
          <w:szCs w:val="24"/>
        </w:rPr>
        <w:t>”</w:t>
      </w:r>
      <w:r>
        <w:rPr>
          <w:sz w:val="24"/>
          <w:szCs w:val="24"/>
        </w:rPr>
        <w:t>.</w:t>
      </w:r>
    </w:p>
    <w:p w14:paraId="51AFBB22" w14:textId="77777777" w:rsidR="00CA020E" w:rsidRPr="00CA020E" w:rsidRDefault="00CA020E" w:rsidP="00CA020E">
      <w:pPr>
        <w:spacing w:line="360" w:lineRule="auto"/>
        <w:ind w:firstLine="709"/>
        <w:jc w:val="both"/>
        <w:rPr>
          <w:sz w:val="24"/>
          <w:szCs w:val="24"/>
        </w:rPr>
      </w:pPr>
      <w:r w:rsidRPr="00CA020E">
        <w:rPr>
          <w:sz w:val="24"/>
          <w:szCs w:val="24"/>
        </w:rPr>
        <w:t xml:space="preserve">Já no ano de 2020, a Lei Nº 13.977 denominada “Lei Romeo Mion”, trouxe algumas mudanças e avanços significativos para as inclusão e garantia de direitos </w:t>
      </w:r>
      <w:r w:rsidRPr="00CA020E">
        <w:rPr>
          <w:sz w:val="24"/>
          <w:szCs w:val="24"/>
        </w:rPr>
        <w:lastRenderedPageBreak/>
        <w:t>das pessoas com TEA, pois a mesma foi instituída com o intuito de criar a Carteira de Identificação da Pessoa com Transtorno do Espectro Autista (</w:t>
      </w:r>
      <w:proofErr w:type="spellStart"/>
      <w:r w:rsidRPr="00CA020E">
        <w:rPr>
          <w:sz w:val="24"/>
          <w:szCs w:val="24"/>
        </w:rPr>
        <w:t>Ciptea</w:t>
      </w:r>
      <w:proofErr w:type="spellEnd"/>
      <w:r w:rsidRPr="00CA020E">
        <w:rPr>
          <w:sz w:val="24"/>
          <w:szCs w:val="24"/>
        </w:rPr>
        <w:t xml:space="preserve">), de expedição gratuita. Por meio desta Lei as pessoas com autismo passaram a ser incluídas entre os grupos com direito a atendimento prioritário no País, tendo em vista que em grande parte dos casos o autismo é uma condição invisível, a identificação faz-se necessária para assegurar direitos. </w:t>
      </w:r>
    </w:p>
    <w:p w14:paraId="5DAAF546" w14:textId="77777777" w:rsidR="00CA020E" w:rsidRPr="00CA020E" w:rsidRDefault="00CA020E" w:rsidP="00CA020E">
      <w:pPr>
        <w:spacing w:line="360" w:lineRule="auto"/>
        <w:ind w:firstLine="709"/>
        <w:jc w:val="both"/>
        <w:rPr>
          <w:sz w:val="24"/>
          <w:szCs w:val="24"/>
        </w:rPr>
      </w:pPr>
      <w:r w:rsidRPr="00CA020E">
        <w:rPr>
          <w:sz w:val="24"/>
          <w:szCs w:val="24"/>
        </w:rPr>
        <w:t>No estado do Pará, tem-se a Coordenação de Políticas para o Autismo (CEPA) criada em maio de 2020, está é fundamental para a implementação de uma política estadual para proteção da pessoa com TEA, atuando na criação de políticas públicas integradas baseadas em evidências científicas, vinculada à Secretaria de Estado de Saúde Pública do Pará.</w:t>
      </w:r>
    </w:p>
    <w:p w14:paraId="02905AD2" w14:textId="77777777" w:rsidR="00CA020E" w:rsidRPr="00CA020E" w:rsidRDefault="00CA020E" w:rsidP="00CA020E">
      <w:pPr>
        <w:spacing w:line="360" w:lineRule="auto"/>
        <w:ind w:firstLine="709"/>
        <w:jc w:val="both"/>
        <w:rPr>
          <w:sz w:val="24"/>
          <w:szCs w:val="24"/>
        </w:rPr>
      </w:pPr>
      <w:r w:rsidRPr="00CA020E">
        <w:rPr>
          <w:sz w:val="24"/>
          <w:szCs w:val="24"/>
        </w:rPr>
        <w:t>Nesse contexto, tem-se como exemplo a Lei Estadual 9.061/2020 que dispõe, a partir do Art. 3°, acerca dos direitos das pessoas com Transtorno do Espectro Autista, garantindo vida digna, integridade física e moral, livre desenvolvimento da personalidade, segurança e lazer; proteção contra qualquer forma de abuso e exploração; acesso a ações e serviços de saúde que garantam a atenção integral às necessidades de saúde e reiterando que "A garantia dos direitos previstos neste artigo observará, além do disposto nesta Lei, também a legislação de regência do Sistema Único de Saúde - SUS e do Sistema de Assistência Social - SUAS [...]".</w:t>
      </w:r>
    </w:p>
    <w:p w14:paraId="76F8DC57" w14:textId="77777777" w:rsidR="00CA020E" w:rsidRPr="00CA020E" w:rsidRDefault="00CA020E" w:rsidP="00CA020E">
      <w:pPr>
        <w:spacing w:line="360" w:lineRule="auto"/>
        <w:ind w:firstLine="709"/>
        <w:jc w:val="both"/>
        <w:rPr>
          <w:sz w:val="24"/>
          <w:szCs w:val="24"/>
        </w:rPr>
      </w:pPr>
      <w:r w:rsidRPr="00CA020E">
        <w:rPr>
          <w:sz w:val="24"/>
          <w:szCs w:val="24"/>
        </w:rPr>
        <w:t>No Pará, foi criada uma base de dados sobre o autismo, com a realização de projetos intersetoriais com diversas secretarias e órgãos do Governo para que seja possível atingir o máximo de pessoas em prol da inclusão, além de um novo modelo de atendimento que a coordenação propõe para a reestruturação da rede. Tendo como exemplo o Programa "</w:t>
      </w:r>
      <w:proofErr w:type="spellStart"/>
      <w:r w:rsidRPr="00CA020E">
        <w:rPr>
          <w:sz w:val="24"/>
          <w:szCs w:val="24"/>
        </w:rPr>
        <w:t>ConecTEA</w:t>
      </w:r>
      <w:proofErr w:type="spellEnd"/>
      <w:r w:rsidRPr="00CA020E">
        <w:rPr>
          <w:sz w:val="24"/>
          <w:szCs w:val="24"/>
        </w:rPr>
        <w:t xml:space="preserve">-PARÁ: Diagnóstico situacional e produtos informativos sobre as redes de atenção à pessoa com transtorno do espectro autista e seus familiares no estado do Pará" sendo uma iniciativa da Secretaria de Estado de Saúde Pública (SESPA) que através da CEPA objetiva mapear dados advindos dos diferentes pontos de atenção à pessoa com TEA e seus familiares para garantir o acesso à informação aos usuários. A partir deste mapeamento a equipe de Engenharia Cartográfica e de Agrimensura da Universidade Federal Rural da </w:t>
      </w:r>
      <w:r w:rsidRPr="00CA020E">
        <w:rPr>
          <w:sz w:val="24"/>
          <w:szCs w:val="24"/>
        </w:rPr>
        <w:lastRenderedPageBreak/>
        <w:t xml:space="preserve">Amazônia (UFRA), elaborou um mapa interativo, possibilitando a visualização digital dos Pontos de Atenção no campo da saúde e educação. </w:t>
      </w:r>
    </w:p>
    <w:p w14:paraId="14F69AD9" w14:textId="412CB45F" w:rsidR="004F776F" w:rsidRDefault="00CA020E" w:rsidP="004B3FF8">
      <w:pPr>
        <w:spacing w:line="360" w:lineRule="auto"/>
        <w:ind w:firstLine="709"/>
        <w:jc w:val="both"/>
        <w:rPr>
          <w:sz w:val="24"/>
          <w:szCs w:val="24"/>
        </w:rPr>
      </w:pPr>
      <w:r w:rsidRPr="00CA020E">
        <w:rPr>
          <w:sz w:val="24"/>
          <w:szCs w:val="24"/>
        </w:rPr>
        <w:t>De acordo com o Conselho Nacional de Secretários de Saúde (CONASS), em 2021, como iniciativa da SESPA e fomentada por meio da CEPA, foi consolidada na Lei estadual nº 9.905, de 05 de maio de 2023, que torna obrigatória a inserção do símbolo mundial da conscientização sobre o Transtorno do Espectro Autista nas placas de atendimento prioritário dos órgãos da administração pública do Estado do Pará. Nesse contexto, esta Lei simboliza mais um avanço nas políticas públicas para esta parcela da população, com isso mais de 80 órgãos estaduais já exibem placas com o símbolo da conscientização, que além de ter função educativa, serve como garantia para que os direitos de pessoas com autismo sejam respeitados em todo o território paraense.</w:t>
      </w:r>
    </w:p>
    <w:p w14:paraId="1DBC3823" w14:textId="3882E114" w:rsidR="00CA020E" w:rsidRPr="00103D37" w:rsidRDefault="00CA020E" w:rsidP="00103D37">
      <w:pPr>
        <w:pStyle w:val="PargrafodaLista"/>
        <w:numPr>
          <w:ilvl w:val="0"/>
          <w:numId w:val="1"/>
        </w:numPr>
        <w:spacing w:line="360" w:lineRule="auto"/>
        <w:rPr>
          <w:b/>
          <w:sz w:val="24"/>
          <w:szCs w:val="24"/>
        </w:rPr>
      </w:pPr>
      <w:r w:rsidRPr="00103D37">
        <w:rPr>
          <w:b/>
          <w:sz w:val="24"/>
          <w:szCs w:val="24"/>
        </w:rPr>
        <w:t>O SERVIÇO SOCIAL NA SAÚDE: PRINCÍPIOS, ÉTICA E PRÁTICA INTERDISCIPLINAR.</w:t>
      </w:r>
    </w:p>
    <w:p w14:paraId="58C26A7C" w14:textId="77777777" w:rsidR="00CA020E" w:rsidRPr="00CA020E" w:rsidRDefault="00CA020E" w:rsidP="00CA020E">
      <w:pPr>
        <w:spacing w:line="360" w:lineRule="auto"/>
        <w:jc w:val="both"/>
        <w:rPr>
          <w:sz w:val="24"/>
          <w:szCs w:val="24"/>
        </w:rPr>
      </w:pPr>
      <w:r>
        <w:rPr>
          <w:b/>
          <w:sz w:val="24"/>
          <w:szCs w:val="24"/>
        </w:rPr>
        <w:tab/>
      </w:r>
      <w:r w:rsidRPr="00CA020E">
        <w:rPr>
          <w:sz w:val="24"/>
          <w:szCs w:val="24"/>
        </w:rPr>
        <w:t>O Serviço Social, enquanto profissão regulamentada e fundamentada em princípios ético-políticos, possui uma inserção estratégica na política pública de saúde, especialmente no âmbito do Sistema Único de Saúde (SUS). De acordo com a Constituição Federal de 1988, “a saúde é direito de todos e dever do Estado” (BRASIL, 1988, art. 196), e o trabalho do assistente social contribui para a efetivação desse direito, a partir da análise crítica das expressões da questão social.</w:t>
      </w:r>
    </w:p>
    <w:p w14:paraId="357BF3BC" w14:textId="77777777" w:rsidR="00CA020E" w:rsidRPr="00CA020E" w:rsidRDefault="00CA020E" w:rsidP="00CA020E">
      <w:pPr>
        <w:spacing w:line="360" w:lineRule="auto"/>
        <w:jc w:val="both"/>
        <w:rPr>
          <w:sz w:val="24"/>
          <w:szCs w:val="24"/>
        </w:rPr>
      </w:pPr>
      <w:r w:rsidRPr="00CA020E">
        <w:rPr>
          <w:sz w:val="24"/>
          <w:szCs w:val="24"/>
        </w:rPr>
        <w:t xml:space="preserve">Nesse sentido o CFESS propugna uma ação na direção de enfrentamento da questão social por meio das políticas públicas. </w:t>
      </w:r>
    </w:p>
    <w:p w14:paraId="6F424138" w14:textId="77777777" w:rsidR="00CA020E" w:rsidRDefault="00CA020E" w:rsidP="000352F4">
      <w:pPr>
        <w:spacing w:line="240" w:lineRule="auto"/>
        <w:ind w:left="2268"/>
        <w:jc w:val="both"/>
        <w:rPr>
          <w:sz w:val="20"/>
          <w:szCs w:val="20"/>
        </w:rPr>
      </w:pPr>
      <w:r w:rsidRPr="000352F4">
        <w:rPr>
          <w:sz w:val="20"/>
          <w:szCs w:val="20"/>
        </w:rPr>
        <w:t>O enfrentamento da questão social envolve a luta pela construção, materialização, consolidação dos direitos sociais, como uma mediação para a construção de uma outra sociabilidade. Uma das formas de acessar e garantir esses direitos é por meio das políticas sociais. E as políticas sociais que compõem a proteção social tem se constituído em respostas, muitas vezes fragmentadas, para as complexas expressões da questão social produzidas neste sistema de exploração e dominação (CFESS, 2011, p. 27)</w:t>
      </w:r>
    </w:p>
    <w:p w14:paraId="5BCCFDF3" w14:textId="77777777" w:rsidR="000352F4" w:rsidRPr="000352F4" w:rsidRDefault="000352F4" w:rsidP="000352F4">
      <w:pPr>
        <w:spacing w:line="240" w:lineRule="auto"/>
        <w:ind w:left="2268"/>
        <w:jc w:val="both"/>
        <w:rPr>
          <w:sz w:val="20"/>
          <w:szCs w:val="20"/>
        </w:rPr>
      </w:pPr>
    </w:p>
    <w:p w14:paraId="62372FD0" w14:textId="77777777" w:rsidR="00CA020E" w:rsidRPr="00CA020E" w:rsidRDefault="00CA020E" w:rsidP="000352F4">
      <w:pPr>
        <w:spacing w:line="360" w:lineRule="auto"/>
        <w:ind w:firstLine="720"/>
        <w:jc w:val="both"/>
        <w:rPr>
          <w:sz w:val="24"/>
          <w:szCs w:val="24"/>
        </w:rPr>
      </w:pPr>
      <w:r w:rsidRPr="00CA020E">
        <w:rPr>
          <w:sz w:val="24"/>
          <w:szCs w:val="24"/>
        </w:rPr>
        <w:t xml:space="preserve">A atuação na saúde exige do profissional uma prática interdisciplinar e dialógica, sendo que, segundo Paulani (2006, p. 75), “o enfrentamento das desigualdades em saúde requer a articulação entre diferentes campos do saber, pois o adoecimento é inseparável das condições sociais de vida”. Nesse sentido, a </w:t>
      </w:r>
      <w:r w:rsidRPr="00CA020E">
        <w:rPr>
          <w:sz w:val="24"/>
          <w:szCs w:val="24"/>
        </w:rPr>
        <w:lastRenderedPageBreak/>
        <w:t>presença do Serviço Social nas equipes multiprofissionais fortalece a integralidade do cuidado, pois oferece uma leitura social do processo saúde-doença, baseada em determinantes históricos, econômicos e culturais.</w:t>
      </w:r>
    </w:p>
    <w:p w14:paraId="7A3224E9" w14:textId="77777777" w:rsidR="00CA020E" w:rsidRPr="00CA020E" w:rsidRDefault="00CA020E" w:rsidP="000352F4">
      <w:pPr>
        <w:spacing w:line="360" w:lineRule="auto"/>
        <w:ind w:firstLine="720"/>
        <w:jc w:val="both"/>
        <w:rPr>
          <w:sz w:val="24"/>
          <w:szCs w:val="24"/>
        </w:rPr>
      </w:pPr>
      <w:r w:rsidRPr="00CA020E">
        <w:rPr>
          <w:sz w:val="24"/>
          <w:szCs w:val="24"/>
        </w:rPr>
        <w:t>O Código de Ética Profissional do Assistente Social (CFESS, 2011) orienta a prática por princípios como “a liberdade como valor ético central” e “a defesa intransigente dos direitos humanos”, os quais norteiam o cotidiano profissional, especialmente em espaços de acolhimento, escuta, elaboração de pareceres técnicos e encaminhamentos. Como afirma o documento, o assistente social deve “comprometer-se com a qualidade dos serviços prestados à população, o que inclui a humanização do atendimento e o respeito à dignidade dos usuários” (CFESS, 2011, p. 12).</w:t>
      </w:r>
    </w:p>
    <w:p w14:paraId="70BF037D" w14:textId="77777777" w:rsidR="00CA020E" w:rsidRPr="00CA020E" w:rsidRDefault="00CA020E" w:rsidP="000352F4">
      <w:pPr>
        <w:spacing w:line="360" w:lineRule="auto"/>
        <w:ind w:firstLine="720"/>
        <w:jc w:val="both"/>
        <w:rPr>
          <w:sz w:val="24"/>
          <w:szCs w:val="24"/>
        </w:rPr>
      </w:pPr>
      <w:r w:rsidRPr="00CA020E">
        <w:rPr>
          <w:sz w:val="24"/>
          <w:szCs w:val="24"/>
        </w:rPr>
        <w:t>De forma crítica, a profissão compreende a política de saúde em seu contexto contraditório. Para Iamamoto (2008, p. 120), “o Serviço Social não atua apenas na perspectiva da execução de políticas, mas também enquanto sujeito político, que denuncia desigualdades e luta por justiça social”. Essa perspectiva fortalece a atuação para além do tecnicismo, promovendo uma intervenção comprometida com a emancipação dos sujeitos.</w:t>
      </w:r>
    </w:p>
    <w:p w14:paraId="6AF5D48F" w14:textId="77777777" w:rsidR="00CA020E" w:rsidRPr="00CA020E" w:rsidRDefault="00CA020E" w:rsidP="000352F4">
      <w:pPr>
        <w:spacing w:line="360" w:lineRule="auto"/>
        <w:ind w:firstLine="720"/>
        <w:jc w:val="both"/>
        <w:rPr>
          <w:sz w:val="24"/>
          <w:szCs w:val="24"/>
        </w:rPr>
      </w:pPr>
      <w:r w:rsidRPr="00CA020E">
        <w:rPr>
          <w:sz w:val="24"/>
          <w:szCs w:val="24"/>
        </w:rPr>
        <w:t xml:space="preserve">Apesar dos avanços promovidos pela institucionalização do SUS, os desafios permanecem, especialmente diante da precarização dos serviços, das desigualdades regionais e da intensificação das expressões da questão social. Diante desse cenário, o Serviço Social reafirma seu compromisso com a universalização do acesso, com o fortalecimento da rede pública de saúde e com a consolidação de práticas democráticas e participativas. </w:t>
      </w:r>
    </w:p>
    <w:p w14:paraId="73E85F6B" w14:textId="07793D02" w:rsidR="00CA020E" w:rsidRPr="00CA020E" w:rsidRDefault="00CA020E" w:rsidP="000352F4">
      <w:pPr>
        <w:spacing w:line="360" w:lineRule="auto"/>
        <w:ind w:firstLine="720"/>
        <w:jc w:val="both"/>
        <w:rPr>
          <w:sz w:val="24"/>
          <w:szCs w:val="24"/>
        </w:rPr>
      </w:pPr>
      <w:r w:rsidRPr="00CA020E">
        <w:rPr>
          <w:sz w:val="24"/>
          <w:szCs w:val="24"/>
        </w:rPr>
        <w:t xml:space="preserve">Assim, compreende-se que cabe ao Serviço Social – numa ação necessariamente articulada com outros segmentos que defendem o aprofundamento do Sistema Único de Saúde (SUS) – formular estratégias que busquem reforçar ou criar experiências nos serviços de saúde que efetivem o direito social à saúde, atentando que o trabalho do assistente social que queira ter como norte o </w:t>
      </w:r>
      <w:r w:rsidR="004B3FF8" w:rsidRPr="00CA020E">
        <w:rPr>
          <w:sz w:val="24"/>
          <w:szCs w:val="24"/>
        </w:rPr>
        <w:t>projete ético</w:t>
      </w:r>
      <w:r w:rsidRPr="00CA020E">
        <w:rPr>
          <w:sz w:val="24"/>
          <w:szCs w:val="24"/>
        </w:rPr>
        <w:t xml:space="preserve"> político profissional tem que, necessariamente, estar articulado ao projeto da reforma sanitária (Matos, 2003; Bravo &amp; Matos, 2004).</w:t>
      </w:r>
    </w:p>
    <w:p w14:paraId="2595B439" w14:textId="77777777" w:rsidR="00344E46" w:rsidRDefault="00CA020E" w:rsidP="00344E46">
      <w:pPr>
        <w:spacing w:line="360" w:lineRule="auto"/>
        <w:ind w:firstLine="720"/>
        <w:jc w:val="both"/>
        <w:rPr>
          <w:sz w:val="24"/>
          <w:szCs w:val="24"/>
        </w:rPr>
      </w:pPr>
      <w:r w:rsidRPr="00CA020E">
        <w:rPr>
          <w:sz w:val="24"/>
          <w:szCs w:val="24"/>
        </w:rPr>
        <w:lastRenderedPageBreak/>
        <w:t>Portanto, a atuação do Serviço Social na saúde é guiada por uma ética comprometida com a transformação social, pelo trabalho coletivo e pela defesa intransigente dos direitos, contribuindo para uma prática profissional crítica, reflexiva e articulada à luta por uma sociedade mais justa.</w:t>
      </w:r>
    </w:p>
    <w:p w14:paraId="3FE79962" w14:textId="1D036065" w:rsidR="000352F4" w:rsidRPr="00344E46" w:rsidRDefault="000352F4" w:rsidP="00344E46">
      <w:pPr>
        <w:pStyle w:val="PargrafodaLista"/>
        <w:numPr>
          <w:ilvl w:val="0"/>
          <w:numId w:val="1"/>
        </w:numPr>
        <w:spacing w:line="360" w:lineRule="auto"/>
        <w:jc w:val="both"/>
        <w:rPr>
          <w:sz w:val="24"/>
          <w:szCs w:val="24"/>
        </w:rPr>
      </w:pPr>
      <w:r w:rsidRPr="00344E46">
        <w:rPr>
          <w:b/>
          <w:sz w:val="24"/>
          <w:szCs w:val="24"/>
        </w:rPr>
        <w:t>O PAPEL DO ASSISTENTE SOCIAL NO ATENDIMENTO À CRIANÇA COM TEA E SUAS FAMÍLIAS NO PROGRAMA AMBULATÓRIO DE ESPECIALIDADES PEDIÁTRICAS</w:t>
      </w:r>
    </w:p>
    <w:p w14:paraId="32F41813" w14:textId="77777777" w:rsidR="000352F4" w:rsidRPr="000352F4" w:rsidRDefault="000352F4" w:rsidP="000352F4">
      <w:pPr>
        <w:spacing w:line="360" w:lineRule="auto"/>
        <w:ind w:firstLine="720"/>
        <w:jc w:val="both"/>
        <w:rPr>
          <w:sz w:val="24"/>
          <w:szCs w:val="24"/>
        </w:rPr>
      </w:pPr>
      <w:r w:rsidRPr="000352F4">
        <w:rPr>
          <w:sz w:val="24"/>
          <w:szCs w:val="24"/>
        </w:rPr>
        <w:t>O assistente social tem papel fundamental no atendimento à criança com Transtorno do Espectro Autista (TEA) e suas famílias, a atuação se dá no acolhimento e na escuta qualificada, sensível às emoções dos pais desde o momento da suspeita ou confirmação do diagnóstico, é nesse espaço da escuta que é possível identificar as demandas familiares, contextos socioeconômicos, redes de apoio e expectativas, organizando intervenções para atender essas necessidades.</w:t>
      </w:r>
    </w:p>
    <w:p w14:paraId="594C51B7" w14:textId="77777777" w:rsidR="000352F4" w:rsidRPr="000352F4" w:rsidRDefault="000352F4" w:rsidP="000352F4">
      <w:pPr>
        <w:spacing w:line="360" w:lineRule="auto"/>
        <w:ind w:firstLine="720"/>
        <w:jc w:val="both"/>
        <w:rPr>
          <w:sz w:val="24"/>
          <w:szCs w:val="24"/>
        </w:rPr>
      </w:pPr>
      <w:r w:rsidRPr="000352F4">
        <w:rPr>
          <w:sz w:val="24"/>
          <w:szCs w:val="24"/>
        </w:rPr>
        <w:t>Ademais, os assistentes sociais exercem a função de articuladores intersetoriais, promovendo a articulação das famílias com instituições como CRAS, CREAS, escola, defensoria pública e SUS. De acordo com Silva, Almeida e Oliveira (2024), “a integração entre os serviços de saúde, educação e assistência social demanda a superação de práticas fragmentadas e desarticuladas” (SILVA; ALMEIDA; OLIVEIRA, 2024, p. 72), evidenciando a importância da atuação do assistente social como mediador no processo de construção de redes de apoio contínuas.</w:t>
      </w:r>
    </w:p>
    <w:p w14:paraId="5FE7B7E3" w14:textId="77777777" w:rsidR="000352F4" w:rsidRPr="000352F4" w:rsidRDefault="000352F4" w:rsidP="000352F4">
      <w:pPr>
        <w:spacing w:line="360" w:lineRule="auto"/>
        <w:jc w:val="both"/>
        <w:rPr>
          <w:sz w:val="24"/>
          <w:szCs w:val="24"/>
        </w:rPr>
      </w:pPr>
      <w:r w:rsidRPr="000352F4">
        <w:rPr>
          <w:sz w:val="24"/>
          <w:szCs w:val="24"/>
        </w:rPr>
        <w:t xml:space="preserve">No tocante à garantia de direitos, o profissional orienta as famílias sobre legislações específicas, como a Lei nº 12.764/2012 (Lei Berenice Piana) e a Lei nº 8.742/1993 (LOAS), destacando que o BPC depende da renda familiar e da inscrição no </w:t>
      </w:r>
      <w:proofErr w:type="spellStart"/>
      <w:r w:rsidRPr="000352F4">
        <w:rPr>
          <w:sz w:val="24"/>
          <w:szCs w:val="24"/>
        </w:rPr>
        <w:t>CadÚnico</w:t>
      </w:r>
      <w:proofErr w:type="spellEnd"/>
      <w:r w:rsidRPr="000352F4">
        <w:rPr>
          <w:sz w:val="24"/>
          <w:szCs w:val="24"/>
        </w:rPr>
        <w:t xml:space="preserve"> (BRASIL, 1993; BRASIL, 2012). Vargas et al. (2016) reforçam essa atuação ao afirmar que “é imprescindível reconhecer que o assistente social exerce um papel primordial no âmbito da política de saúde e, principalmente, na atuação socioassistencial” (VARGAS et al., 2016, p. 31).</w:t>
      </w:r>
    </w:p>
    <w:p w14:paraId="57867A92" w14:textId="77777777" w:rsidR="000352F4" w:rsidRPr="000352F4" w:rsidRDefault="000352F4" w:rsidP="000352F4">
      <w:pPr>
        <w:spacing w:line="360" w:lineRule="auto"/>
        <w:ind w:firstLine="720"/>
        <w:jc w:val="both"/>
        <w:rPr>
          <w:sz w:val="24"/>
          <w:szCs w:val="24"/>
        </w:rPr>
      </w:pPr>
      <w:r w:rsidRPr="000352F4">
        <w:rPr>
          <w:sz w:val="24"/>
          <w:szCs w:val="24"/>
        </w:rPr>
        <w:t xml:space="preserve">O assistente social também promove o protagonismo familiar por meio de grupos de apoio e rodas de conversa. Oliveira (2024) contextualiza que, em ambiente escolar, “professoras e assistentes sociais atuam como mediadores no acesso à </w:t>
      </w:r>
      <w:r w:rsidRPr="000352F4">
        <w:rPr>
          <w:sz w:val="24"/>
          <w:szCs w:val="24"/>
        </w:rPr>
        <w:lastRenderedPageBreak/>
        <w:t>educação de qualidade” (OLIVEIRA, 2024, p. 15), fortalecendo laços comunitários, reduzindo o isolamento e potencializando o engajamento dos pais no processo educativo dos filhos.</w:t>
      </w:r>
    </w:p>
    <w:p w14:paraId="4E026D23" w14:textId="3DF32548" w:rsidR="00473212" w:rsidRPr="004B3FF8" w:rsidRDefault="000352F4" w:rsidP="004B3FF8">
      <w:pPr>
        <w:spacing w:line="360" w:lineRule="auto"/>
        <w:ind w:firstLine="720"/>
        <w:jc w:val="both"/>
        <w:rPr>
          <w:sz w:val="24"/>
          <w:szCs w:val="24"/>
        </w:rPr>
      </w:pPr>
      <w:r w:rsidRPr="000352F4">
        <w:rPr>
          <w:sz w:val="24"/>
          <w:szCs w:val="24"/>
        </w:rPr>
        <w:t>Por fim, o suporte psicossocial contínuo oferecido pelo assistente social auxilia as famílias a lidarem com o estresse, a ansiedade e a sobrecarga decorrentes do cuidado com a criança com TEA, fomentando resiliência e fortalecendo vínculos. Nesse sentido, Pinto (2021, p. 102) salienta que as estratégias implementadas pelos assistentes sociais nos CAICs “desnudam as expressões da questão social que se manifestam […] demandando respostas profissionais adequadas”.</w:t>
      </w:r>
    </w:p>
    <w:p w14:paraId="42A72136" w14:textId="2BA5B81A" w:rsidR="000352F4" w:rsidRPr="00103D37" w:rsidRDefault="000352F4" w:rsidP="00103D37">
      <w:pPr>
        <w:pStyle w:val="PargrafodaLista"/>
        <w:numPr>
          <w:ilvl w:val="0"/>
          <w:numId w:val="1"/>
        </w:numPr>
        <w:spacing w:line="360" w:lineRule="auto"/>
        <w:jc w:val="both"/>
        <w:rPr>
          <w:b/>
          <w:sz w:val="24"/>
          <w:szCs w:val="24"/>
        </w:rPr>
      </w:pPr>
      <w:r w:rsidRPr="00103D37">
        <w:rPr>
          <w:b/>
          <w:sz w:val="24"/>
          <w:szCs w:val="24"/>
        </w:rPr>
        <w:t>CONCLUSÃO</w:t>
      </w:r>
    </w:p>
    <w:p w14:paraId="20B1F4C1" w14:textId="77777777" w:rsidR="000352F4" w:rsidRPr="002F3008" w:rsidRDefault="002F3008" w:rsidP="002F3008">
      <w:pPr>
        <w:pStyle w:val="NormalWeb"/>
        <w:spacing w:before="0" w:beforeAutospacing="0" w:after="0" w:afterAutospacing="0" w:line="360" w:lineRule="auto"/>
        <w:ind w:firstLine="720"/>
        <w:jc w:val="both"/>
        <w:rPr>
          <w:rFonts w:ascii="Arial" w:hAnsi="Arial" w:cs="Arial"/>
        </w:rPr>
      </w:pPr>
      <w:r>
        <w:rPr>
          <w:rFonts w:ascii="Arial" w:hAnsi="Arial" w:cs="Arial"/>
        </w:rPr>
        <w:t xml:space="preserve">Portanto, o </w:t>
      </w:r>
      <w:r w:rsidR="000352F4" w:rsidRPr="002F3008">
        <w:rPr>
          <w:rFonts w:ascii="Arial" w:hAnsi="Arial" w:cs="Arial"/>
        </w:rPr>
        <w:t xml:space="preserve">estudo permitiu compreender a complexidade e a importância da atuação do/a assistente social no atendimento às crianças com Transtorno do Espectro Autista (TEA) e suas famílias, especialmente no contexto do Programa Ambulatório de Especialidades Pediátricas da UFPA. A </w:t>
      </w:r>
      <w:r>
        <w:rPr>
          <w:rFonts w:ascii="Arial" w:hAnsi="Arial" w:cs="Arial"/>
        </w:rPr>
        <w:t>pesquisa demonstra</w:t>
      </w:r>
      <w:r w:rsidR="000352F4" w:rsidRPr="002F3008">
        <w:rPr>
          <w:rFonts w:ascii="Arial" w:hAnsi="Arial" w:cs="Arial"/>
        </w:rPr>
        <w:t xml:space="preserve"> que o trabalho do Serviço Social vai além do acolhimento, sendo fundamental na mediação entre as famílias e a rede de proteção social, na orientação sobre direitos, na articulação intersetorial e na promoção da inclusão social.</w:t>
      </w:r>
    </w:p>
    <w:p w14:paraId="6607454F" w14:textId="77777777" w:rsidR="000352F4" w:rsidRPr="002F3008" w:rsidRDefault="000352F4" w:rsidP="002F3008">
      <w:pPr>
        <w:pStyle w:val="NormalWeb"/>
        <w:spacing w:before="0" w:beforeAutospacing="0" w:after="0" w:afterAutospacing="0" w:line="360" w:lineRule="auto"/>
        <w:ind w:firstLine="720"/>
        <w:jc w:val="both"/>
        <w:rPr>
          <w:rFonts w:ascii="Arial" w:hAnsi="Arial" w:cs="Arial"/>
        </w:rPr>
      </w:pPr>
      <w:r w:rsidRPr="002F3008">
        <w:rPr>
          <w:rFonts w:ascii="Arial" w:hAnsi="Arial" w:cs="Arial"/>
        </w:rPr>
        <w:t>Verificou-se que, apesar dos avanços legislativos e da criação de políticas públicas específicas em âmbito nacional e estadual, como a Lei nº 12.764/2012, a Lei Romeo Mion e as ações da Coordenação Estadual de Políticas para o Autismo (CEPA), ainda há desafios significativos no acesso universal e humanizado aos serviços. Barreiras relacionadas a desinformação e a fragmentação dos serviços dificultam a efetivação plena dos direitos das pessoas com TEA e suas famílias.</w:t>
      </w:r>
    </w:p>
    <w:p w14:paraId="3FFAE68E" w14:textId="2FD2408E" w:rsidR="000352F4" w:rsidRPr="002F3008" w:rsidRDefault="000352F4" w:rsidP="002F3008">
      <w:pPr>
        <w:pStyle w:val="NormalWeb"/>
        <w:spacing w:before="0" w:beforeAutospacing="0" w:after="0" w:afterAutospacing="0" w:line="360" w:lineRule="auto"/>
        <w:ind w:firstLine="720"/>
        <w:jc w:val="both"/>
        <w:rPr>
          <w:rFonts w:ascii="Arial" w:hAnsi="Arial" w:cs="Arial"/>
        </w:rPr>
      </w:pPr>
      <w:r w:rsidRPr="002F3008">
        <w:rPr>
          <w:rFonts w:ascii="Arial" w:hAnsi="Arial" w:cs="Arial"/>
        </w:rPr>
        <w:t>Nesse cenário, o/a assistente social assume um papel estratégico e transformador, pautado em princípios éticos, na luta por justiça social e na garantia de direitos</w:t>
      </w:r>
      <w:r w:rsidR="00344E46">
        <w:rPr>
          <w:rFonts w:ascii="Arial" w:hAnsi="Arial" w:cs="Arial"/>
        </w:rPr>
        <w:t>, s</w:t>
      </w:r>
      <w:r w:rsidRPr="002F3008">
        <w:rPr>
          <w:rFonts w:ascii="Arial" w:hAnsi="Arial" w:cs="Arial"/>
        </w:rPr>
        <w:t>ua atuação crítica, interdisciplinar e comprometida com a construção de uma sociedade mais equitativa é essencial para enfrentar as múltiplas expressões da questão social relacionadas ao</w:t>
      </w:r>
      <w:r w:rsidR="00344E46">
        <w:rPr>
          <w:rFonts w:ascii="Arial" w:hAnsi="Arial" w:cs="Arial"/>
        </w:rPr>
        <w:t xml:space="preserve"> TEA</w:t>
      </w:r>
      <w:r w:rsidRPr="002F3008">
        <w:rPr>
          <w:rFonts w:ascii="Arial" w:hAnsi="Arial" w:cs="Arial"/>
        </w:rPr>
        <w:t>. Conclui-se, portanto, que fortalecer o trabalho profissional do Serviço Social é uma condição indispensável para consolidar e efetivar o direito à cidadania das pessoas com TEA.</w:t>
      </w:r>
    </w:p>
    <w:p w14:paraId="482F99B9" w14:textId="77777777" w:rsidR="00815C7E" w:rsidRDefault="00815C7E" w:rsidP="00815C7E">
      <w:pPr>
        <w:spacing w:line="360" w:lineRule="auto"/>
        <w:rPr>
          <w:b/>
          <w:sz w:val="24"/>
          <w:szCs w:val="24"/>
        </w:rPr>
      </w:pPr>
    </w:p>
    <w:p w14:paraId="6DB2FA5A" w14:textId="7CBB15A9" w:rsidR="00473212" w:rsidRPr="0063286A" w:rsidRDefault="004F776F" w:rsidP="00344E46">
      <w:pPr>
        <w:spacing w:line="360" w:lineRule="auto"/>
        <w:rPr>
          <w:sz w:val="24"/>
          <w:szCs w:val="24"/>
        </w:rPr>
      </w:pPr>
      <w:r>
        <w:rPr>
          <w:b/>
          <w:sz w:val="24"/>
          <w:szCs w:val="24"/>
        </w:rPr>
        <w:t>REFERÊNCIAS</w:t>
      </w:r>
    </w:p>
    <w:p w14:paraId="063B4742" w14:textId="5035FFC2" w:rsidR="00473212" w:rsidRPr="0005415B" w:rsidRDefault="00473212" w:rsidP="00344E46">
      <w:pPr>
        <w:spacing w:line="360" w:lineRule="auto"/>
        <w:jc w:val="both"/>
        <w:rPr>
          <w:rFonts w:eastAsia="Times New Roman"/>
          <w:bCs/>
          <w:sz w:val="24"/>
          <w:szCs w:val="24"/>
        </w:rPr>
      </w:pPr>
      <w:r w:rsidRPr="00473212">
        <w:rPr>
          <w:rFonts w:eastAsia="Times New Roman"/>
          <w:bCs/>
          <w:sz w:val="24"/>
          <w:szCs w:val="24"/>
        </w:rPr>
        <w:t xml:space="preserve">BRASIL. </w:t>
      </w:r>
      <w:r w:rsidRPr="00473212">
        <w:rPr>
          <w:rFonts w:eastAsia="Times New Roman"/>
          <w:b/>
          <w:sz w:val="24"/>
          <w:szCs w:val="24"/>
        </w:rPr>
        <w:t>Conselho Federal de Serviço Social – CFESS. Código de Ética Profissional do Assistente Social. Aprovado pela Resolução nº 273, de 13 de março de 1993; consolidado e atualizado em 2011.</w:t>
      </w:r>
      <w:r w:rsidRPr="00473212">
        <w:rPr>
          <w:rFonts w:eastAsia="Times New Roman"/>
          <w:bCs/>
          <w:sz w:val="24"/>
          <w:szCs w:val="24"/>
        </w:rPr>
        <w:t xml:space="preserve"> Brasília: CFESS, 2011. p. 12. Disponível em:</w:t>
      </w:r>
      <w:r w:rsidR="00D94A9F">
        <w:rPr>
          <w:rFonts w:eastAsia="Times New Roman"/>
          <w:bCs/>
          <w:sz w:val="24"/>
          <w:szCs w:val="24"/>
        </w:rPr>
        <w:t xml:space="preserve"> </w:t>
      </w:r>
      <w:hyperlink r:id="rId8" w:history="1">
        <w:r w:rsidR="00D94A9F" w:rsidRPr="00CC2A2F">
          <w:rPr>
            <w:rStyle w:val="Hyperlink"/>
            <w:rFonts w:eastAsia="Times New Roman"/>
            <w:bCs/>
            <w:sz w:val="24"/>
            <w:szCs w:val="24"/>
          </w:rPr>
          <w:t>http://www.cfess.org.br/arquivos/CEP_CFESS-SITE.pdf</w:t>
        </w:r>
      </w:hyperlink>
      <w:r w:rsidR="00D94A9F">
        <w:rPr>
          <w:rFonts w:eastAsia="Times New Roman"/>
          <w:bCs/>
          <w:sz w:val="24"/>
          <w:szCs w:val="24"/>
        </w:rPr>
        <w:t xml:space="preserve"> .</w:t>
      </w:r>
      <w:r w:rsidRPr="00473212">
        <w:rPr>
          <w:rFonts w:eastAsia="Times New Roman"/>
          <w:bCs/>
          <w:sz w:val="24"/>
          <w:szCs w:val="24"/>
        </w:rPr>
        <w:t xml:space="preserve"> Acesso em: 30 jun. 2025.</w:t>
      </w:r>
    </w:p>
    <w:p w14:paraId="2B296C7F" w14:textId="1585EC81" w:rsidR="00473212" w:rsidRDefault="00473212" w:rsidP="00344E46">
      <w:pPr>
        <w:spacing w:line="360" w:lineRule="auto"/>
        <w:jc w:val="both"/>
        <w:rPr>
          <w:rFonts w:eastAsia="Times New Roman"/>
          <w:sz w:val="24"/>
          <w:szCs w:val="24"/>
        </w:rPr>
      </w:pPr>
      <w:r w:rsidRPr="00473212">
        <w:rPr>
          <w:rFonts w:eastAsia="Times New Roman"/>
          <w:sz w:val="24"/>
          <w:szCs w:val="24"/>
        </w:rPr>
        <w:t>BRASIL. Constituição (1988</w:t>
      </w:r>
      <w:r w:rsidRPr="00473212">
        <w:rPr>
          <w:rFonts w:eastAsia="Times New Roman"/>
          <w:b/>
          <w:bCs/>
          <w:sz w:val="24"/>
          <w:szCs w:val="24"/>
        </w:rPr>
        <w:t xml:space="preserve">). </w:t>
      </w:r>
      <w:r w:rsidRPr="00473212">
        <w:rPr>
          <w:rFonts w:eastAsia="Times New Roman"/>
          <w:b/>
          <w:bCs/>
          <w:i/>
          <w:iCs/>
          <w:sz w:val="24"/>
          <w:szCs w:val="24"/>
        </w:rPr>
        <w:t>Constituição da República Federativa do Brasil de 1988</w:t>
      </w:r>
      <w:r w:rsidRPr="00473212">
        <w:rPr>
          <w:rFonts w:eastAsia="Times New Roman"/>
          <w:sz w:val="24"/>
          <w:szCs w:val="24"/>
        </w:rPr>
        <w:t xml:space="preserve">. Diário Oficial da União, Brasília, DF, 5 out. 1988. Disponível em: </w:t>
      </w:r>
      <w:hyperlink r:id="rId9" w:history="1">
        <w:r w:rsidR="008F7D69" w:rsidRPr="00CC2A2F">
          <w:rPr>
            <w:rStyle w:val="Hyperlink"/>
            <w:rFonts w:eastAsia="Times New Roman"/>
            <w:sz w:val="24"/>
            <w:szCs w:val="24"/>
          </w:rPr>
          <w:t>http://www.planalto.gov.br/ccivil_03/constituicao/constituicao.htm</w:t>
        </w:r>
      </w:hyperlink>
      <w:r w:rsidR="008F7D69">
        <w:rPr>
          <w:rFonts w:eastAsia="Times New Roman"/>
          <w:sz w:val="24"/>
          <w:szCs w:val="24"/>
        </w:rPr>
        <w:t xml:space="preserve"> </w:t>
      </w:r>
      <w:r w:rsidRPr="00473212">
        <w:rPr>
          <w:rFonts w:eastAsia="Times New Roman"/>
          <w:sz w:val="24"/>
          <w:szCs w:val="24"/>
        </w:rPr>
        <w:t>. Acesso em: 30 jun. 2025</w:t>
      </w:r>
      <w:r w:rsidR="00050CC8">
        <w:rPr>
          <w:rFonts w:eastAsia="Times New Roman"/>
          <w:sz w:val="24"/>
          <w:szCs w:val="24"/>
        </w:rPr>
        <w:t>.</w:t>
      </w:r>
    </w:p>
    <w:p w14:paraId="1FB79A1E" w14:textId="77777777" w:rsidR="00050CC8" w:rsidRDefault="00050CC8" w:rsidP="00344E46">
      <w:pPr>
        <w:spacing w:line="360" w:lineRule="auto"/>
        <w:jc w:val="both"/>
        <w:rPr>
          <w:rFonts w:eastAsia="Times New Roman"/>
          <w:color w:val="000000"/>
        </w:rPr>
      </w:pPr>
      <w:r>
        <w:rPr>
          <w:rFonts w:eastAsia="Times New Roman"/>
          <w:color w:val="000000"/>
        </w:rPr>
        <w:t xml:space="preserve">BRASIL. </w:t>
      </w:r>
      <w:r>
        <w:rPr>
          <w:rFonts w:eastAsia="Times New Roman"/>
          <w:b/>
          <w:bCs/>
          <w:color w:val="000000"/>
        </w:rPr>
        <w:t>Diretrizes de Atenção à Reabilitação da Pessoa com Transtornos do Espectro Autista (TEA).</w:t>
      </w:r>
      <w:r>
        <w:rPr>
          <w:rFonts w:eastAsia="Times New Roman"/>
          <w:color w:val="000000"/>
        </w:rPr>
        <w:t xml:space="preserve"> Ministério da Saúde, Secretaria de Atenção à Saúde, Departamento de Ações Programáticas Estratégicas. 1° ed. Brasília - DF, 2014.</w:t>
      </w:r>
    </w:p>
    <w:p w14:paraId="06E3479B" w14:textId="3EF2C6F7" w:rsidR="0074497D" w:rsidRDefault="00BE4B9D" w:rsidP="00344E46">
      <w:pPr>
        <w:spacing w:line="360" w:lineRule="auto"/>
        <w:jc w:val="both"/>
        <w:rPr>
          <w:rFonts w:eastAsia="Times New Roman"/>
          <w:color w:val="000000"/>
        </w:rPr>
      </w:pPr>
      <w:r>
        <w:rPr>
          <w:rFonts w:eastAsia="Times New Roman"/>
          <w:color w:val="000000"/>
        </w:rPr>
        <w:t xml:space="preserve">BRASIL. </w:t>
      </w:r>
      <w:r>
        <w:rPr>
          <w:rFonts w:eastAsia="Times New Roman"/>
          <w:b/>
          <w:bCs/>
          <w:color w:val="000000"/>
        </w:rPr>
        <w:t>Lei Nº 8.069 de 13 de julho de 1990.</w:t>
      </w:r>
      <w:r>
        <w:rPr>
          <w:rFonts w:eastAsia="Times New Roman"/>
          <w:color w:val="000000"/>
        </w:rPr>
        <w:t xml:space="preserve"> </w:t>
      </w:r>
      <w:r w:rsidRPr="00E32308">
        <w:rPr>
          <w:rFonts w:eastAsia="Times New Roman"/>
          <w:b/>
          <w:bCs/>
          <w:color w:val="000000"/>
        </w:rPr>
        <w:t>Dispõe sobre o estatuto da criança e do adolescente e dá outras providências.</w:t>
      </w:r>
      <w:r>
        <w:rPr>
          <w:rFonts w:eastAsia="Times New Roman"/>
          <w:color w:val="000000"/>
        </w:rPr>
        <w:t xml:space="preserve"> Brasília, DF, 1990.</w:t>
      </w:r>
      <w:r w:rsidR="001473F4">
        <w:rPr>
          <w:rFonts w:eastAsia="Times New Roman"/>
          <w:color w:val="000000"/>
        </w:rPr>
        <w:t xml:space="preserve"> Disponível em</w:t>
      </w:r>
      <w:r w:rsidR="0002306E">
        <w:rPr>
          <w:rFonts w:eastAsia="Times New Roman"/>
          <w:color w:val="000000"/>
        </w:rPr>
        <w:t>:</w:t>
      </w:r>
      <w:r w:rsidR="00D57B2A">
        <w:rPr>
          <w:rFonts w:eastAsia="Times New Roman"/>
          <w:color w:val="000000"/>
        </w:rPr>
        <w:t xml:space="preserve"> &lt;</w:t>
      </w:r>
      <w:r w:rsidR="0002306E">
        <w:rPr>
          <w:rFonts w:eastAsia="Times New Roman"/>
          <w:color w:val="000000"/>
        </w:rPr>
        <w:t xml:space="preserve"> </w:t>
      </w:r>
      <w:hyperlink r:id="rId10" w:history="1">
        <w:r w:rsidR="00797BC2" w:rsidRPr="00A53D1B">
          <w:rPr>
            <w:rStyle w:val="Hyperlink"/>
            <w:rFonts w:eastAsia="Times New Roman"/>
          </w:rPr>
          <w:t>https://www.planalto.gov.br/ccivil_03/leis/l8069.htm</w:t>
        </w:r>
      </w:hyperlink>
      <w:r w:rsidR="00797BC2">
        <w:rPr>
          <w:rFonts w:eastAsia="Times New Roman"/>
          <w:color w:val="000000"/>
        </w:rPr>
        <w:t xml:space="preserve"> &gt;</w:t>
      </w:r>
      <w:r w:rsidR="0074497D">
        <w:rPr>
          <w:rFonts w:eastAsia="Times New Roman"/>
          <w:color w:val="000000"/>
        </w:rPr>
        <w:t xml:space="preserve"> Acesso em: 15</w:t>
      </w:r>
      <w:r w:rsidR="00B45684">
        <w:rPr>
          <w:rFonts w:eastAsia="Times New Roman"/>
          <w:color w:val="000000"/>
        </w:rPr>
        <w:t xml:space="preserve"> </w:t>
      </w:r>
      <w:proofErr w:type="gramStart"/>
      <w:r w:rsidR="00B45684">
        <w:rPr>
          <w:rFonts w:eastAsia="Times New Roman"/>
          <w:color w:val="000000"/>
        </w:rPr>
        <w:t>Jun</w:t>
      </w:r>
      <w:r w:rsidR="0074497D">
        <w:rPr>
          <w:rFonts w:eastAsia="Times New Roman"/>
          <w:color w:val="000000"/>
        </w:rPr>
        <w:t>.</w:t>
      </w:r>
      <w:proofErr w:type="gramEnd"/>
      <w:r w:rsidR="0074497D">
        <w:rPr>
          <w:rFonts w:eastAsia="Times New Roman"/>
          <w:color w:val="000000"/>
        </w:rPr>
        <w:t xml:space="preserve"> 202</w:t>
      </w:r>
      <w:r w:rsidR="00B45684">
        <w:rPr>
          <w:rFonts w:eastAsia="Times New Roman"/>
          <w:color w:val="000000"/>
        </w:rPr>
        <w:t>5</w:t>
      </w:r>
      <w:r w:rsidR="0074497D">
        <w:rPr>
          <w:rFonts w:eastAsia="Times New Roman"/>
          <w:color w:val="000000"/>
        </w:rPr>
        <w:t>.</w:t>
      </w:r>
    </w:p>
    <w:p w14:paraId="6F33FC7B" w14:textId="78695284" w:rsidR="00473212" w:rsidRDefault="00473212" w:rsidP="00344E46">
      <w:pPr>
        <w:spacing w:line="360" w:lineRule="auto"/>
        <w:jc w:val="both"/>
        <w:rPr>
          <w:rFonts w:eastAsia="Times New Roman"/>
          <w:bCs/>
          <w:sz w:val="24"/>
          <w:szCs w:val="24"/>
        </w:rPr>
      </w:pPr>
      <w:r w:rsidRPr="00473212">
        <w:rPr>
          <w:rFonts w:eastAsia="Times New Roman"/>
          <w:sz w:val="24"/>
          <w:szCs w:val="24"/>
        </w:rPr>
        <w:t xml:space="preserve">BRASIL. </w:t>
      </w:r>
      <w:r w:rsidRPr="00473212">
        <w:rPr>
          <w:rFonts w:eastAsia="Times New Roman"/>
          <w:b/>
          <w:bCs/>
          <w:sz w:val="24"/>
          <w:szCs w:val="24"/>
        </w:rPr>
        <w:t>Lei n. 8.662, de 7 de junho de 1993.</w:t>
      </w:r>
      <w:r w:rsidRPr="00473212">
        <w:rPr>
          <w:rFonts w:eastAsia="Times New Roman"/>
          <w:sz w:val="24"/>
          <w:szCs w:val="24"/>
        </w:rPr>
        <w:t xml:space="preserve"> </w:t>
      </w:r>
      <w:r w:rsidRPr="003F1BAE">
        <w:rPr>
          <w:rFonts w:eastAsia="Times New Roman"/>
          <w:b/>
          <w:bCs/>
          <w:sz w:val="24"/>
          <w:szCs w:val="24"/>
        </w:rPr>
        <w:t>Dispõe sobre a profissão de Assistente Social e dá outras providências.</w:t>
      </w:r>
      <w:r w:rsidRPr="00473212">
        <w:rPr>
          <w:rFonts w:eastAsia="Times New Roman"/>
          <w:sz w:val="24"/>
          <w:szCs w:val="24"/>
        </w:rPr>
        <w:t xml:space="preserve"> </w:t>
      </w:r>
      <w:r w:rsidRPr="00473212">
        <w:rPr>
          <w:rFonts w:eastAsia="Times New Roman"/>
          <w:i/>
          <w:iCs/>
          <w:sz w:val="24"/>
          <w:szCs w:val="24"/>
        </w:rPr>
        <w:t>Diário Oficial da União</w:t>
      </w:r>
      <w:r w:rsidRPr="00473212">
        <w:rPr>
          <w:rFonts w:eastAsia="Times New Roman"/>
          <w:sz w:val="24"/>
          <w:szCs w:val="24"/>
        </w:rPr>
        <w:t xml:space="preserve">, Poder </w:t>
      </w:r>
      <w:r w:rsidRPr="00473212">
        <w:rPr>
          <w:rFonts w:eastAsia="Times New Roman"/>
          <w:bCs/>
          <w:sz w:val="24"/>
          <w:szCs w:val="24"/>
        </w:rPr>
        <w:t xml:space="preserve">Legislativo, Brasília, DF, 8 jun. 1993. Disponível em: </w:t>
      </w:r>
      <w:hyperlink r:id="rId11" w:history="1">
        <w:r w:rsidR="005C6F43" w:rsidRPr="00CC2A2F">
          <w:rPr>
            <w:rStyle w:val="Hyperlink"/>
            <w:rFonts w:eastAsia="Times New Roman"/>
            <w:bCs/>
            <w:sz w:val="24"/>
            <w:szCs w:val="24"/>
          </w:rPr>
          <w:t>http://www.planalto.gov.br/ccivil_03/leis/l8662.htm</w:t>
        </w:r>
      </w:hyperlink>
      <w:r w:rsidRPr="00473212">
        <w:rPr>
          <w:rFonts w:eastAsia="Times New Roman"/>
          <w:bCs/>
          <w:sz w:val="24"/>
          <w:szCs w:val="24"/>
        </w:rPr>
        <w:t>.</w:t>
      </w:r>
      <w:r w:rsidR="005C6F43">
        <w:rPr>
          <w:rFonts w:eastAsia="Times New Roman"/>
          <w:bCs/>
          <w:sz w:val="24"/>
          <w:szCs w:val="24"/>
        </w:rPr>
        <w:t xml:space="preserve"> </w:t>
      </w:r>
      <w:r w:rsidRPr="00473212">
        <w:rPr>
          <w:rFonts w:eastAsia="Times New Roman"/>
          <w:bCs/>
          <w:sz w:val="24"/>
          <w:szCs w:val="24"/>
        </w:rPr>
        <w:t>Acesso em: 30 jun. 2025.</w:t>
      </w:r>
    </w:p>
    <w:p w14:paraId="5B57A617" w14:textId="77777777" w:rsidR="00287F05" w:rsidRDefault="00A90020" w:rsidP="00287F05">
      <w:pPr>
        <w:spacing w:line="360" w:lineRule="auto"/>
        <w:jc w:val="both"/>
        <w:rPr>
          <w:rFonts w:eastAsia="Times New Roman"/>
          <w:bCs/>
          <w:sz w:val="24"/>
          <w:szCs w:val="24"/>
        </w:rPr>
      </w:pPr>
      <w:r>
        <w:rPr>
          <w:rFonts w:eastAsia="Times New Roman"/>
          <w:bCs/>
          <w:sz w:val="24"/>
          <w:szCs w:val="24"/>
        </w:rPr>
        <w:t xml:space="preserve">BRASIL. </w:t>
      </w:r>
      <w:r w:rsidRPr="00A90020">
        <w:rPr>
          <w:rFonts w:eastAsia="Times New Roman"/>
          <w:b/>
          <w:sz w:val="24"/>
          <w:szCs w:val="24"/>
        </w:rPr>
        <w:t>Lei nº 8.742, de 7 de dezembro de 1993.</w:t>
      </w:r>
      <w:r>
        <w:rPr>
          <w:rFonts w:eastAsia="Times New Roman"/>
          <w:bCs/>
          <w:sz w:val="24"/>
          <w:szCs w:val="24"/>
        </w:rPr>
        <w:t xml:space="preserve"> </w:t>
      </w:r>
      <w:r w:rsidRPr="007A694E">
        <w:rPr>
          <w:rFonts w:eastAsia="Times New Roman"/>
          <w:b/>
          <w:sz w:val="24"/>
          <w:szCs w:val="24"/>
        </w:rPr>
        <w:t>Dispõe sobre a organização da Assistência Social e dá outras providências.</w:t>
      </w:r>
      <w:r>
        <w:rPr>
          <w:rFonts w:eastAsia="Times New Roman"/>
          <w:bCs/>
          <w:sz w:val="24"/>
          <w:szCs w:val="24"/>
        </w:rPr>
        <w:t xml:space="preserve"> Diário Oficial da União, Brasília, DF, 8 dez. 1993. Disponível em: </w:t>
      </w:r>
      <w:hyperlink r:id="rId12" w:history="1">
        <w:r w:rsidRPr="00CC2A2F">
          <w:rPr>
            <w:rStyle w:val="Hyperlink"/>
            <w:rFonts w:eastAsia="Times New Roman"/>
            <w:bCs/>
            <w:sz w:val="24"/>
            <w:szCs w:val="24"/>
          </w:rPr>
          <w:t>https://www.planalto.gov.br/ccivil_03/leis/l8742.htm</w:t>
        </w:r>
      </w:hyperlink>
      <w:r>
        <w:rPr>
          <w:rFonts w:eastAsia="Times New Roman"/>
          <w:bCs/>
          <w:sz w:val="24"/>
          <w:szCs w:val="24"/>
        </w:rPr>
        <w:t>. Acesso em: 30 jun. 2025.</w:t>
      </w:r>
    </w:p>
    <w:p w14:paraId="2E40EC1E" w14:textId="77777777" w:rsidR="00287F05" w:rsidRDefault="00473212" w:rsidP="00287F05">
      <w:pPr>
        <w:spacing w:line="360" w:lineRule="auto"/>
        <w:jc w:val="both"/>
        <w:rPr>
          <w:rFonts w:eastAsia="Times New Roman"/>
          <w:bCs/>
          <w:sz w:val="24"/>
          <w:szCs w:val="24"/>
        </w:rPr>
      </w:pPr>
      <w:r w:rsidRPr="00473212">
        <w:rPr>
          <w:rFonts w:eastAsia="Calibri"/>
          <w:sz w:val="24"/>
          <w:szCs w:val="24"/>
        </w:rPr>
        <w:t>BRASIL</w:t>
      </w:r>
      <w:r w:rsidRPr="00473212">
        <w:rPr>
          <w:rFonts w:eastAsia="Calibri"/>
          <w:b/>
          <w:bCs/>
          <w:sz w:val="24"/>
          <w:szCs w:val="24"/>
        </w:rPr>
        <w:t>.</w:t>
      </w:r>
      <w:r w:rsidRPr="00473212">
        <w:rPr>
          <w:rFonts w:eastAsia="Calibri"/>
          <w:sz w:val="24"/>
          <w:szCs w:val="24"/>
        </w:rPr>
        <w:t xml:space="preserve"> </w:t>
      </w:r>
      <w:r w:rsidRPr="007A694E">
        <w:rPr>
          <w:rFonts w:eastAsia="Calibri"/>
          <w:b/>
          <w:bCs/>
          <w:color w:val="000000" w:themeColor="text1"/>
          <w:sz w:val="24"/>
          <w:szCs w:val="24"/>
        </w:rPr>
        <w:t xml:space="preserve">Lei nº 12.764, de 27 de dezembro de 2012. Institui a Política Nacional de Proteção dos Direitos da Pessoa com Transtorno do Espectro Autista e estabelece diretrizes para sua consecução. </w:t>
      </w:r>
      <w:r w:rsidRPr="00473212">
        <w:rPr>
          <w:rFonts w:eastAsia="Calibri"/>
          <w:sz w:val="24"/>
          <w:szCs w:val="24"/>
        </w:rPr>
        <w:t xml:space="preserve">Diário Oficial da União, Brasília, DF, 28 dez. 2012. Disponível em: </w:t>
      </w:r>
      <w:hyperlink r:id="rId13" w:history="1">
        <w:r w:rsidR="00190526" w:rsidRPr="00CC2A2F">
          <w:rPr>
            <w:rStyle w:val="Hyperlink"/>
            <w:rFonts w:eastAsia="Calibri"/>
            <w:sz w:val="24"/>
            <w:szCs w:val="24"/>
          </w:rPr>
          <w:t>https://www.planalto.gov.br/ccivil_03/leis/l12764.htm</w:t>
        </w:r>
      </w:hyperlink>
      <w:r w:rsidRPr="00473212">
        <w:rPr>
          <w:rFonts w:eastAsia="Calibri"/>
          <w:sz w:val="24"/>
          <w:szCs w:val="24"/>
        </w:rPr>
        <w:t>.</w:t>
      </w:r>
      <w:r w:rsidR="00190526">
        <w:rPr>
          <w:rFonts w:eastAsia="Calibri"/>
          <w:sz w:val="24"/>
          <w:szCs w:val="24"/>
        </w:rPr>
        <w:t xml:space="preserve"> </w:t>
      </w:r>
      <w:r w:rsidRPr="00473212">
        <w:rPr>
          <w:rFonts w:eastAsia="Calibri"/>
          <w:sz w:val="24"/>
          <w:szCs w:val="24"/>
        </w:rPr>
        <w:t>Acesso em: 30 jun. 2025.</w:t>
      </w:r>
    </w:p>
    <w:p w14:paraId="6A11B7B4" w14:textId="26C35281" w:rsidR="00AF46A0" w:rsidRPr="00287F05" w:rsidRDefault="00FF47B6" w:rsidP="00287F05">
      <w:pPr>
        <w:spacing w:line="360" w:lineRule="auto"/>
        <w:jc w:val="both"/>
        <w:rPr>
          <w:rFonts w:eastAsia="Times New Roman"/>
          <w:bCs/>
          <w:sz w:val="24"/>
          <w:szCs w:val="24"/>
        </w:rPr>
      </w:pPr>
      <w:r>
        <w:rPr>
          <w:rFonts w:eastAsia="Calibri"/>
          <w:sz w:val="24"/>
          <w:szCs w:val="24"/>
        </w:rPr>
        <w:lastRenderedPageBreak/>
        <w:t xml:space="preserve">BRASIL. </w:t>
      </w:r>
      <w:r w:rsidRPr="00A90020">
        <w:rPr>
          <w:rFonts w:eastAsia="Calibri"/>
          <w:b/>
          <w:bCs/>
          <w:sz w:val="24"/>
          <w:szCs w:val="24"/>
        </w:rPr>
        <w:t>Lei Nº 13.146 de 06 de julho de 2015.</w:t>
      </w:r>
      <w:r>
        <w:rPr>
          <w:rFonts w:eastAsia="Calibri"/>
          <w:sz w:val="24"/>
          <w:szCs w:val="24"/>
        </w:rPr>
        <w:t xml:space="preserve"> Institui a Lei brasileira de inclusão da pessoa com deficiência (estatuto da pessoa com deficiência).  Brasília, DF, 2015.</w:t>
      </w:r>
      <w:r w:rsidR="00AF46A0">
        <w:rPr>
          <w:rFonts w:eastAsia="Calibri"/>
          <w:sz w:val="24"/>
          <w:szCs w:val="24"/>
        </w:rPr>
        <w:t xml:space="preserve"> Disponível em: </w:t>
      </w:r>
      <w:hyperlink r:id="rId14" w:history="1">
        <w:r w:rsidR="00AF46A0" w:rsidRPr="00A53D1B">
          <w:rPr>
            <w:rStyle w:val="Hyperlink"/>
            <w:rFonts w:eastAsia="Calibri"/>
            <w:sz w:val="24"/>
            <w:szCs w:val="24"/>
          </w:rPr>
          <w:t>https://www.planalto.gov.br/ccivil_03/_ato2015-2018/2015/lei/l13146.htm</w:t>
        </w:r>
      </w:hyperlink>
      <w:r w:rsidR="00FA0D76">
        <w:rPr>
          <w:rFonts w:eastAsia="Calibri"/>
          <w:sz w:val="24"/>
          <w:szCs w:val="24"/>
        </w:rPr>
        <w:t>.</w:t>
      </w:r>
      <w:r>
        <w:rPr>
          <w:rFonts w:eastAsia="Calibri"/>
          <w:sz w:val="24"/>
          <w:szCs w:val="24"/>
        </w:rPr>
        <w:t xml:space="preserve"> </w:t>
      </w:r>
      <w:r w:rsidR="00AF46A0">
        <w:rPr>
          <w:rFonts w:eastAsia="Calibri"/>
          <w:sz w:val="24"/>
          <w:szCs w:val="24"/>
        </w:rPr>
        <w:t>Acesso em: 30 jun. 2025.</w:t>
      </w:r>
    </w:p>
    <w:p w14:paraId="2A24A1AF" w14:textId="495557AF" w:rsidR="008E56F4" w:rsidRPr="00344E46" w:rsidRDefault="00E82764" w:rsidP="00344E46">
      <w:pPr>
        <w:spacing w:after="200" w:line="360" w:lineRule="auto"/>
        <w:jc w:val="both"/>
        <w:rPr>
          <w:rFonts w:eastAsia="Times New Roman"/>
          <w:color w:val="000000"/>
          <w:sz w:val="24"/>
          <w:szCs w:val="24"/>
        </w:rPr>
      </w:pPr>
      <w:r>
        <w:rPr>
          <w:rFonts w:eastAsia="Times New Roman"/>
          <w:color w:val="000000"/>
        </w:rPr>
        <w:t xml:space="preserve">BRASIL. </w:t>
      </w:r>
      <w:r>
        <w:rPr>
          <w:rFonts w:eastAsia="Times New Roman"/>
          <w:b/>
          <w:bCs/>
          <w:color w:val="000000"/>
        </w:rPr>
        <w:t>Transtorno do Espectro Autista – TEA</w:t>
      </w:r>
      <w:r>
        <w:rPr>
          <w:rFonts w:eastAsia="Times New Roman"/>
          <w:color w:val="000000"/>
        </w:rPr>
        <w:t xml:space="preserve"> </w:t>
      </w:r>
      <w:r>
        <w:rPr>
          <w:rFonts w:eastAsia="Times New Roman"/>
          <w:b/>
          <w:bCs/>
          <w:color w:val="000000"/>
        </w:rPr>
        <w:t>(autismo)</w:t>
      </w:r>
      <w:r>
        <w:rPr>
          <w:rFonts w:eastAsia="Times New Roman"/>
          <w:color w:val="000000"/>
        </w:rPr>
        <w:t>. Biblioteca Virtual em Saúde: Ministério da Saúde, 2023. Disponível em:&lt;</w:t>
      </w:r>
      <w:hyperlink r:id="rId15" w:history="1">
        <w:r w:rsidRPr="00344E46">
          <w:rPr>
            <w:rStyle w:val="Hyperlink"/>
            <w:rFonts w:eastAsia="Times New Roman"/>
            <w:color w:val="1155CC"/>
            <w:sz w:val="24"/>
            <w:szCs w:val="24"/>
          </w:rPr>
          <w:t>https://bvsms.saude.gov.br/transtorno-do-espectro-autista-tea-autismo/</w:t>
        </w:r>
      </w:hyperlink>
      <w:r w:rsidRPr="00344E46">
        <w:rPr>
          <w:rFonts w:eastAsia="Times New Roman"/>
          <w:color w:val="000000"/>
          <w:sz w:val="24"/>
          <w:szCs w:val="24"/>
        </w:rPr>
        <w:t>&gt;. Acesso em: 10 de Junho de 2025.</w:t>
      </w:r>
    </w:p>
    <w:p w14:paraId="013F18EB" w14:textId="574F4DBE" w:rsidR="008E56F4" w:rsidRPr="00344E46" w:rsidRDefault="008E56F4" w:rsidP="00344E46">
      <w:pPr>
        <w:spacing w:after="200" w:line="360" w:lineRule="auto"/>
        <w:jc w:val="both"/>
        <w:rPr>
          <w:rFonts w:eastAsia="Times New Roman"/>
          <w:color w:val="000000"/>
          <w:sz w:val="24"/>
          <w:szCs w:val="24"/>
        </w:rPr>
      </w:pPr>
      <w:r w:rsidRPr="00344E46">
        <w:rPr>
          <w:rFonts w:eastAsia="Calibri"/>
          <w:sz w:val="24"/>
          <w:szCs w:val="24"/>
        </w:rPr>
        <w:t xml:space="preserve">BRASIL. </w:t>
      </w:r>
      <w:r w:rsidRPr="00344E46">
        <w:rPr>
          <w:rFonts w:eastAsia="Calibri"/>
          <w:b/>
          <w:bCs/>
          <w:sz w:val="24"/>
          <w:szCs w:val="24"/>
        </w:rPr>
        <w:t>Lei Nº 13.977 de 08 de janeiro de 2020. Altera a Lei nº 12.764, de 27 de dezembro de 2012 (Lei Berenice Piana), e a Lei nº 9.265, de 12 de fevereiro de 1996, para instituir a Carteira de Identificação da Pessoa com Transtorno do Espectro Autista (</w:t>
      </w:r>
      <w:proofErr w:type="spellStart"/>
      <w:r w:rsidRPr="00344E46">
        <w:rPr>
          <w:rFonts w:eastAsia="Calibri"/>
          <w:b/>
          <w:bCs/>
          <w:sz w:val="24"/>
          <w:szCs w:val="24"/>
        </w:rPr>
        <w:t>Ciptea</w:t>
      </w:r>
      <w:proofErr w:type="spellEnd"/>
      <w:r w:rsidRPr="00344E46">
        <w:rPr>
          <w:rFonts w:eastAsia="Calibri"/>
          <w:b/>
          <w:bCs/>
          <w:sz w:val="24"/>
          <w:szCs w:val="24"/>
        </w:rPr>
        <w:t xml:space="preserve">), e dá outras providências. </w:t>
      </w:r>
      <w:r w:rsidRPr="00344E46">
        <w:rPr>
          <w:rFonts w:eastAsia="Calibri"/>
          <w:sz w:val="24"/>
          <w:szCs w:val="24"/>
        </w:rPr>
        <w:t>Brasília, DF, 2020.</w:t>
      </w:r>
      <w:r w:rsidR="00CA2245" w:rsidRPr="00344E46">
        <w:rPr>
          <w:rFonts w:eastAsia="Calibri"/>
          <w:sz w:val="24"/>
          <w:szCs w:val="24"/>
        </w:rPr>
        <w:t xml:space="preserve"> Disponível em: </w:t>
      </w:r>
      <w:r w:rsidR="00614F09" w:rsidRPr="00344E46">
        <w:rPr>
          <w:rFonts w:eastAsia="Calibri"/>
          <w:sz w:val="24"/>
          <w:szCs w:val="24"/>
        </w:rPr>
        <w:t xml:space="preserve">&lt; </w:t>
      </w:r>
      <w:hyperlink r:id="rId16" w:history="1">
        <w:r w:rsidR="00614F09" w:rsidRPr="00344E46">
          <w:rPr>
            <w:rStyle w:val="Hyperlink"/>
            <w:rFonts w:eastAsia="Calibri"/>
            <w:sz w:val="24"/>
            <w:szCs w:val="24"/>
          </w:rPr>
          <w:t>https://www.planalto.gov.br/ccivil_03/_ato2019-2022/2020/lei/l13977.htm</w:t>
        </w:r>
      </w:hyperlink>
      <w:r w:rsidR="00CA2245" w:rsidRPr="00344E46">
        <w:rPr>
          <w:rFonts w:eastAsia="Calibri"/>
          <w:sz w:val="24"/>
          <w:szCs w:val="24"/>
        </w:rPr>
        <w:t xml:space="preserve"> &gt;</w:t>
      </w:r>
      <w:r w:rsidR="00614F09" w:rsidRPr="00344E46">
        <w:rPr>
          <w:rFonts w:eastAsia="Calibri"/>
          <w:sz w:val="24"/>
          <w:szCs w:val="24"/>
        </w:rPr>
        <w:t xml:space="preserve"> </w:t>
      </w:r>
      <w:r w:rsidR="00614F09" w:rsidRPr="00344E46">
        <w:rPr>
          <w:rFonts w:eastAsia="Times New Roman"/>
          <w:color w:val="000000"/>
          <w:sz w:val="24"/>
          <w:szCs w:val="24"/>
        </w:rPr>
        <w:t>Acesso em: 10 de Junho de 2025.</w:t>
      </w:r>
    </w:p>
    <w:p w14:paraId="780BA4FD" w14:textId="77777777" w:rsidR="00344E46" w:rsidRDefault="00473212" w:rsidP="00344E46">
      <w:pPr>
        <w:spacing w:after="200" w:line="360" w:lineRule="auto"/>
        <w:jc w:val="both"/>
        <w:rPr>
          <w:rFonts w:eastAsia="Calibri"/>
          <w:sz w:val="24"/>
          <w:szCs w:val="24"/>
        </w:rPr>
      </w:pPr>
      <w:r w:rsidRPr="00344E46">
        <w:rPr>
          <w:rFonts w:eastAsia="Calibri"/>
          <w:sz w:val="24"/>
          <w:szCs w:val="24"/>
        </w:rPr>
        <w:t>BRAVO, Maria Inês Souza; MATOS, Maurílio Castro de</w:t>
      </w:r>
      <w:r w:rsidRPr="00344E46">
        <w:rPr>
          <w:rFonts w:eastAsia="Calibri"/>
          <w:b/>
          <w:bCs/>
          <w:sz w:val="24"/>
          <w:szCs w:val="24"/>
        </w:rPr>
        <w:t>.</w:t>
      </w:r>
      <w:r w:rsidRPr="00344E46">
        <w:rPr>
          <w:rFonts w:eastAsia="Calibri"/>
          <w:sz w:val="24"/>
          <w:szCs w:val="24"/>
        </w:rPr>
        <w:t xml:space="preserve"> </w:t>
      </w:r>
      <w:r w:rsidRPr="00344E46">
        <w:rPr>
          <w:rFonts w:eastAsia="Calibri"/>
          <w:b/>
          <w:bCs/>
          <w:sz w:val="24"/>
          <w:szCs w:val="24"/>
        </w:rPr>
        <w:t>Reforma Sanitária e Projeto Ético</w:t>
      </w:r>
      <w:r w:rsidRPr="00344E46">
        <w:rPr>
          <w:rFonts w:eastAsia="Calibri"/>
          <w:b/>
          <w:bCs/>
          <w:sz w:val="24"/>
          <w:szCs w:val="24"/>
        </w:rPr>
        <w:noBreakHyphen/>
        <w:t>Político do Serviço Social: elementos para o debate</w:t>
      </w:r>
      <w:r w:rsidRPr="00344E46">
        <w:rPr>
          <w:rFonts w:eastAsia="Calibri"/>
          <w:sz w:val="24"/>
          <w:szCs w:val="24"/>
        </w:rPr>
        <w:t xml:space="preserve">. In: BRAVO, Maria Inês Souza et al. (Org.). </w:t>
      </w:r>
      <w:r w:rsidRPr="00344E46">
        <w:rPr>
          <w:rFonts w:eastAsia="Calibri"/>
          <w:i/>
          <w:iCs/>
          <w:sz w:val="24"/>
          <w:szCs w:val="24"/>
        </w:rPr>
        <w:t>Saúde e Serviço Social</w:t>
      </w:r>
      <w:r w:rsidRPr="00344E46">
        <w:rPr>
          <w:rFonts w:eastAsia="Calibri"/>
          <w:sz w:val="24"/>
          <w:szCs w:val="24"/>
        </w:rPr>
        <w:t>. São Paulo: Cortez; Rio de Janeiro: UERJ, 2004. p. 25–47.</w:t>
      </w:r>
    </w:p>
    <w:p w14:paraId="7E626FA8" w14:textId="77777777" w:rsidR="00287F05" w:rsidRDefault="00473212" w:rsidP="00344E46">
      <w:pPr>
        <w:spacing w:after="200" w:line="360" w:lineRule="auto"/>
        <w:jc w:val="both"/>
        <w:rPr>
          <w:sz w:val="24"/>
          <w:szCs w:val="24"/>
        </w:rPr>
      </w:pPr>
      <w:r w:rsidRPr="00344E46">
        <w:rPr>
          <w:sz w:val="24"/>
          <w:szCs w:val="24"/>
        </w:rPr>
        <w:t xml:space="preserve">IAMAMOTO, Marilda Villela. </w:t>
      </w:r>
      <w:r w:rsidRPr="00344E46">
        <w:rPr>
          <w:b/>
          <w:bCs/>
          <w:sz w:val="24"/>
          <w:szCs w:val="24"/>
        </w:rPr>
        <w:t>Serviço Social em tempo de capital fetiche: capital financeiro, trabalho e questão social</w:t>
      </w:r>
      <w:r w:rsidRPr="00344E46">
        <w:rPr>
          <w:sz w:val="24"/>
          <w:szCs w:val="24"/>
        </w:rPr>
        <w:t>. 4. ed. São Paulo: Cortez, 2010. p. 120</w:t>
      </w:r>
    </w:p>
    <w:p w14:paraId="31130F46" w14:textId="4206150D" w:rsidR="00344E46" w:rsidRPr="00344E46" w:rsidRDefault="00473212" w:rsidP="00344E46">
      <w:pPr>
        <w:spacing w:after="200" w:line="360" w:lineRule="auto"/>
        <w:jc w:val="both"/>
        <w:rPr>
          <w:rFonts w:eastAsia="Calibri"/>
          <w:sz w:val="24"/>
          <w:szCs w:val="24"/>
        </w:rPr>
      </w:pPr>
      <w:r w:rsidRPr="00344E46">
        <w:rPr>
          <w:rFonts w:eastAsia="Calibri"/>
          <w:sz w:val="24"/>
          <w:szCs w:val="24"/>
        </w:rPr>
        <w:t>MATOS, Maurílio Castro de</w:t>
      </w:r>
      <w:r w:rsidRPr="00344E46">
        <w:rPr>
          <w:rFonts w:eastAsia="Calibri"/>
          <w:b/>
          <w:bCs/>
          <w:sz w:val="24"/>
          <w:szCs w:val="24"/>
        </w:rPr>
        <w:t>.</w:t>
      </w:r>
      <w:r w:rsidRPr="00344E46">
        <w:rPr>
          <w:rFonts w:eastAsia="Calibri"/>
          <w:sz w:val="24"/>
          <w:szCs w:val="24"/>
        </w:rPr>
        <w:t xml:space="preserve"> (2003). </w:t>
      </w:r>
      <w:r w:rsidRPr="00344E46">
        <w:rPr>
          <w:rFonts w:eastAsia="Calibri"/>
          <w:b/>
          <w:bCs/>
          <w:i/>
          <w:iCs/>
          <w:sz w:val="24"/>
          <w:szCs w:val="24"/>
        </w:rPr>
        <w:t>Parâmetros para atuação de assistentes sociais na saúde</w:t>
      </w:r>
      <w:r w:rsidRPr="00344E46">
        <w:rPr>
          <w:rFonts w:eastAsia="Calibri"/>
          <w:b/>
          <w:bCs/>
          <w:sz w:val="24"/>
          <w:szCs w:val="24"/>
        </w:rPr>
        <w:t>. Brasília: CFESS,</w:t>
      </w:r>
      <w:r w:rsidRPr="00344E46">
        <w:rPr>
          <w:rFonts w:eastAsia="Calibri"/>
          <w:sz w:val="24"/>
          <w:szCs w:val="24"/>
        </w:rPr>
        <w:t xml:space="preserve"> 2009 (compilação com menção ao trabalho de Matos de 2003). p. 14.</w:t>
      </w:r>
    </w:p>
    <w:p w14:paraId="4BE1E1F1" w14:textId="02D14364" w:rsidR="00473212" w:rsidRPr="00344E46" w:rsidRDefault="00473212" w:rsidP="00344E46">
      <w:pPr>
        <w:spacing w:after="200" w:line="360" w:lineRule="auto"/>
        <w:jc w:val="both"/>
        <w:rPr>
          <w:rFonts w:eastAsia="Calibri"/>
          <w:sz w:val="24"/>
          <w:szCs w:val="24"/>
        </w:rPr>
      </w:pPr>
      <w:r w:rsidRPr="00344E46">
        <w:rPr>
          <w:rFonts w:eastAsia="Calibri"/>
          <w:sz w:val="24"/>
          <w:szCs w:val="24"/>
        </w:rPr>
        <w:t xml:space="preserve">OLIVEIRA, Priscilla Sales Mosqueiro de. </w:t>
      </w:r>
      <w:r w:rsidRPr="00344E46">
        <w:rPr>
          <w:rFonts w:eastAsia="Calibri"/>
          <w:b/>
          <w:bCs/>
          <w:sz w:val="24"/>
          <w:szCs w:val="24"/>
        </w:rPr>
        <w:t>A atuação do assistente social na mediação do acesso à educação de qualidade: desafios e perspectivas</w:t>
      </w:r>
      <w:r w:rsidRPr="00344E46">
        <w:rPr>
          <w:rFonts w:eastAsia="Calibri"/>
          <w:sz w:val="24"/>
          <w:szCs w:val="24"/>
        </w:rPr>
        <w:t xml:space="preserve">. </w:t>
      </w:r>
      <w:r w:rsidRPr="00344E46">
        <w:rPr>
          <w:rFonts w:eastAsia="Calibri"/>
          <w:i/>
          <w:iCs/>
          <w:sz w:val="24"/>
          <w:szCs w:val="24"/>
        </w:rPr>
        <w:t>Revista Brasileira de Serviço Social</w:t>
      </w:r>
      <w:r w:rsidRPr="00344E46">
        <w:rPr>
          <w:rFonts w:eastAsia="Calibri"/>
          <w:sz w:val="24"/>
          <w:szCs w:val="24"/>
        </w:rPr>
        <w:t xml:space="preserve">, p. 15, 2024. Disponível em: </w:t>
      </w:r>
      <w:hyperlink r:id="rId17" w:history="1">
        <w:r w:rsidR="00190526" w:rsidRPr="00344E46">
          <w:rPr>
            <w:rStyle w:val="Hyperlink"/>
            <w:rFonts w:eastAsia="Calibri"/>
            <w:sz w:val="24"/>
            <w:szCs w:val="24"/>
          </w:rPr>
          <w:t>https://www.revistabrasileiradeservicosocial.com.br/atuacao-assistente-social-mediação-acesso-educacao-qualidade</w:t>
        </w:r>
      </w:hyperlink>
      <w:r w:rsidRPr="00344E46">
        <w:rPr>
          <w:rFonts w:eastAsia="Calibri"/>
          <w:sz w:val="24"/>
          <w:szCs w:val="24"/>
        </w:rPr>
        <w:t>.</w:t>
      </w:r>
      <w:r w:rsidR="00190526" w:rsidRPr="00344E46">
        <w:rPr>
          <w:rFonts w:eastAsia="Calibri"/>
          <w:sz w:val="24"/>
          <w:szCs w:val="24"/>
        </w:rPr>
        <w:t xml:space="preserve"> </w:t>
      </w:r>
      <w:r w:rsidRPr="00344E46">
        <w:rPr>
          <w:rFonts w:eastAsia="Calibri"/>
          <w:sz w:val="24"/>
          <w:szCs w:val="24"/>
        </w:rPr>
        <w:t>Acesso em: 30 jun. 2025.</w:t>
      </w:r>
    </w:p>
    <w:p w14:paraId="7B2EDF89" w14:textId="342B097B" w:rsidR="00295459" w:rsidRPr="00344E46" w:rsidRDefault="00295459" w:rsidP="00344E46">
      <w:pPr>
        <w:spacing w:after="200" w:line="360" w:lineRule="auto"/>
        <w:jc w:val="both"/>
        <w:rPr>
          <w:rFonts w:eastAsia="Calibri"/>
          <w:sz w:val="24"/>
          <w:szCs w:val="24"/>
        </w:rPr>
      </w:pPr>
      <w:r w:rsidRPr="00344E46">
        <w:rPr>
          <w:rFonts w:eastAsia="Calibri"/>
          <w:sz w:val="24"/>
          <w:szCs w:val="24"/>
        </w:rPr>
        <w:lastRenderedPageBreak/>
        <w:t xml:space="preserve">Organização Pan-Americana da Saúde (OPAS). </w:t>
      </w:r>
      <w:r w:rsidRPr="00344E46">
        <w:rPr>
          <w:rFonts w:eastAsia="Calibri"/>
          <w:b/>
          <w:bCs/>
          <w:sz w:val="24"/>
          <w:szCs w:val="24"/>
        </w:rPr>
        <w:t xml:space="preserve">Transtorno do Espectro Autista. </w:t>
      </w:r>
      <w:r w:rsidRPr="00344E46">
        <w:rPr>
          <w:rFonts w:eastAsia="Calibri"/>
          <w:sz w:val="24"/>
          <w:szCs w:val="24"/>
        </w:rPr>
        <w:t xml:space="preserve">Organização mundial da Saúde/ Região das Américas. Disponível em: </w:t>
      </w:r>
      <w:hyperlink r:id="rId18" w:history="1">
        <w:r w:rsidRPr="00344E46">
          <w:rPr>
            <w:rStyle w:val="Hyperlink"/>
            <w:rFonts w:eastAsia="Calibri"/>
            <w:sz w:val="24"/>
            <w:szCs w:val="24"/>
          </w:rPr>
          <w:t>https://www.paho.org/pt/topicos/transtorno-do-espectro-autista</w:t>
        </w:r>
      </w:hyperlink>
      <w:r w:rsidRPr="00344E46">
        <w:rPr>
          <w:rFonts w:eastAsia="Calibri"/>
          <w:sz w:val="24"/>
          <w:szCs w:val="24"/>
        </w:rPr>
        <w:t>. Acesso em: 10 de Junho de 2025.</w:t>
      </w:r>
    </w:p>
    <w:p w14:paraId="77958F2F" w14:textId="5815BED6" w:rsidR="00825FAB" w:rsidRPr="00344E46" w:rsidRDefault="00825FAB" w:rsidP="00344E46">
      <w:pPr>
        <w:spacing w:after="200" w:line="360" w:lineRule="auto"/>
        <w:jc w:val="both"/>
        <w:rPr>
          <w:rFonts w:eastAsia="Calibri"/>
          <w:sz w:val="24"/>
          <w:szCs w:val="24"/>
        </w:rPr>
      </w:pPr>
      <w:r w:rsidRPr="00344E46">
        <w:rPr>
          <w:rFonts w:eastAsia="Calibri"/>
          <w:sz w:val="24"/>
          <w:szCs w:val="24"/>
        </w:rPr>
        <w:t xml:space="preserve">PARÁ. </w:t>
      </w:r>
      <w:r w:rsidRPr="00344E46">
        <w:rPr>
          <w:rFonts w:eastAsia="Calibri"/>
          <w:b/>
          <w:bCs/>
          <w:sz w:val="24"/>
          <w:szCs w:val="24"/>
        </w:rPr>
        <w:t xml:space="preserve">Coordenação Estadual de Políticas para o Autismo. </w:t>
      </w:r>
      <w:r w:rsidRPr="00344E46">
        <w:rPr>
          <w:rFonts w:eastAsia="Calibri"/>
          <w:sz w:val="24"/>
          <w:szCs w:val="24"/>
        </w:rPr>
        <w:t>Governo do Estado do Pará: Serviço de informação ao cidadão – SIC.PA. Disponível em: &lt;</w:t>
      </w:r>
      <w:hyperlink r:id="rId19" w:history="1">
        <w:r w:rsidRPr="00344E46">
          <w:rPr>
            <w:rStyle w:val="Hyperlink"/>
            <w:rFonts w:eastAsia="Calibri"/>
            <w:sz w:val="24"/>
            <w:szCs w:val="24"/>
          </w:rPr>
          <w:t>http://www.saude.pa.gov.br/a-secretaria/autismo/transtorno-do-espectro-autista-tea/</w:t>
        </w:r>
      </w:hyperlink>
      <w:r w:rsidRPr="00344E46">
        <w:rPr>
          <w:rFonts w:eastAsia="Calibri"/>
          <w:sz w:val="24"/>
          <w:szCs w:val="24"/>
        </w:rPr>
        <w:t>&gt; Acesso em 10 de junho de 2025.</w:t>
      </w:r>
    </w:p>
    <w:p w14:paraId="31B0CF90" w14:textId="77777777" w:rsidR="00344E46" w:rsidRDefault="00473212" w:rsidP="00344E46">
      <w:pPr>
        <w:spacing w:after="200" w:line="360" w:lineRule="auto"/>
        <w:jc w:val="both"/>
        <w:rPr>
          <w:rFonts w:eastAsia="Calibri"/>
          <w:sz w:val="24"/>
          <w:szCs w:val="24"/>
        </w:rPr>
      </w:pPr>
      <w:r w:rsidRPr="00344E46">
        <w:rPr>
          <w:rFonts w:eastAsia="Calibri"/>
          <w:sz w:val="24"/>
          <w:szCs w:val="24"/>
        </w:rPr>
        <w:t xml:space="preserve">SILVA, Clodoaldo Matias da; ALMEIDA, Janderson Gustavo Soares de; OLIVEIRA, Maria das Graças Maciel de; MARTINS, David Wanderson Miranda. </w:t>
      </w:r>
      <w:r w:rsidRPr="00344E46">
        <w:rPr>
          <w:rFonts w:eastAsia="Calibri"/>
          <w:b/>
          <w:bCs/>
          <w:sz w:val="24"/>
          <w:szCs w:val="24"/>
        </w:rPr>
        <w:t>O lúdico e sua contribuição na aprendizagem de crianças com Transtorno do Espectro Autista.</w:t>
      </w:r>
      <w:r w:rsidRPr="00344E46">
        <w:rPr>
          <w:rFonts w:eastAsia="Calibri"/>
          <w:sz w:val="24"/>
          <w:szCs w:val="24"/>
        </w:rPr>
        <w:t> Marupiara – Revista Científica do CESP/UEA, [S.l.], n. 13, p. 52 – 71, ago. 2024.</w:t>
      </w:r>
      <w:r w:rsidR="00CC38C2" w:rsidRPr="00344E46">
        <w:rPr>
          <w:rFonts w:eastAsia="Calibri"/>
          <w:sz w:val="24"/>
          <w:szCs w:val="24"/>
        </w:rPr>
        <w:t xml:space="preserve"> </w:t>
      </w:r>
    </w:p>
    <w:p w14:paraId="0291669A" w14:textId="775FCFB8" w:rsidR="007A1AF5" w:rsidRPr="00344E46" w:rsidRDefault="00295D92" w:rsidP="00344E46">
      <w:pPr>
        <w:spacing w:after="200" w:line="360" w:lineRule="auto"/>
        <w:jc w:val="both"/>
        <w:rPr>
          <w:rFonts w:eastAsia="Calibri"/>
          <w:sz w:val="24"/>
          <w:szCs w:val="24"/>
        </w:rPr>
      </w:pPr>
      <w:r w:rsidRPr="00344E46">
        <w:rPr>
          <w:rFonts w:eastAsia="Calibri"/>
          <w:sz w:val="24"/>
          <w:szCs w:val="24"/>
        </w:rPr>
        <w:t>T</w:t>
      </w:r>
      <w:r w:rsidR="00CC38C2" w:rsidRPr="00344E46">
        <w:rPr>
          <w:rFonts w:eastAsia="Times New Roman"/>
          <w:color w:val="000000"/>
          <w:sz w:val="24"/>
          <w:szCs w:val="24"/>
        </w:rPr>
        <w:t xml:space="preserve">EIXEIRA, Edilson. </w:t>
      </w:r>
      <w:r w:rsidR="00CC38C2" w:rsidRPr="00344E46">
        <w:rPr>
          <w:rFonts w:eastAsia="Times New Roman"/>
          <w:b/>
          <w:bCs/>
          <w:color w:val="000000"/>
          <w:sz w:val="24"/>
          <w:szCs w:val="24"/>
        </w:rPr>
        <w:t xml:space="preserve">Nova lei estadual torna obrigatório símbolo mundial do autismo em órgãos públicos. </w:t>
      </w:r>
      <w:r w:rsidR="00CC38C2" w:rsidRPr="00344E46">
        <w:rPr>
          <w:rFonts w:eastAsia="Times New Roman"/>
          <w:color w:val="000000"/>
          <w:sz w:val="24"/>
          <w:szCs w:val="24"/>
        </w:rPr>
        <w:t>Conselho Nacional de Secretários de Saúde (CONASS). Publicado em 9 de maio de 2023. Disponível em: &lt;</w:t>
      </w:r>
      <w:hyperlink r:id="rId20" w:history="1">
        <w:r w:rsidR="00CC38C2" w:rsidRPr="00344E46">
          <w:rPr>
            <w:rStyle w:val="Hyperlink"/>
            <w:rFonts w:eastAsia="Times New Roman"/>
            <w:color w:val="1155CC"/>
            <w:sz w:val="24"/>
            <w:szCs w:val="24"/>
          </w:rPr>
          <w:t>https://www.conass.org.br/nova-lei-estadual-torna-obrigatorio-simbolo-mundial-do-autismo-em-orgaos-publicos/</w:t>
        </w:r>
      </w:hyperlink>
      <w:r w:rsidR="00CC38C2" w:rsidRPr="00344E46">
        <w:rPr>
          <w:rFonts w:eastAsia="Times New Roman"/>
          <w:color w:val="000000"/>
          <w:sz w:val="24"/>
          <w:szCs w:val="24"/>
        </w:rPr>
        <w:t xml:space="preserve"> &gt; Acesso em: 15 de junho de 2025</w:t>
      </w:r>
      <w:r w:rsidR="00203748" w:rsidRPr="00344E46">
        <w:rPr>
          <w:rFonts w:eastAsia="Times New Roman"/>
          <w:color w:val="000000"/>
          <w:sz w:val="24"/>
          <w:szCs w:val="24"/>
        </w:rPr>
        <w:t>.</w:t>
      </w:r>
    </w:p>
    <w:p w14:paraId="00DEAD4C" w14:textId="7B54E2E5" w:rsidR="00473212" w:rsidRPr="00344E46" w:rsidRDefault="00473212" w:rsidP="00344E46">
      <w:pPr>
        <w:spacing w:after="200" w:line="360" w:lineRule="auto"/>
        <w:jc w:val="both"/>
        <w:rPr>
          <w:rFonts w:eastAsia="Calibri"/>
          <w:sz w:val="24"/>
          <w:szCs w:val="24"/>
        </w:rPr>
      </w:pPr>
      <w:r w:rsidRPr="00344E46">
        <w:rPr>
          <w:rFonts w:eastAsia="Calibri"/>
          <w:sz w:val="24"/>
          <w:szCs w:val="24"/>
        </w:rPr>
        <w:t xml:space="preserve">VARGAS, S. C., DUTRA, R. R., Barcelos, L. F. H., Possuelo, L. G., &amp; KRUG, S. B. F. (2016). </w:t>
      </w:r>
      <w:r w:rsidRPr="00344E46">
        <w:rPr>
          <w:rFonts w:eastAsia="Calibri"/>
          <w:b/>
          <w:bCs/>
          <w:sz w:val="24"/>
          <w:szCs w:val="24"/>
        </w:rPr>
        <w:t>Assistência à saúde da pessoa com deficiência nos serviços públicos de saúde: um estudo bibliográfico</w:t>
      </w:r>
      <w:r w:rsidRPr="00344E46">
        <w:rPr>
          <w:rFonts w:eastAsia="Calibri"/>
          <w:sz w:val="24"/>
          <w:szCs w:val="24"/>
        </w:rPr>
        <w:t>. Revista de Epidemiologia e Controle de Infecção, 6,224-234;</w:t>
      </w:r>
    </w:p>
    <w:sectPr w:rsidR="00473212" w:rsidRPr="00344E46" w:rsidSect="00CA020E">
      <w:headerReference w:type="even" r:id="rId21"/>
      <w:headerReference w:type="default" r:id="rId22"/>
      <w:footerReference w:type="even" r:id="rId23"/>
      <w:footerReference w:type="default" r:id="rId24"/>
      <w:headerReference w:type="first" r:id="rId25"/>
      <w:footerReference w:type="first" r:id="rId26"/>
      <w:pgSz w:w="11909" w:h="16834"/>
      <w:pgMar w:top="1701" w:right="1134" w:bottom="1134" w:left="1701" w:header="289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2C8FFC" w14:textId="77777777" w:rsidR="00275544" w:rsidRDefault="00275544">
      <w:pPr>
        <w:spacing w:line="240" w:lineRule="auto"/>
      </w:pPr>
      <w:r>
        <w:separator/>
      </w:r>
    </w:p>
  </w:endnote>
  <w:endnote w:type="continuationSeparator" w:id="0">
    <w:p w14:paraId="1B0D81A8" w14:textId="77777777" w:rsidR="00275544" w:rsidRDefault="002755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00807" w14:textId="77777777" w:rsidR="00D00627" w:rsidRDefault="00D00627">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75C73" w14:textId="77777777" w:rsidR="00D00627" w:rsidRDefault="00D00627">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53561" w14:textId="77777777" w:rsidR="00D00627" w:rsidRDefault="00D0062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187E6F" w14:textId="77777777" w:rsidR="00275544" w:rsidRDefault="00275544">
      <w:pPr>
        <w:spacing w:line="240" w:lineRule="auto"/>
      </w:pPr>
      <w:r>
        <w:separator/>
      </w:r>
    </w:p>
  </w:footnote>
  <w:footnote w:type="continuationSeparator" w:id="0">
    <w:p w14:paraId="06BF5C6C" w14:textId="77777777" w:rsidR="00275544" w:rsidRDefault="00275544">
      <w:pPr>
        <w:spacing w:line="240" w:lineRule="auto"/>
      </w:pPr>
      <w:r>
        <w:continuationSeparator/>
      </w:r>
    </w:p>
  </w:footnote>
  <w:footnote w:id="1">
    <w:p w14:paraId="79D43034" w14:textId="2110B0E3" w:rsidR="005C3B22" w:rsidRDefault="005C3B22" w:rsidP="00103D37">
      <w:pPr>
        <w:pStyle w:val="Textodenotaderodap"/>
        <w:jc w:val="both"/>
      </w:pPr>
      <w:r>
        <w:rPr>
          <w:rStyle w:val="Refdenotaderodap"/>
        </w:rPr>
        <w:footnoteRef/>
      </w:r>
      <w:r>
        <w:t xml:space="preserve"> </w:t>
      </w:r>
      <w:r w:rsidRPr="005C3B22">
        <w:t xml:space="preserve">Universidade Federal do Pará, Graduanda em Serviço Social, Bolsista do Programa Ambulatório de Especialidades Pediátricas, e-mail: </w:t>
      </w:r>
      <w:hyperlink r:id="rId1" w:history="1">
        <w:r w:rsidRPr="00F85EED">
          <w:rPr>
            <w:rStyle w:val="Hyperlink"/>
          </w:rPr>
          <w:t>letdesantosmiranda@gmail.com</w:t>
        </w:r>
      </w:hyperlink>
      <w:r w:rsidRPr="005C3B22">
        <w:t>.</w:t>
      </w:r>
    </w:p>
  </w:footnote>
  <w:footnote w:id="2">
    <w:p w14:paraId="6122D15D" w14:textId="567E9094" w:rsidR="005C3B22" w:rsidRDefault="005C3B22" w:rsidP="00103D37">
      <w:pPr>
        <w:pStyle w:val="Textodenotaderodap"/>
        <w:jc w:val="both"/>
      </w:pPr>
      <w:r>
        <w:rPr>
          <w:rStyle w:val="Refdenotaderodap"/>
        </w:rPr>
        <w:footnoteRef/>
      </w:r>
      <w:r>
        <w:t xml:space="preserve"> </w:t>
      </w:r>
      <w:r w:rsidR="00480592" w:rsidRPr="00480592">
        <w:t xml:space="preserve">Universidade Federal do Pará, Graduanda em Serviço Social, </w:t>
      </w:r>
      <w:hyperlink r:id="rId2" w:history="1">
        <w:r w:rsidR="00480592" w:rsidRPr="00F85EED">
          <w:rPr>
            <w:rStyle w:val="Hyperlink"/>
          </w:rPr>
          <w:t>aliiiceestefanisantos@gmail.com</w:t>
        </w:r>
      </w:hyperlink>
      <w:r w:rsidR="00480592">
        <w:t xml:space="preserve">. </w:t>
      </w:r>
    </w:p>
  </w:footnote>
  <w:footnote w:id="3">
    <w:p w14:paraId="5CC3D8DB" w14:textId="3774FA70" w:rsidR="00480592" w:rsidRDefault="00480592" w:rsidP="00103D37">
      <w:pPr>
        <w:pStyle w:val="Textodenotaderodap"/>
        <w:jc w:val="both"/>
      </w:pPr>
      <w:r>
        <w:rPr>
          <w:rStyle w:val="Refdenotaderodap"/>
        </w:rPr>
        <w:footnoteRef/>
      </w:r>
      <w:r>
        <w:t xml:space="preserve"> </w:t>
      </w:r>
      <w:r w:rsidRPr="00480592">
        <w:t>Universidade Federal do Pará, Doutora em Doenças</w:t>
      </w:r>
      <w:r w:rsidR="00103D37">
        <w:t xml:space="preserve"> </w:t>
      </w:r>
      <w:r w:rsidRPr="00480592">
        <w:t>Tropicais</w:t>
      </w:r>
      <w:r w:rsidR="00A40FE4">
        <w:t xml:space="preserve"> pelo </w:t>
      </w:r>
      <w:r w:rsidR="00A40FE4" w:rsidRPr="00480592">
        <w:t>Núcleo de Medicina Tropical</w:t>
      </w:r>
      <w:r w:rsidRPr="00480592">
        <w:t xml:space="preserve">, </w:t>
      </w:r>
      <w:r w:rsidR="00960703">
        <w:t xml:space="preserve">Coordenadora do </w:t>
      </w:r>
      <w:r w:rsidR="008A5971" w:rsidRPr="005C3B22">
        <w:t>Programa Ambulatório de Especialidades Pediátricas</w:t>
      </w:r>
      <w:r w:rsidRPr="00480592">
        <w:t xml:space="preserve">, e-mail: </w:t>
      </w:r>
      <w:hyperlink r:id="rId3" w:history="1">
        <w:r w:rsidRPr="00F85EED">
          <w:rPr>
            <w:rStyle w:val="Hyperlink"/>
          </w:rPr>
          <w:t>laeliabfb@gmail.com</w:t>
        </w:r>
      </w:hyperlink>
      <w:r w:rsidRPr="00480592">
        <w:t>.</w:t>
      </w:r>
    </w:p>
  </w:footnote>
  <w:footnote w:id="4">
    <w:p w14:paraId="4C862FCE" w14:textId="3A9BE1D7" w:rsidR="00480592" w:rsidRDefault="00480592" w:rsidP="00103D37">
      <w:pPr>
        <w:pStyle w:val="Textodenotaderodap"/>
        <w:jc w:val="both"/>
      </w:pPr>
      <w:r>
        <w:rPr>
          <w:rStyle w:val="Refdenotaderodap"/>
        </w:rPr>
        <w:footnoteRef/>
      </w:r>
      <w:r>
        <w:t xml:space="preserve"> </w:t>
      </w:r>
      <w:r w:rsidRPr="00480592">
        <w:t>Universidade Federal do Pará, Graduando em Serviço Social</w:t>
      </w:r>
      <w:r>
        <w:t>,</w:t>
      </w:r>
      <w:r w:rsidRPr="00480592">
        <w:t xml:space="preserve"> </w:t>
      </w:r>
      <w:hyperlink r:id="rId4" w:history="1">
        <w:r w:rsidR="00A40FE4" w:rsidRPr="00F85EED">
          <w:rPr>
            <w:rStyle w:val="Hyperlink"/>
          </w:rPr>
          <w:t>ewmagno@gmail.com</w:t>
        </w:r>
      </w:hyperlink>
      <w:r w:rsidR="00A40FE4">
        <w:t xml:space="preserve">. </w:t>
      </w:r>
    </w:p>
  </w:footnote>
  <w:footnote w:id="5">
    <w:p w14:paraId="34EDD1D4" w14:textId="18D6B039" w:rsidR="00103D37" w:rsidRDefault="00103D37" w:rsidP="00103D37">
      <w:pPr>
        <w:pStyle w:val="Textodenotaderodap"/>
        <w:jc w:val="both"/>
      </w:pPr>
      <w:r>
        <w:rPr>
          <w:rStyle w:val="Refdenotaderodap"/>
        </w:rPr>
        <w:footnoteRef/>
      </w:r>
      <w:r>
        <w:t xml:space="preserve"> </w:t>
      </w:r>
      <w:r w:rsidR="009F2BA5">
        <w:t>Faculdade Integrada Brasil Amazônia,</w:t>
      </w:r>
      <w:r>
        <w:t xml:space="preserve"> Assistente Social</w:t>
      </w:r>
      <w:r w:rsidR="00F8115A">
        <w:t xml:space="preserve">, </w:t>
      </w:r>
      <w:r>
        <w:t xml:space="preserve">Servidora Pública vinculada à Universidade Federal do Pará, </w:t>
      </w:r>
      <w:hyperlink r:id="rId5" w:history="1">
        <w:r w:rsidRPr="004C0F6D">
          <w:rPr>
            <w:rStyle w:val="Hyperlink"/>
          </w:rPr>
          <w:t>angelicasousa@ufpa.com</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3B58C" w14:textId="77777777" w:rsidR="00D00627" w:rsidRDefault="00D00627">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0A8B2" w14:textId="77777777" w:rsidR="00FF4348" w:rsidRDefault="00AB3D26">
    <w:r>
      <w:rPr>
        <w:noProof/>
      </w:rPr>
      <w:drawing>
        <wp:anchor distT="114300" distB="114300" distL="114300" distR="114300" simplePos="0" relativeHeight="251657728" behindDoc="1" locked="0" layoutInCell="1" allowOverlap="1" wp14:anchorId="7CDB2BE7" wp14:editId="5E0CB766">
          <wp:simplePos x="0" y="0"/>
          <wp:positionH relativeFrom="page">
            <wp:posOffset>19050</wp:posOffset>
          </wp:positionH>
          <wp:positionV relativeFrom="page">
            <wp:posOffset>9525</wp:posOffset>
          </wp:positionV>
          <wp:extent cx="7524750" cy="10906125"/>
          <wp:effectExtent l="0" t="0" r="0" b="9525"/>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0" cy="10906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D0B26" w14:textId="77777777" w:rsidR="00D00627" w:rsidRDefault="00D0062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56F18"/>
    <w:multiLevelType w:val="hybridMultilevel"/>
    <w:tmpl w:val="D5B8AA8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6921027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348"/>
    <w:rsid w:val="00020A42"/>
    <w:rsid w:val="0002306E"/>
    <w:rsid w:val="000352F4"/>
    <w:rsid w:val="0004587A"/>
    <w:rsid w:val="00050CC8"/>
    <w:rsid w:val="0005415B"/>
    <w:rsid w:val="00081611"/>
    <w:rsid w:val="000A31BE"/>
    <w:rsid w:val="000B4C12"/>
    <w:rsid w:val="000E0382"/>
    <w:rsid w:val="00103D37"/>
    <w:rsid w:val="001473F4"/>
    <w:rsid w:val="00190526"/>
    <w:rsid w:val="001C3AE0"/>
    <w:rsid w:val="001E00F7"/>
    <w:rsid w:val="00203748"/>
    <w:rsid w:val="002474E9"/>
    <w:rsid w:val="00275544"/>
    <w:rsid w:val="00277357"/>
    <w:rsid w:val="00287F05"/>
    <w:rsid w:val="00292980"/>
    <w:rsid w:val="00295459"/>
    <w:rsid w:val="00295D92"/>
    <w:rsid w:val="002B22E3"/>
    <w:rsid w:val="002D578B"/>
    <w:rsid w:val="002F3008"/>
    <w:rsid w:val="00344E46"/>
    <w:rsid w:val="00363D98"/>
    <w:rsid w:val="003752E7"/>
    <w:rsid w:val="0037592B"/>
    <w:rsid w:val="003A6540"/>
    <w:rsid w:val="003F1BAE"/>
    <w:rsid w:val="00473212"/>
    <w:rsid w:val="00480592"/>
    <w:rsid w:val="004859A8"/>
    <w:rsid w:val="004B3FF8"/>
    <w:rsid w:val="004D1498"/>
    <w:rsid w:val="004F776F"/>
    <w:rsid w:val="00555A3A"/>
    <w:rsid w:val="005561DE"/>
    <w:rsid w:val="00567D1F"/>
    <w:rsid w:val="005A7620"/>
    <w:rsid w:val="005C3B22"/>
    <w:rsid w:val="005C4655"/>
    <w:rsid w:val="005C6F43"/>
    <w:rsid w:val="00614F09"/>
    <w:rsid w:val="0063286A"/>
    <w:rsid w:val="00650306"/>
    <w:rsid w:val="00652785"/>
    <w:rsid w:val="00660DAB"/>
    <w:rsid w:val="00711AAD"/>
    <w:rsid w:val="00721D14"/>
    <w:rsid w:val="007365F0"/>
    <w:rsid w:val="0074497D"/>
    <w:rsid w:val="00765DF7"/>
    <w:rsid w:val="00786D73"/>
    <w:rsid w:val="00797BC2"/>
    <w:rsid w:val="007A1AF5"/>
    <w:rsid w:val="007A694E"/>
    <w:rsid w:val="007F04D2"/>
    <w:rsid w:val="00814138"/>
    <w:rsid w:val="00815C7E"/>
    <w:rsid w:val="00820FCE"/>
    <w:rsid w:val="00825FAB"/>
    <w:rsid w:val="008424B1"/>
    <w:rsid w:val="008A5971"/>
    <w:rsid w:val="008E56F4"/>
    <w:rsid w:val="008F7D69"/>
    <w:rsid w:val="00960703"/>
    <w:rsid w:val="00970C05"/>
    <w:rsid w:val="009B50EB"/>
    <w:rsid w:val="009D580A"/>
    <w:rsid w:val="009F2BA5"/>
    <w:rsid w:val="00A142FD"/>
    <w:rsid w:val="00A14C18"/>
    <w:rsid w:val="00A40FE4"/>
    <w:rsid w:val="00A451DA"/>
    <w:rsid w:val="00A669C2"/>
    <w:rsid w:val="00A84686"/>
    <w:rsid w:val="00A90020"/>
    <w:rsid w:val="00AB3D26"/>
    <w:rsid w:val="00AF3121"/>
    <w:rsid w:val="00AF46A0"/>
    <w:rsid w:val="00B45684"/>
    <w:rsid w:val="00B520BC"/>
    <w:rsid w:val="00BB06AC"/>
    <w:rsid w:val="00BC7C70"/>
    <w:rsid w:val="00BD2869"/>
    <w:rsid w:val="00BE3CE8"/>
    <w:rsid w:val="00BE4B9D"/>
    <w:rsid w:val="00C37417"/>
    <w:rsid w:val="00C63DF8"/>
    <w:rsid w:val="00CA020E"/>
    <w:rsid w:val="00CA2245"/>
    <w:rsid w:val="00CB012C"/>
    <w:rsid w:val="00CC38C2"/>
    <w:rsid w:val="00CF2BFA"/>
    <w:rsid w:val="00D00627"/>
    <w:rsid w:val="00D0232B"/>
    <w:rsid w:val="00D24E39"/>
    <w:rsid w:val="00D45450"/>
    <w:rsid w:val="00D57B2A"/>
    <w:rsid w:val="00D94A9F"/>
    <w:rsid w:val="00E32308"/>
    <w:rsid w:val="00E64E46"/>
    <w:rsid w:val="00E82764"/>
    <w:rsid w:val="00F13F56"/>
    <w:rsid w:val="00F2735F"/>
    <w:rsid w:val="00F8115A"/>
    <w:rsid w:val="00FA0D76"/>
    <w:rsid w:val="00FF4348"/>
    <w:rsid w:val="00FF47B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9351CA"/>
  <w15:docId w15:val="{A9B9048A-CBEF-4C16-B250-AC784DE3A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character" w:styleId="Hyperlink">
    <w:name w:val="Hyperlink"/>
    <w:basedOn w:val="Fontepargpadro"/>
    <w:uiPriority w:val="99"/>
    <w:unhideWhenUsed/>
    <w:rsid w:val="00277357"/>
    <w:rPr>
      <w:color w:val="0563C1" w:themeColor="hyperlink"/>
      <w:u w:val="single"/>
    </w:rPr>
  </w:style>
  <w:style w:type="paragraph" w:styleId="NormalWeb">
    <w:name w:val="Normal (Web)"/>
    <w:basedOn w:val="Normal"/>
    <w:uiPriority w:val="99"/>
    <w:semiHidden/>
    <w:unhideWhenUsed/>
    <w:rsid w:val="000352F4"/>
    <w:pPr>
      <w:spacing w:before="100" w:beforeAutospacing="1" w:after="100" w:afterAutospacing="1" w:line="240" w:lineRule="auto"/>
    </w:pPr>
    <w:rPr>
      <w:rFonts w:ascii="Times New Roman" w:eastAsia="Times New Roman" w:hAnsi="Times New Roman" w:cs="Times New Roman"/>
      <w:sz w:val="24"/>
      <w:szCs w:val="24"/>
    </w:rPr>
  </w:style>
  <w:style w:type="paragraph" w:styleId="Textodenotaderodap">
    <w:name w:val="footnote text"/>
    <w:basedOn w:val="Normal"/>
    <w:link w:val="TextodenotaderodapChar"/>
    <w:uiPriority w:val="99"/>
    <w:semiHidden/>
    <w:unhideWhenUsed/>
    <w:rsid w:val="00D24E39"/>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D24E39"/>
  </w:style>
  <w:style w:type="character" w:styleId="Refdenotaderodap">
    <w:name w:val="footnote reference"/>
    <w:basedOn w:val="Fontepargpadro"/>
    <w:uiPriority w:val="99"/>
    <w:semiHidden/>
    <w:unhideWhenUsed/>
    <w:rsid w:val="00D24E39"/>
    <w:rPr>
      <w:vertAlign w:val="superscript"/>
    </w:rPr>
  </w:style>
  <w:style w:type="character" w:styleId="MenoPendente">
    <w:name w:val="Unresolved Mention"/>
    <w:basedOn w:val="Fontepargpadro"/>
    <w:uiPriority w:val="99"/>
    <w:semiHidden/>
    <w:unhideWhenUsed/>
    <w:rsid w:val="00D24E39"/>
    <w:rPr>
      <w:color w:val="605E5C"/>
      <w:shd w:val="clear" w:color="auto" w:fill="E1DFDD"/>
    </w:rPr>
  </w:style>
  <w:style w:type="paragraph" w:styleId="PargrafodaLista">
    <w:name w:val="List Paragraph"/>
    <w:basedOn w:val="Normal"/>
    <w:uiPriority w:val="34"/>
    <w:qFormat/>
    <w:rsid w:val="00103D37"/>
    <w:pPr>
      <w:ind w:left="720"/>
      <w:contextualSpacing/>
    </w:pPr>
  </w:style>
  <w:style w:type="character" w:styleId="HiperlinkVisitado">
    <w:name w:val="FollowedHyperlink"/>
    <w:basedOn w:val="Fontepargpadro"/>
    <w:uiPriority w:val="99"/>
    <w:semiHidden/>
    <w:unhideWhenUsed/>
    <w:rsid w:val="00B4568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2252578">
      <w:bodyDiv w:val="1"/>
      <w:marLeft w:val="0"/>
      <w:marRight w:val="0"/>
      <w:marTop w:val="0"/>
      <w:marBottom w:val="0"/>
      <w:divBdr>
        <w:top w:val="none" w:sz="0" w:space="0" w:color="auto"/>
        <w:left w:val="none" w:sz="0" w:space="0" w:color="auto"/>
        <w:bottom w:val="none" w:sz="0" w:space="0" w:color="auto"/>
        <w:right w:val="none" w:sz="0" w:space="0" w:color="auto"/>
      </w:divBdr>
    </w:div>
    <w:div w:id="293483541">
      <w:bodyDiv w:val="1"/>
      <w:marLeft w:val="0"/>
      <w:marRight w:val="0"/>
      <w:marTop w:val="0"/>
      <w:marBottom w:val="0"/>
      <w:divBdr>
        <w:top w:val="none" w:sz="0" w:space="0" w:color="auto"/>
        <w:left w:val="none" w:sz="0" w:space="0" w:color="auto"/>
        <w:bottom w:val="none" w:sz="0" w:space="0" w:color="auto"/>
        <w:right w:val="none" w:sz="0" w:space="0" w:color="auto"/>
      </w:divBdr>
    </w:div>
    <w:div w:id="387263030">
      <w:bodyDiv w:val="1"/>
      <w:marLeft w:val="0"/>
      <w:marRight w:val="0"/>
      <w:marTop w:val="0"/>
      <w:marBottom w:val="0"/>
      <w:divBdr>
        <w:top w:val="none" w:sz="0" w:space="0" w:color="auto"/>
        <w:left w:val="none" w:sz="0" w:space="0" w:color="auto"/>
        <w:bottom w:val="none" w:sz="0" w:space="0" w:color="auto"/>
        <w:right w:val="none" w:sz="0" w:space="0" w:color="auto"/>
      </w:divBdr>
    </w:div>
    <w:div w:id="695737317">
      <w:bodyDiv w:val="1"/>
      <w:marLeft w:val="0"/>
      <w:marRight w:val="0"/>
      <w:marTop w:val="0"/>
      <w:marBottom w:val="0"/>
      <w:divBdr>
        <w:top w:val="none" w:sz="0" w:space="0" w:color="auto"/>
        <w:left w:val="none" w:sz="0" w:space="0" w:color="auto"/>
        <w:bottom w:val="none" w:sz="0" w:space="0" w:color="auto"/>
        <w:right w:val="none" w:sz="0" w:space="0" w:color="auto"/>
      </w:divBdr>
    </w:div>
    <w:div w:id="961232657">
      <w:bodyDiv w:val="1"/>
      <w:marLeft w:val="0"/>
      <w:marRight w:val="0"/>
      <w:marTop w:val="0"/>
      <w:marBottom w:val="0"/>
      <w:divBdr>
        <w:top w:val="none" w:sz="0" w:space="0" w:color="auto"/>
        <w:left w:val="none" w:sz="0" w:space="0" w:color="auto"/>
        <w:bottom w:val="none" w:sz="0" w:space="0" w:color="auto"/>
        <w:right w:val="none" w:sz="0" w:space="0" w:color="auto"/>
      </w:divBdr>
    </w:div>
    <w:div w:id="981273887">
      <w:bodyDiv w:val="1"/>
      <w:marLeft w:val="0"/>
      <w:marRight w:val="0"/>
      <w:marTop w:val="0"/>
      <w:marBottom w:val="0"/>
      <w:divBdr>
        <w:top w:val="none" w:sz="0" w:space="0" w:color="auto"/>
        <w:left w:val="none" w:sz="0" w:space="0" w:color="auto"/>
        <w:bottom w:val="none" w:sz="0" w:space="0" w:color="auto"/>
        <w:right w:val="none" w:sz="0" w:space="0" w:color="auto"/>
      </w:divBdr>
    </w:div>
    <w:div w:id="1045759219">
      <w:bodyDiv w:val="1"/>
      <w:marLeft w:val="0"/>
      <w:marRight w:val="0"/>
      <w:marTop w:val="0"/>
      <w:marBottom w:val="0"/>
      <w:divBdr>
        <w:top w:val="none" w:sz="0" w:space="0" w:color="auto"/>
        <w:left w:val="none" w:sz="0" w:space="0" w:color="auto"/>
        <w:bottom w:val="none" w:sz="0" w:space="0" w:color="auto"/>
        <w:right w:val="none" w:sz="0" w:space="0" w:color="auto"/>
      </w:divBdr>
    </w:div>
    <w:div w:id="1178229543">
      <w:bodyDiv w:val="1"/>
      <w:marLeft w:val="0"/>
      <w:marRight w:val="0"/>
      <w:marTop w:val="0"/>
      <w:marBottom w:val="0"/>
      <w:divBdr>
        <w:top w:val="none" w:sz="0" w:space="0" w:color="auto"/>
        <w:left w:val="none" w:sz="0" w:space="0" w:color="auto"/>
        <w:bottom w:val="none" w:sz="0" w:space="0" w:color="auto"/>
        <w:right w:val="none" w:sz="0" w:space="0" w:color="auto"/>
      </w:divBdr>
    </w:div>
    <w:div w:id="1591041531">
      <w:bodyDiv w:val="1"/>
      <w:marLeft w:val="0"/>
      <w:marRight w:val="0"/>
      <w:marTop w:val="0"/>
      <w:marBottom w:val="0"/>
      <w:divBdr>
        <w:top w:val="none" w:sz="0" w:space="0" w:color="auto"/>
        <w:left w:val="none" w:sz="0" w:space="0" w:color="auto"/>
        <w:bottom w:val="none" w:sz="0" w:space="0" w:color="auto"/>
        <w:right w:val="none" w:sz="0" w:space="0" w:color="auto"/>
      </w:divBdr>
    </w:div>
    <w:div w:id="1648243131">
      <w:bodyDiv w:val="1"/>
      <w:marLeft w:val="0"/>
      <w:marRight w:val="0"/>
      <w:marTop w:val="0"/>
      <w:marBottom w:val="0"/>
      <w:divBdr>
        <w:top w:val="none" w:sz="0" w:space="0" w:color="auto"/>
        <w:left w:val="none" w:sz="0" w:space="0" w:color="auto"/>
        <w:bottom w:val="none" w:sz="0" w:space="0" w:color="auto"/>
        <w:right w:val="none" w:sz="0" w:space="0" w:color="auto"/>
      </w:divBdr>
    </w:div>
    <w:div w:id="1677880773">
      <w:bodyDiv w:val="1"/>
      <w:marLeft w:val="0"/>
      <w:marRight w:val="0"/>
      <w:marTop w:val="0"/>
      <w:marBottom w:val="0"/>
      <w:divBdr>
        <w:top w:val="none" w:sz="0" w:space="0" w:color="auto"/>
        <w:left w:val="none" w:sz="0" w:space="0" w:color="auto"/>
        <w:bottom w:val="none" w:sz="0" w:space="0" w:color="auto"/>
        <w:right w:val="none" w:sz="0" w:space="0" w:color="auto"/>
      </w:divBdr>
    </w:div>
    <w:div w:id="2032413248">
      <w:bodyDiv w:val="1"/>
      <w:marLeft w:val="0"/>
      <w:marRight w:val="0"/>
      <w:marTop w:val="0"/>
      <w:marBottom w:val="0"/>
      <w:divBdr>
        <w:top w:val="none" w:sz="0" w:space="0" w:color="auto"/>
        <w:left w:val="none" w:sz="0" w:space="0" w:color="auto"/>
        <w:bottom w:val="none" w:sz="0" w:space="0" w:color="auto"/>
        <w:right w:val="none" w:sz="0" w:space="0" w:color="auto"/>
      </w:divBdr>
    </w:div>
    <w:div w:id="2064862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fess.org.br/arquivos/CEP_CFESS-SITE.pdf" TargetMode="External"/><Relationship Id="rId13" Type="http://schemas.openxmlformats.org/officeDocument/2006/relationships/hyperlink" Target="https://www.planalto.gov.br/ccivil_03/leis/l12764.htm" TargetMode="External"/><Relationship Id="rId18" Type="http://schemas.openxmlformats.org/officeDocument/2006/relationships/hyperlink" Target="https://www.paho.org/pt/topicos/transtorno-do-espectro-autista"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planalto.gov.br/ccivil_03/leis/l8742.htm" TargetMode="External"/><Relationship Id="rId17" Type="http://schemas.openxmlformats.org/officeDocument/2006/relationships/hyperlink" Target="https://www.revistabrasileiradeservicosocial.com.br/atuacao-assistente-social-media&#231;&#227;o-acesso-educacao-qualidade"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planalto.gov.br/ccivil_03/_ato2019-2022/2020/lei/l13977.htm" TargetMode="External"/><Relationship Id="rId20" Type="http://schemas.openxmlformats.org/officeDocument/2006/relationships/hyperlink" Target="https://www.conass.org.br/nova-lei-estadual-torna-obrigatorio-simbolo-mundial-do-autismo-em-orgaos-public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alto.gov.br/ccivil_03/leis/l8662.htm"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bvsms.saude.gov.br/transtorno-do-espectro-autista-tea-autismo/"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www.planalto.gov.br/ccivil_03/leis/l8069.htm" TargetMode="External"/><Relationship Id="rId19" Type="http://schemas.openxmlformats.org/officeDocument/2006/relationships/hyperlink" Target="http://www.saude.pa.gov.br/a-secretaria/autismo/transtorno-do-espectro-autista-tea/" TargetMode="External"/><Relationship Id="rId4" Type="http://schemas.openxmlformats.org/officeDocument/2006/relationships/settings" Target="settings.xml"/><Relationship Id="rId9" Type="http://schemas.openxmlformats.org/officeDocument/2006/relationships/hyperlink" Target="http://www.planalto.gov.br/ccivil_03/constituicao/constituicao.htm" TargetMode="External"/><Relationship Id="rId14" Type="http://schemas.openxmlformats.org/officeDocument/2006/relationships/hyperlink" Target="https://www.planalto.gov.br/ccivil_03/_ato2015-2018/2015/lei/l13146.htm" TargetMode="External"/><Relationship Id="rId22" Type="http://schemas.openxmlformats.org/officeDocument/2006/relationships/header" Target="header2.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mailto:laeliabfb@gmail.com" TargetMode="External"/><Relationship Id="rId2" Type="http://schemas.openxmlformats.org/officeDocument/2006/relationships/hyperlink" Target="mailto:aliiiceestefanisantos@gmail.com" TargetMode="External"/><Relationship Id="rId1" Type="http://schemas.openxmlformats.org/officeDocument/2006/relationships/hyperlink" Target="mailto:letdesantosmiranda@gmail.com" TargetMode="External"/><Relationship Id="rId5" Type="http://schemas.openxmlformats.org/officeDocument/2006/relationships/hyperlink" Target="mailto:angelicasousa@ufpa.com" TargetMode="External"/><Relationship Id="rId4" Type="http://schemas.openxmlformats.org/officeDocument/2006/relationships/hyperlink" Target="mailto:ewmagno@gmail.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5F958E-01E6-4CF9-BD40-D88413C5D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12</Pages>
  <Words>4079</Words>
  <Characters>22031</Characters>
  <Application>Microsoft Office Word</Application>
  <DocSecurity>0</DocSecurity>
  <Lines>183</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26058</CharactersWithSpaces>
  <SharedDoc>false</SharedDoc>
  <HLinks>
    <vt:vector size="6" baseType="variant">
      <vt:variant>
        <vt:i4>3080293</vt:i4>
      </vt:variant>
      <vt:variant>
        <vt:i4>90</vt:i4>
      </vt:variant>
      <vt:variant>
        <vt:i4>0</vt:i4>
      </vt:variant>
      <vt:variant>
        <vt:i4>5</vt:i4>
      </vt:variant>
      <vt:variant>
        <vt:lpwstr>http://www.scielo.br/pdf/spp/v15n2/8580.pdf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ESP-PEDIATRIA</cp:lastModifiedBy>
  <cp:revision>7</cp:revision>
  <dcterms:created xsi:type="dcterms:W3CDTF">2025-07-01T00:36:00Z</dcterms:created>
  <dcterms:modified xsi:type="dcterms:W3CDTF">2025-07-04T13:08:00Z</dcterms:modified>
</cp:coreProperties>
</file>